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C71CB4">
      <w:pPr>
        <w:jc w:val="center"/>
        <w:rPr>
          <w:rFonts w:hint="eastAsia" w:eastAsia="宋体"/>
          <w:b/>
          <w:bCs/>
          <w:sz w:val="32"/>
          <w:lang w:eastAsia="zh-CN"/>
        </w:rPr>
        <w:sectPr>
          <w:pgSz w:w="11906" w:h="16838"/>
          <w:pgMar w:top="1440" w:right="1800" w:bottom="1440" w:left="1800" w:header="851" w:footer="992" w:gutter="0"/>
          <w:pgNumType w:fmt="decimal" w:start="1"/>
          <w:cols w:space="720" w:num="1"/>
          <w:docGrid w:type="lines" w:linePitch="312" w:charSpace="0"/>
        </w:sectPr>
      </w:pPr>
      <w:r>
        <w:rPr>
          <w:rFonts w:hint="eastAsia" w:eastAsia="宋体"/>
          <w:b/>
          <w:bCs/>
          <w:sz w:val="32"/>
          <w:lang w:eastAsia="zh-CN"/>
        </w:rPr>
        <w:drawing>
          <wp:inline distT="0" distB="0" distL="114300" distR="114300">
            <wp:extent cx="5269865" cy="7245350"/>
            <wp:effectExtent l="0" t="0" r="6985" b="12700"/>
            <wp:docPr id="117" name="图片 117" descr="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17" descr="001"/>
                    <pic:cNvPicPr>
                      <a:picLocks noChangeAspect="1"/>
                    </pic:cNvPicPr>
                  </pic:nvPicPr>
                  <pic:blipFill>
                    <a:blip r:embed="rId11"/>
                    <a:stretch>
                      <a:fillRect/>
                    </a:stretch>
                  </pic:blipFill>
                  <pic:spPr>
                    <a:xfrm>
                      <a:off x="0" y="0"/>
                      <a:ext cx="5269865" cy="7245350"/>
                    </a:xfrm>
                    <a:prstGeom prst="rect">
                      <a:avLst/>
                    </a:prstGeom>
                  </pic:spPr>
                </pic:pic>
              </a:graphicData>
            </a:graphic>
          </wp:inline>
        </w:drawing>
      </w:r>
      <w:r>
        <w:rPr>
          <w:rFonts w:hint="eastAsia" w:eastAsia="宋体"/>
          <w:b/>
          <w:bCs/>
          <w:sz w:val="32"/>
          <w:lang w:eastAsia="zh-CN"/>
        </w:rPr>
        <w:drawing>
          <wp:inline distT="0" distB="0" distL="114300" distR="114300">
            <wp:extent cx="5269865" cy="7245350"/>
            <wp:effectExtent l="0" t="0" r="6985" b="12700"/>
            <wp:docPr id="118" name="图片 118" descr="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18" descr="002"/>
                    <pic:cNvPicPr>
                      <a:picLocks noChangeAspect="1"/>
                    </pic:cNvPicPr>
                  </pic:nvPicPr>
                  <pic:blipFill>
                    <a:blip r:embed="rId12"/>
                    <a:stretch>
                      <a:fillRect/>
                    </a:stretch>
                  </pic:blipFill>
                  <pic:spPr>
                    <a:xfrm>
                      <a:off x="0" y="0"/>
                      <a:ext cx="5269865" cy="7245350"/>
                    </a:xfrm>
                    <a:prstGeom prst="rect">
                      <a:avLst/>
                    </a:prstGeom>
                  </pic:spPr>
                </pic:pic>
              </a:graphicData>
            </a:graphic>
          </wp:inline>
        </w:drawing>
      </w:r>
      <w:r>
        <w:rPr>
          <w:rFonts w:hint="eastAsia" w:eastAsia="宋体"/>
          <w:b/>
          <w:bCs/>
          <w:sz w:val="32"/>
          <w:lang w:eastAsia="zh-CN"/>
        </w:rPr>
        <w:drawing>
          <wp:inline distT="0" distB="0" distL="114300" distR="114300">
            <wp:extent cx="5269865" cy="7245350"/>
            <wp:effectExtent l="0" t="0" r="6985" b="12700"/>
            <wp:docPr id="119" name="图片 119" descr="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119" descr="003"/>
                    <pic:cNvPicPr>
                      <a:picLocks noChangeAspect="1"/>
                    </pic:cNvPicPr>
                  </pic:nvPicPr>
                  <pic:blipFill>
                    <a:blip r:embed="rId13"/>
                    <a:stretch>
                      <a:fillRect/>
                    </a:stretch>
                  </pic:blipFill>
                  <pic:spPr>
                    <a:xfrm>
                      <a:off x="0" y="0"/>
                      <a:ext cx="5269865" cy="7245350"/>
                    </a:xfrm>
                    <a:prstGeom prst="rect">
                      <a:avLst/>
                    </a:prstGeom>
                  </pic:spPr>
                </pic:pic>
              </a:graphicData>
            </a:graphic>
          </wp:inline>
        </w:drawing>
      </w:r>
      <w:r>
        <w:rPr>
          <w:rFonts w:hint="eastAsia" w:eastAsia="宋体"/>
          <w:b/>
          <w:bCs/>
          <w:sz w:val="32"/>
          <w:lang w:eastAsia="zh-CN"/>
        </w:rPr>
        <w:drawing>
          <wp:inline distT="0" distB="0" distL="114300" distR="114300">
            <wp:extent cx="5269865" cy="7245350"/>
            <wp:effectExtent l="0" t="0" r="6985" b="12700"/>
            <wp:docPr id="120" name="图片 120" descr="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20" descr="004"/>
                    <pic:cNvPicPr>
                      <a:picLocks noChangeAspect="1"/>
                    </pic:cNvPicPr>
                  </pic:nvPicPr>
                  <pic:blipFill>
                    <a:blip r:embed="rId14"/>
                    <a:stretch>
                      <a:fillRect/>
                    </a:stretch>
                  </pic:blipFill>
                  <pic:spPr>
                    <a:xfrm>
                      <a:off x="0" y="0"/>
                      <a:ext cx="5269865" cy="7245350"/>
                    </a:xfrm>
                    <a:prstGeom prst="rect">
                      <a:avLst/>
                    </a:prstGeom>
                  </pic:spPr>
                </pic:pic>
              </a:graphicData>
            </a:graphic>
          </wp:inline>
        </w:drawing>
      </w:r>
      <w:r>
        <w:rPr>
          <w:rFonts w:hint="eastAsia" w:eastAsia="宋体"/>
          <w:b/>
          <w:bCs/>
          <w:sz w:val="32"/>
          <w:lang w:eastAsia="zh-CN"/>
        </w:rPr>
        <w:drawing>
          <wp:inline distT="0" distB="0" distL="114300" distR="114300">
            <wp:extent cx="5269865" cy="7245350"/>
            <wp:effectExtent l="0" t="0" r="6985" b="12700"/>
            <wp:docPr id="121" name="图片 121" descr="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121" descr="005"/>
                    <pic:cNvPicPr>
                      <a:picLocks noChangeAspect="1"/>
                    </pic:cNvPicPr>
                  </pic:nvPicPr>
                  <pic:blipFill>
                    <a:blip r:embed="rId15"/>
                    <a:stretch>
                      <a:fillRect/>
                    </a:stretch>
                  </pic:blipFill>
                  <pic:spPr>
                    <a:xfrm>
                      <a:off x="0" y="0"/>
                      <a:ext cx="5269865" cy="7245350"/>
                    </a:xfrm>
                    <a:prstGeom prst="rect">
                      <a:avLst/>
                    </a:prstGeom>
                  </pic:spPr>
                </pic:pic>
              </a:graphicData>
            </a:graphic>
          </wp:inline>
        </w:drawing>
      </w:r>
      <w:r>
        <w:rPr>
          <w:rFonts w:hint="eastAsia" w:eastAsia="宋体"/>
          <w:b/>
          <w:bCs/>
          <w:sz w:val="32"/>
          <w:lang w:eastAsia="zh-CN"/>
        </w:rPr>
        <w:drawing>
          <wp:inline distT="0" distB="0" distL="114300" distR="114300">
            <wp:extent cx="5269865" cy="7245350"/>
            <wp:effectExtent l="0" t="0" r="6985" b="12700"/>
            <wp:docPr id="122" name="图片 122" descr="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descr="006"/>
                    <pic:cNvPicPr>
                      <a:picLocks noChangeAspect="1"/>
                    </pic:cNvPicPr>
                  </pic:nvPicPr>
                  <pic:blipFill>
                    <a:blip r:embed="rId16"/>
                    <a:stretch>
                      <a:fillRect/>
                    </a:stretch>
                  </pic:blipFill>
                  <pic:spPr>
                    <a:xfrm>
                      <a:off x="0" y="0"/>
                      <a:ext cx="5269865" cy="7245350"/>
                    </a:xfrm>
                    <a:prstGeom prst="rect">
                      <a:avLst/>
                    </a:prstGeom>
                  </pic:spPr>
                </pic:pic>
              </a:graphicData>
            </a:graphic>
          </wp:inline>
        </w:drawing>
      </w:r>
    </w:p>
    <w:p w14:paraId="108CE3C9">
      <w:pPr>
        <w:pageBreakBefore/>
        <w:snapToGrid w:val="0"/>
        <w:spacing w:line="360" w:lineRule="auto"/>
        <w:jc w:val="center"/>
        <w:rPr>
          <w:b/>
          <w:sz w:val="32"/>
          <w:szCs w:val="32"/>
        </w:rPr>
      </w:pPr>
      <w:r>
        <w:rPr>
          <w:b/>
          <w:sz w:val="32"/>
          <w:szCs w:val="32"/>
        </w:rPr>
        <w:t>《建设项目环境影响报告表》编制说明</w:t>
      </w:r>
    </w:p>
    <w:p w14:paraId="0959E932">
      <w:pPr>
        <w:snapToGrid w:val="0"/>
        <w:spacing w:line="360" w:lineRule="auto"/>
        <w:jc w:val="center"/>
        <w:rPr>
          <w:b/>
          <w:sz w:val="28"/>
        </w:rPr>
      </w:pPr>
    </w:p>
    <w:p w14:paraId="6EBDAD8A">
      <w:pPr>
        <w:snapToGrid w:val="0"/>
        <w:spacing w:line="360" w:lineRule="auto"/>
        <w:ind w:firstLine="560" w:firstLineChars="200"/>
        <w:rPr>
          <w:sz w:val="28"/>
          <w:szCs w:val="28"/>
        </w:rPr>
      </w:pPr>
      <w:r>
        <w:rPr>
          <w:sz w:val="28"/>
          <w:szCs w:val="28"/>
        </w:rPr>
        <w:t>《建设项目环境影响报告表》由具有从事环境影响评价工作资质的单位编制。</w:t>
      </w:r>
    </w:p>
    <w:p w14:paraId="51A01DD5">
      <w:pPr>
        <w:snapToGrid w:val="0"/>
        <w:spacing w:line="360" w:lineRule="auto"/>
        <w:ind w:firstLine="560" w:firstLineChars="200"/>
        <w:rPr>
          <w:sz w:val="28"/>
          <w:szCs w:val="28"/>
        </w:rPr>
      </w:pPr>
      <w:r>
        <w:rPr>
          <w:sz w:val="28"/>
          <w:szCs w:val="28"/>
        </w:rPr>
        <w:t>1. 项目名称—指项目立项批复时的名称，应不超过30个字（两个英文字段作一个汉字）。</w:t>
      </w:r>
    </w:p>
    <w:p w14:paraId="62062C91">
      <w:pPr>
        <w:snapToGrid w:val="0"/>
        <w:spacing w:line="360" w:lineRule="auto"/>
        <w:ind w:firstLine="560" w:firstLineChars="200"/>
        <w:rPr>
          <w:sz w:val="28"/>
          <w:szCs w:val="28"/>
        </w:rPr>
      </w:pPr>
      <w:r>
        <w:rPr>
          <w:sz w:val="28"/>
          <w:szCs w:val="28"/>
        </w:rPr>
        <w:t>2. 建设地点—指项目所在地详细地址，公路、铁路应填写起止地点。</w:t>
      </w:r>
    </w:p>
    <w:p w14:paraId="15408483">
      <w:pPr>
        <w:snapToGrid w:val="0"/>
        <w:spacing w:line="360" w:lineRule="auto"/>
        <w:ind w:firstLine="560" w:firstLineChars="200"/>
        <w:rPr>
          <w:sz w:val="28"/>
          <w:szCs w:val="28"/>
        </w:rPr>
      </w:pPr>
      <w:r>
        <w:rPr>
          <w:sz w:val="28"/>
          <w:szCs w:val="28"/>
        </w:rPr>
        <w:t>3. 行业类别—按国标填写。</w:t>
      </w:r>
    </w:p>
    <w:p w14:paraId="3D7140AF">
      <w:pPr>
        <w:snapToGrid w:val="0"/>
        <w:spacing w:line="360" w:lineRule="auto"/>
        <w:ind w:firstLine="560" w:firstLineChars="200"/>
        <w:rPr>
          <w:sz w:val="28"/>
          <w:szCs w:val="28"/>
        </w:rPr>
      </w:pPr>
      <w:r>
        <w:rPr>
          <w:sz w:val="28"/>
          <w:szCs w:val="28"/>
        </w:rPr>
        <w:t>4. 总投资—指项目投资总额。</w:t>
      </w:r>
    </w:p>
    <w:p w14:paraId="2C707495">
      <w:pPr>
        <w:snapToGrid w:val="0"/>
        <w:spacing w:line="360" w:lineRule="auto"/>
        <w:ind w:firstLine="560" w:firstLineChars="200"/>
        <w:rPr>
          <w:sz w:val="28"/>
          <w:szCs w:val="28"/>
        </w:rPr>
      </w:pPr>
      <w:r>
        <w:rPr>
          <w:sz w:val="28"/>
          <w:szCs w:val="28"/>
        </w:rPr>
        <w:t>5. 主要环境保护目标——指项目区周围一定范围内集中居民住宅区、学</w:t>
      </w:r>
      <w:r>
        <w:rPr>
          <w:spacing w:val="-8"/>
          <w:sz w:val="28"/>
          <w:szCs w:val="28"/>
        </w:rPr>
        <w:t>校</w:t>
      </w:r>
      <w:r>
        <w:rPr>
          <w:spacing w:val="-20"/>
          <w:sz w:val="28"/>
          <w:szCs w:val="28"/>
        </w:rPr>
        <w:t>、</w:t>
      </w:r>
      <w:r>
        <w:rPr>
          <w:spacing w:val="-8"/>
          <w:sz w:val="28"/>
          <w:szCs w:val="28"/>
        </w:rPr>
        <w:t>医</w:t>
      </w:r>
      <w:r>
        <w:rPr>
          <w:sz w:val="28"/>
          <w:szCs w:val="28"/>
        </w:rPr>
        <w:t>院</w:t>
      </w:r>
      <w:r>
        <w:rPr>
          <w:spacing w:val="-20"/>
          <w:w w:val="90"/>
          <w:sz w:val="28"/>
          <w:szCs w:val="28"/>
        </w:rPr>
        <w:t>、</w:t>
      </w:r>
      <w:r>
        <w:rPr>
          <w:spacing w:val="-2"/>
          <w:sz w:val="28"/>
          <w:szCs w:val="28"/>
        </w:rPr>
        <w:t>保护文物</w:t>
      </w:r>
      <w:r>
        <w:rPr>
          <w:spacing w:val="-12"/>
          <w:w w:val="90"/>
          <w:sz w:val="28"/>
          <w:szCs w:val="28"/>
        </w:rPr>
        <w:t>、</w:t>
      </w:r>
      <w:r>
        <w:rPr>
          <w:spacing w:val="-2"/>
          <w:sz w:val="28"/>
          <w:szCs w:val="28"/>
        </w:rPr>
        <w:t>风景名胜区</w:t>
      </w:r>
      <w:r>
        <w:rPr>
          <w:spacing w:val="-20"/>
          <w:w w:val="90"/>
          <w:sz w:val="28"/>
          <w:szCs w:val="28"/>
        </w:rPr>
        <w:t>、</w:t>
      </w:r>
      <w:r>
        <w:rPr>
          <w:spacing w:val="-2"/>
          <w:sz w:val="28"/>
          <w:szCs w:val="28"/>
        </w:rPr>
        <w:t>水源地和生态敏感点等</w:t>
      </w:r>
      <w:r>
        <w:rPr>
          <w:spacing w:val="-20"/>
          <w:w w:val="90"/>
          <w:sz w:val="28"/>
          <w:szCs w:val="28"/>
        </w:rPr>
        <w:t>，</w:t>
      </w:r>
      <w:r>
        <w:rPr>
          <w:spacing w:val="-2"/>
          <w:sz w:val="28"/>
          <w:szCs w:val="28"/>
        </w:rPr>
        <w:t>应尽可能给出保护目</w:t>
      </w:r>
      <w:r>
        <w:rPr>
          <w:sz w:val="28"/>
          <w:szCs w:val="28"/>
        </w:rPr>
        <w:t>标、性质、规模和距厂界距离等。</w:t>
      </w:r>
    </w:p>
    <w:p w14:paraId="1D211132">
      <w:pPr>
        <w:snapToGrid w:val="0"/>
        <w:spacing w:line="360" w:lineRule="auto"/>
        <w:ind w:firstLine="560" w:firstLineChars="200"/>
        <w:rPr>
          <w:sz w:val="28"/>
          <w:szCs w:val="28"/>
        </w:rPr>
      </w:pPr>
      <w:r>
        <w:rPr>
          <w:sz w:val="28"/>
          <w:szCs w:val="28"/>
        </w:rPr>
        <w:t>6. 结论与建议——给出</w:t>
      </w:r>
      <w:r>
        <w:rPr>
          <w:rFonts w:hint="eastAsia"/>
          <w:sz w:val="28"/>
          <w:szCs w:val="28"/>
        </w:rPr>
        <w:t>本项目</w:t>
      </w:r>
      <w:r>
        <w:rPr>
          <w:sz w:val="28"/>
          <w:szCs w:val="28"/>
        </w:rPr>
        <w:t>清洁生产、达标排放和总量控制的分析结论，确定污染防治措施的有效性，说明</w:t>
      </w:r>
      <w:r>
        <w:rPr>
          <w:rFonts w:hint="eastAsia"/>
          <w:sz w:val="28"/>
          <w:szCs w:val="28"/>
        </w:rPr>
        <w:t>本项目</w:t>
      </w:r>
      <w:r>
        <w:rPr>
          <w:sz w:val="28"/>
          <w:szCs w:val="28"/>
        </w:rPr>
        <w:t>对环境造成的影响，给出建设项目环境可行性的明确结论。同时提出减少环境影响的其他建议。</w:t>
      </w:r>
    </w:p>
    <w:p w14:paraId="33CF058A">
      <w:pPr>
        <w:tabs>
          <w:tab w:val="left" w:pos="567"/>
        </w:tabs>
        <w:snapToGrid w:val="0"/>
        <w:spacing w:line="360" w:lineRule="auto"/>
        <w:ind w:firstLine="560" w:firstLineChars="200"/>
        <w:rPr>
          <w:sz w:val="28"/>
          <w:szCs w:val="28"/>
        </w:rPr>
      </w:pPr>
      <w:r>
        <w:rPr>
          <w:sz w:val="28"/>
          <w:szCs w:val="28"/>
        </w:rPr>
        <w:t>7. 预审意见——由行业主管部门填写答复意见，无主管部门项目，可不填。</w:t>
      </w:r>
    </w:p>
    <w:p w14:paraId="29CA4151">
      <w:pPr>
        <w:ind w:firstLine="560" w:firstLineChars="200"/>
        <w:rPr>
          <w:sz w:val="28"/>
          <w:szCs w:val="28"/>
        </w:rPr>
        <w:sectPr>
          <w:footerReference r:id="rId3" w:type="default"/>
          <w:pgSz w:w="11906" w:h="16838"/>
          <w:pgMar w:top="1440" w:right="1800" w:bottom="1440" w:left="1800" w:header="851" w:footer="992" w:gutter="0"/>
          <w:pgNumType w:fmt="decimal" w:start="1"/>
          <w:cols w:space="720" w:num="1"/>
          <w:docGrid w:type="lines" w:linePitch="312" w:charSpace="0"/>
        </w:sectPr>
      </w:pPr>
      <w:r>
        <w:rPr>
          <w:sz w:val="28"/>
          <w:szCs w:val="28"/>
        </w:rPr>
        <w:t>8. 审批意见——由负责审批该项目的环境保护行政主管部门批复</w:t>
      </w:r>
    </w:p>
    <w:p w14:paraId="046FA3F4">
      <w:pPr>
        <w:spacing w:after="120"/>
        <w:rPr>
          <w:rFonts w:eastAsia="黑体"/>
          <w:sz w:val="30"/>
          <w:szCs w:val="30"/>
        </w:rPr>
      </w:pPr>
      <w:r>
        <w:rPr>
          <w:rFonts w:eastAsia="黑体"/>
          <w:sz w:val="30"/>
          <w:szCs w:val="30"/>
        </w:rPr>
        <w:t>一、建设项目基本情况</w:t>
      </w:r>
    </w:p>
    <w:tbl>
      <w:tblPr>
        <w:tblStyle w:val="27"/>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71"/>
        <w:gridCol w:w="1439"/>
        <w:gridCol w:w="594"/>
        <w:gridCol w:w="897"/>
        <w:gridCol w:w="213"/>
        <w:gridCol w:w="1342"/>
        <w:gridCol w:w="1339"/>
        <w:gridCol w:w="103"/>
        <w:gridCol w:w="1458"/>
      </w:tblGrid>
      <w:tr w14:paraId="6C3CEC9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14:paraId="1F61C9B8">
            <w:pPr>
              <w:snapToGrid w:val="0"/>
              <w:jc w:val="center"/>
              <w:rPr>
                <w:sz w:val="24"/>
              </w:rPr>
            </w:pPr>
            <w:r>
              <w:rPr>
                <w:sz w:val="24"/>
              </w:rPr>
              <w:t>项目名称</w:t>
            </w:r>
          </w:p>
        </w:tc>
        <w:tc>
          <w:tcPr>
            <w:tcW w:w="7385" w:type="dxa"/>
            <w:gridSpan w:val="8"/>
            <w:vAlign w:val="center"/>
          </w:tcPr>
          <w:p w14:paraId="78D124CE">
            <w:pPr>
              <w:snapToGrid w:val="0"/>
              <w:jc w:val="center"/>
              <w:rPr>
                <w:rFonts w:hint="eastAsia" w:eastAsia="宋体"/>
                <w:sz w:val="24"/>
                <w:lang w:eastAsia="zh-CN"/>
              </w:rPr>
            </w:pPr>
            <w:r>
              <w:rPr>
                <w:rFonts w:hint="eastAsia"/>
                <w:bCs/>
                <w:sz w:val="24"/>
                <w:szCs w:val="24"/>
                <w:lang w:eastAsia="zh-CN"/>
              </w:rPr>
              <w:t>鱼竿及鱼竿配件生产加工项目</w:t>
            </w:r>
          </w:p>
        </w:tc>
      </w:tr>
      <w:tr w14:paraId="57D21FA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14:paraId="036CC24B">
            <w:pPr>
              <w:snapToGrid w:val="0"/>
              <w:jc w:val="center"/>
              <w:rPr>
                <w:bCs/>
                <w:sz w:val="24"/>
                <w:szCs w:val="24"/>
              </w:rPr>
            </w:pPr>
            <w:r>
              <w:rPr>
                <w:bCs/>
                <w:sz w:val="24"/>
                <w:szCs w:val="24"/>
              </w:rPr>
              <w:t>建设单位</w:t>
            </w:r>
          </w:p>
        </w:tc>
        <w:tc>
          <w:tcPr>
            <w:tcW w:w="7385" w:type="dxa"/>
            <w:gridSpan w:val="8"/>
            <w:vAlign w:val="center"/>
          </w:tcPr>
          <w:p w14:paraId="7AD52707">
            <w:pPr>
              <w:snapToGrid w:val="0"/>
              <w:jc w:val="center"/>
              <w:rPr>
                <w:bCs/>
                <w:sz w:val="24"/>
                <w:szCs w:val="24"/>
              </w:rPr>
            </w:pPr>
            <w:r>
              <w:rPr>
                <w:rFonts w:hint="eastAsia"/>
                <w:bCs/>
                <w:sz w:val="24"/>
                <w:szCs w:val="24"/>
              </w:rPr>
              <w:t>威海市浩永渔具有限公司</w:t>
            </w:r>
          </w:p>
        </w:tc>
      </w:tr>
      <w:tr w14:paraId="55E2305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14:paraId="2BBA74FF">
            <w:pPr>
              <w:snapToGrid w:val="0"/>
              <w:jc w:val="center"/>
              <w:rPr>
                <w:sz w:val="24"/>
              </w:rPr>
            </w:pPr>
            <w:r>
              <w:rPr>
                <w:sz w:val="24"/>
              </w:rPr>
              <w:t>法人代表</w:t>
            </w:r>
          </w:p>
        </w:tc>
        <w:tc>
          <w:tcPr>
            <w:tcW w:w="3143" w:type="dxa"/>
            <w:gridSpan w:val="4"/>
            <w:vAlign w:val="center"/>
          </w:tcPr>
          <w:p w14:paraId="6FB6B734">
            <w:pPr>
              <w:spacing w:line="260" w:lineRule="exact"/>
              <w:jc w:val="center"/>
              <w:rPr>
                <w:sz w:val="24"/>
                <w:szCs w:val="24"/>
              </w:rPr>
            </w:pPr>
            <w:r>
              <w:rPr>
                <w:rFonts w:hint="eastAsia"/>
                <w:sz w:val="24"/>
                <w:szCs w:val="24"/>
              </w:rPr>
              <w:t>刘毅</w:t>
            </w:r>
          </w:p>
        </w:tc>
        <w:tc>
          <w:tcPr>
            <w:tcW w:w="1342" w:type="dxa"/>
            <w:vAlign w:val="center"/>
          </w:tcPr>
          <w:p w14:paraId="4E49D85B">
            <w:pPr>
              <w:spacing w:line="260" w:lineRule="exact"/>
              <w:jc w:val="center"/>
              <w:rPr>
                <w:sz w:val="24"/>
              </w:rPr>
            </w:pPr>
            <w:r>
              <w:rPr>
                <w:sz w:val="24"/>
              </w:rPr>
              <w:t>联系人</w:t>
            </w:r>
          </w:p>
        </w:tc>
        <w:tc>
          <w:tcPr>
            <w:tcW w:w="2900" w:type="dxa"/>
            <w:gridSpan w:val="3"/>
            <w:vAlign w:val="center"/>
          </w:tcPr>
          <w:p w14:paraId="3917E7FC">
            <w:pPr>
              <w:spacing w:line="260" w:lineRule="exact"/>
              <w:jc w:val="center"/>
              <w:rPr>
                <w:sz w:val="24"/>
              </w:rPr>
            </w:pPr>
            <w:r>
              <w:rPr>
                <w:rFonts w:hint="eastAsia"/>
                <w:sz w:val="24"/>
              </w:rPr>
              <w:t>刘毅</w:t>
            </w:r>
          </w:p>
        </w:tc>
      </w:tr>
      <w:tr w14:paraId="717C3CB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14:paraId="5EB189B9">
            <w:pPr>
              <w:snapToGrid w:val="0"/>
              <w:jc w:val="center"/>
              <w:rPr>
                <w:sz w:val="24"/>
              </w:rPr>
            </w:pPr>
            <w:r>
              <w:rPr>
                <w:sz w:val="24"/>
              </w:rPr>
              <w:t>通讯地址</w:t>
            </w:r>
          </w:p>
        </w:tc>
        <w:tc>
          <w:tcPr>
            <w:tcW w:w="7385" w:type="dxa"/>
            <w:gridSpan w:val="8"/>
            <w:vAlign w:val="center"/>
          </w:tcPr>
          <w:p w14:paraId="4BAFA731">
            <w:pPr>
              <w:spacing w:line="260" w:lineRule="exact"/>
              <w:jc w:val="center"/>
              <w:rPr>
                <w:sz w:val="24"/>
              </w:rPr>
            </w:pPr>
            <w:r>
              <w:rPr>
                <w:rFonts w:hint="eastAsia"/>
                <w:sz w:val="24"/>
              </w:rPr>
              <w:t>威海市环翠区温泉镇刘家台村南厂房</w:t>
            </w:r>
          </w:p>
        </w:tc>
      </w:tr>
      <w:tr w14:paraId="47A4941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14:paraId="140C9F4C">
            <w:pPr>
              <w:snapToGrid w:val="0"/>
              <w:jc w:val="center"/>
              <w:rPr>
                <w:sz w:val="24"/>
              </w:rPr>
            </w:pPr>
            <w:r>
              <w:rPr>
                <w:sz w:val="24"/>
              </w:rPr>
              <w:t>联系电话</w:t>
            </w:r>
          </w:p>
        </w:tc>
        <w:tc>
          <w:tcPr>
            <w:tcW w:w="2033" w:type="dxa"/>
            <w:gridSpan w:val="2"/>
            <w:vAlign w:val="center"/>
          </w:tcPr>
          <w:p w14:paraId="13B3AE83">
            <w:pPr>
              <w:spacing w:line="260" w:lineRule="exact"/>
              <w:jc w:val="center"/>
              <w:rPr>
                <w:sz w:val="24"/>
              </w:rPr>
            </w:pPr>
            <w:r>
              <w:rPr>
                <w:rFonts w:hint="eastAsia"/>
                <w:sz w:val="24"/>
              </w:rPr>
              <w:t>15898979888</w:t>
            </w:r>
          </w:p>
        </w:tc>
        <w:tc>
          <w:tcPr>
            <w:tcW w:w="1110" w:type="dxa"/>
            <w:gridSpan w:val="2"/>
            <w:vAlign w:val="center"/>
          </w:tcPr>
          <w:p w14:paraId="343CE903">
            <w:pPr>
              <w:spacing w:line="260" w:lineRule="exact"/>
              <w:jc w:val="center"/>
              <w:rPr>
                <w:sz w:val="24"/>
              </w:rPr>
            </w:pPr>
            <w:r>
              <w:rPr>
                <w:sz w:val="24"/>
              </w:rPr>
              <w:t>传真</w:t>
            </w:r>
          </w:p>
        </w:tc>
        <w:tc>
          <w:tcPr>
            <w:tcW w:w="1342" w:type="dxa"/>
            <w:vAlign w:val="center"/>
          </w:tcPr>
          <w:p w14:paraId="0A0AC35A">
            <w:pPr>
              <w:spacing w:line="260" w:lineRule="exact"/>
              <w:jc w:val="center"/>
              <w:rPr>
                <w:sz w:val="24"/>
              </w:rPr>
            </w:pPr>
          </w:p>
        </w:tc>
        <w:tc>
          <w:tcPr>
            <w:tcW w:w="1339" w:type="dxa"/>
            <w:vAlign w:val="center"/>
          </w:tcPr>
          <w:p w14:paraId="2DCF929B">
            <w:pPr>
              <w:spacing w:line="260" w:lineRule="exact"/>
              <w:jc w:val="center"/>
              <w:rPr>
                <w:sz w:val="24"/>
              </w:rPr>
            </w:pPr>
            <w:r>
              <w:rPr>
                <w:sz w:val="24"/>
              </w:rPr>
              <w:t>邮政编码</w:t>
            </w:r>
          </w:p>
        </w:tc>
        <w:tc>
          <w:tcPr>
            <w:tcW w:w="1561" w:type="dxa"/>
            <w:gridSpan w:val="2"/>
            <w:vAlign w:val="center"/>
          </w:tcPr>
          <w:p w14:paraId="7A957FF0">
            <w:pPr>
              <w:spacing w:line="260" w:lineRule="exact"/>
              <w:jc w:val="center"/>
              <w:rPr>
                <w:sz w:val="24"/>
              </w:rPr>
            </w:pPr>
            <w:r>
              <w:rPr>
                <w:sz w:val="24"/>
              </w:rPr>
              <w:t>2642</w:t>
            </w:r>
            <w:r>
              <w:rPr>
                <w:rFonts w:hint="eastAsia"/>
                <w:sz w:val="24"/>
              </w:rPr>
              <w:t>04</w:t>
            </w:r>
          </w:p>
        </w:tc>
      </w:tr>
      <w:tr w14:paraId="5B50C46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14:paraId="723F5BB8">
            <w:pPr>
              <w:snapToGrid w:val="0"/>
              <w:jc w:val="center"/>
              <w:rPr>
                <w:sz w:val="24"/>
              </w:rPr>
            </w:pPr>
            <w:r>
              <w:rPr>
                <w:sz w:val="24"/>
              </w:rPr>
              <w:t>建设地点</w:t>
            </w:r>
          </w:p>
        </w:tc>
        <w:tc>
          <w:tcPr>
            <w:tcW w:w="7385" w:type="dxa"/>
            <w:gridSpan w:val="8"/>
            <w:vAlign w:val="center"/>
          </w:tcPr>
          <w:p w14:paraId="28D3E5F7">
            <w:pPr>
              <w:spacing w:line="260" w:lineRule="exact"/>
              <w:jc w:val="center"/>
              <w:rPr>
                <w:sz w:val="24"/>
                <w:szCs w:val="24"/>
              </w:rPr>
            </w:pPr>
            <w:r>
              <w:rPr>
                <w:rFonts w:hint="eastAsia"/>
                <w:sz w:val="24"/>
              </w:rPr>
              <w:t>威海市环翠区温泉镇刘家台村南</w:t>
            </w:r>
          </w:p>
        </w:tc>
      </w:tr>
      <w:tr w14:paraId="00EF0B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14:paraId="0B669C2E">
            <w:pPr>
              <w:snapToGrid w:val="0"/>
              <w:jc w:val="center"/>
              <w:rPr>
                <w:sz w:val="24"/>
              </w:rPr>
            </w:pPr>
            <w:r>
              <w:rPr>
                <w:sz w:val="24"/>
              </w:rPr>
              <w:t>立项审批部门</w:t>
            </w:r>
          </w:p>
        </w:tc>
        <w:tc>
          <w:tcPr>
            <w:tcW w:w="2930" w:type="dxa"/>
            <w:gridSpan w:val="3"/>
            <w:vAlign w:val="center"/>
          </w:tcPr>
          <w:p w14:paraId="146F1478">
            <w:pPr>
              <w:spacing w:line="260" w:lineRule="exact"/>
              <w:jc w:val="center"/>
              <w:rPr>
                <w:sz w:val="24"/>
              </w:rPr>
            </w:pPr>
          </w:p>
        </w:tc>
        <w:tc>
          <w:tcPr>
            <w:tcW w:w="1555" w:type="dxa"/>
            <w:gridSpan w:val="2"/>
            <w:vAlign w:val="center"/>
          </w:tcPr>
          <w:p w14:paraId="55798883">
            <w:pPr>
              <w:spacing w:line="260" w:lineRule="exact"/>
              <w:jc w:val="center"/>
            </w:pPr>
            <w:r>
              <w:rPr>
                <w:sz w:val="24"/>
              </w:rPr>
              <w:t>批准文号</w:t>
            </w:r>
          </w:p>
        </w:tc>
        <w:tc>
          <w:tcPr>
            <w:tcW w:w="2900" w:type="dxa"/>
            <w:gridSpan w:val="3"/>
            <w:vAlign w:val="center"/>
          </w:tcPr>
          <w:p w14:paraId="62934E30">
            <w:pPr>
              <w:spacing w:line="260" w:lineRule="exact"/>
              <w:jc w:val="center"/>
              <w:rPr>
                <w:sz w:val="24"/>
              </w:rPr>
            </w:pPr>
          </w:p>
        </w:tc>
      </w:tr>
      <w:tr w14:paraId="7473898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1971" w:type="dxa"/>
            <w:vAlign w:val="center"/>
          </w:tcPr>
          <w:p w14:paraId="4DA45DD8">
            <w:pPr>
              <w:snapToGrid w:val="0"/>
              <w:jc w:val="center"/>
              <w:rPr>
                <w:sz w:val="24"/>
              </w:rPr>
            </w:pPr>
            <w:r>
              <w:rPr>
                <w:sz w:val="24"/>
              </w:rPr>
              <w:t>建设性质</w:t>
            </w:r>
          </w:p>
        </w:tc>
        <w:tc>
          <w:tcPr>
            <w:tcW w:w="2930" w:type="dxa"/>
            <w:gridSpan w:val="3"/>
            <w:vAlign w:val="center"/>
          </w:tcPr>
          <w:p w14:paraId="1B2D2892">
            <w:pPr>
              <w:spacing w:line="260" w:lineRule="exact"/>
              <w:jc w:val="center"/>
              <w:rPr>
                <w:sz w:val="24"/>
              </w:rPr>
            </w:pPr>
            <w:r>
              <w:rPr>
                <w:sz w:val="24"/>
              </w:rPr>
              <w:t>新建</w:t>
            </w:r>
            <w:r>
              <w:rPr>
                <w:sz w:val="24"/>
              </w:rPr>
              <w:sym w:font="Wingdings" w:char="00FE"/>
            </w:r>
            <w:r>
              <w:rPr>
                <w:sz w:val="24"/>
              </w:rPr>
              <w:t xml:space="preserve">  扩建</w:t>
            </w:r>
            <w:r>
              <w:rPr>
                <w:sz w:val="24"/>
              </w:rPr>
              <w:sym w:font="Wingdings" w:char="00A8"/>
            </w:r>
            <w:r>
              <w:t xml:space="preserve">  </w:t>
            </w:r>
            <w:r>
              <w:rPr>
                <w:sz w:val="24"/>
              </w:rPr>
              <w:t>技改</w:t>
            </w:r>
            <w:r>
              <w:rPr>
                <w:sz w:val="24"/>
              </w:rPr>
              <w:sym w:font="Wingdings" w:char="00A8"/>
            </w:r>
          </w:p>
        </w:tc>
        <w:tc>
          <w:tcPr>
            <w:tcW w:w="1555" w:type="dxa"/>
            <w:gridSpan w:val="2"/>
            <w:vAlign w:val="center"/>
          </w:tcPr>
          <w:p w14:paraId="63EBCE7D">
            <w:pPr>
              <w:spacing w:line="260" w:lineRule="exact"/>
              <w:jc w:val="center"/>
              <w:rPr>
                <w:sz w:val="24"/>
              </w:rPr>
            </w:pPr>
            <w:r>
              <w:rPr>
                <w:sz w:val="24"/>
              </w:rPr>
              <w:t>行业类别</w:t>
            </w:r>
          </w:p>
          <w:p w14:paraId="7F88B25F">
            <w:pPr>
              <w:spacing w:line="260" w:lineRule="exact"/>
              <w:jc w:val="center"/>
            </w:pPr>
            <w:r>
              <w:rPr>
                <w:sz w:val="24"/>
              </w:rPr>
              <w:t>及代码</w:t>
            </w:r>
          </w:p>
        </w:tc>
        <w:tc>
          <w:tcPr>
            <w:tcW w:w="2900" w:type="dxa"/>
            <w:gridSpan w:val="3"/>
            <w:vAlign w:val="center"/>
          </w:tcPr>
          <w:p w14:paraId="76B421B0">
            <w:pPr>
              <w:pStyle w:val="2"/>
              <w:spacing w:before="60" w:after="60"/>
              <w:jc w:val="center"/>
              <w:rPr>
                <w:rFonts w:ascii="Times New Roman" w:eastAsia="宋体" w:cs="Times New Roman"/>
                <w:color w:val="auto"/>
              </w:rPr>
            </w:pPr>
            <w:r>
              <w:rPr>
                <w:rFonts w:ascii="Times New Roman" w:eastAsia="宋体" w:cs="Times New Roman"/>
                <w:color w:val="auto"/>
              </w:rPr>
              <w:t>C2449 其他体育用品制造</w:t>
            </w:r>
          </w:p>
        </w:tc>
      </w:tr>
      <w:tr w14:paraId="063BA7F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1971" w:type="dxa"/>
            <w:vAlign w:val="center"/>
          </w:tcPr>
          <w:p w14:paraId="1D515F40">
            <w:pPr>
              <w:snapToGrid w:val="0"/>
              <w:jc w:val="center"/>
              <w:rPr>
                <w:sz w:val="24"/>
              </w:rPr>
            </w:pPr>
            <w:r>
              <w:rPr>
                <w:sz w:val="24"/>
              </w:rPr>
              <w:t>占地面积</w:t>
            </w:r>
          </w:p>
          <w:p w14:paraId="1202A217">
            <w:pPr>
              <w:snapToGrid w:val="0"/>
              <w:jc w:val="center"/>
              <w:rPr>
                <w:sz w:val="24"/>
              </w:rPr>
            </w:pPr>
            <w:r>
              <w:rPr>
                <w:sz w:val="24"/>
              </w:rPr>
              <w:t>(平方米)</w:t>
            </w:r>
          </w:p>
        </w:tc>
        <w:tc>
          <w:tcPr>
            <w:tcW w:w="2930" w:type="dxa"/>
            <w:gridSpan w:val="3"/>
            <w:vAlign w:val="center"/>
          </w:tcPr>
          <w:p w14:paraId="57B1FC16">
            <w:pPr>
              <w:spacing w:line="260" w:lineRule="exact"/>
              <w:jc w:val="center"/>
              <w:rPr>
                <w:sz w:val="24"/>
                <w:szCs w:val="24"/>
              </w:rPr>
            </w:pPr>
            <w:r>
              <w:rPr>
                <w:rFonts w:hint="eastAsia"/>
                <w:sz w:val="24"/>
                <w:szCs w:val="24"/>
              </w:rPr>
              <w:t>3000</w:t>
            </w:r>
          </w:p>
        </w:tc>
        <w:tc>
          <w:tcPr>
            <w:tcW w:w="1555" w:type="dxa"/>
            <w:gridSpan w:val="2"/>
            <w:vAlign w:val="center"/>
          </w:tcPr>
          <w:p w14:paraId="18D28BE6">
            <w:pPr>
              <w:spacing w:line="260" w:lineRule="exact"/>
              <w:jc w:val="center"/>
              <w:rPr>
                <w:sz w:val="24"/>
              </w:rPr>
            </w:pPr>
            <w:r>
              <w:rPr>
                <w:sz w:val="24"/>
              </w:rPr>
              <w:t>绿化面积</w:t>
            </w:r>
          </w:p>
          <w:p w14:paraId="01C0EAEB">
            <w:pPr>
              <w:spacing w:line="260" w:lineRule="exact"/>
              <w:jc w:val="center"/>
            </w:pPr>
            <w:r>
              <w:rPr>
                <w:sz w:val="24"/>
              </w:rPr>
              <w:t>（平方米）</w:t>
            </w:r>
          </w:p>
        </w:tc>
        <w:tc>
          <w:tcPr>
            <w:tcW w:w="2900" w:type="dxa"/>
            <w:gridSpan w:val="3"/>
            <w:vAlign w:val="center"/>
          </w:tcPr>
          <w:p w14:paraId="6A775250">
            <w:pPr>
              <w:spacing w:line="260" w:lineRule="exact"/>
              <w:jc w:val="center"/>
              <w:rPr>
                <w:sz w:val="24"/>
                <w:szCs w:val="24"/>
              </w:rPr>
            </w:pPr>
          </w:p>
        </w:tc>
      </w:tr>
      <w:tr w14:paraId="734D4DD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971" w:type="dxa"/>
            <w:vAlign w:val="center"/>
          </w:tcPr>
          <w:p w14:paraId="0BDFA172">
            <w:pPr>
              <w:snapToGrid w:val="0"/>
              <w:jc w:val="center"/>
              <w:rPr>
                <w:sz w:val="24"/>
              </w:rPr>
            </w:pPr>
            <w:r>
              <w:rPr>
                <w:sz w:val="24"/>
              </w:rPr>
              <w:t>总投资</w:t>
            </w:r>
          </w:p>
          <w:p w14:paraId="31289AD1">
            <w:pPr>
              <w:snapToGrid w:val="0"/>
              <w:jc w:val="center"/>
              <w:rPr>
                <w:sz w:val="24"/>
              </w:rPr>
            </w:pPr>
            <w:r>
              <w:rPr>
                <w:sz w:val="24"/>
              </w:rPr>
              <w:t>(万元)</w:t>
            </w:r>
          </w:p>
        </w:tc>
        <w:tc>
          <w:tcPr>
            <w:tcW w:w="1439" w:type="dxa"/>
            <w:vAlign w:val="center"/>
          </w:tcPr>
          <w:p w14:paraId="668EE74C">
            <w:pPr>
              <w:spacing w:line="260" w:lineRule="exact"/>
              <w:jc w:val="center"/>
              <w:rPr>
                <w:sz w:val="24"/>
                <w:szCs w:val="24"/>
              </w:rPr>
            </w:pPr>
            <w:r>
              <w:rPr>
                <w:rFonts w:hint="eastAsia"/>
                <w:sz w:val="24"/>
                <w:szCs w:val="24"/>
              </w:rPr>
              <w:t>300</w:t>
            </w:r>
          </w:p>
        </w:tc>
        <w:tc>
          <w:tcPr>
            <w:tcW w:w="1491" w:type="dxa"/>
            <w:gridSpan w:val="2"/>
            <w:vAlign w:val="center"/>
          </w:tcPr>
          <w:p w14:paraId="67E72720">
            <w:pPr>
              <w:spacing w:line="260" w:lineRule="exact"/>
              <w:jc w:val="center"/>
              <w:rPr>
                <w:sz w:val="24"/>
              </w:rPr>
            </w:pPr>
            <w:r>
              <w:rPr>
                <w:sz w:val="24"/>
              </w:rPr>
              <w:t>其中：环保投资（万元）</w:t>
            </w:r>
          </w:p>
        </w:tc>
        <w:tc>
          <w:tcPr>
            <w:tcW w:w="1555" w:type="dxa"/>
            <w:gridSpan w:val="2"/>
            <w:vAlign w:val="center"/>
          </w:tcPr>
          <w:p w14:paraId="66AF0FB4">
            <w:pPr>
              <w:spacing w:line="260" w:lineRule="exact"/>
              <w:jc w:val="center"/>
            </w:pPr>
            <w:r>
              <w:rPr>
                <w:rFonts w:hint="eastAsia"/>
                <w:sz w:val="24"/>
              </w:rPr>
              <w:t>30</w:t>
            </w:r>
          </w:p>
        </w:tc>
        <w:tc>
          <w:tcPr>
            <w:tcW w:w="1442" w:type="dxa"/>
            <w:gridSpan w:val="2"/>
            <w:vAlign w:val="center"/>
          </w:tcPr>
          <w:p w14:paraId="532C3C98">
            <w:pPr>
              <w:spacing w:line="260" w:lineRule="exact"/>
              <w:jc w:val="center"/>
              <w:rPr>
                <w:sz w:val="24"/>
              </w:rPr>
            </w:pPr>
            <w:r>
              <w:rPr>
                <w:sz w:val="24"/>
              </w:rPr>
              <w:t>环保投资占总投资比例</w:t>
            </w:r>
          </w:p>
        </w:tc>
        <w:tc>
          <w:tcPr>
            <w:tcW w:w="1458" w:type="dxa"/>
            <w:vAlign w:val="center"/>
          </w:tcPr>
          <w:p w14:paraId="3F620DFA">
            <w:pPr>
              <w:spacing w:line="260" w:lineRule="exact"/>
              <w:jc w:val="center"/>
              <w:rPr>
                <w:sz w:val="24"/>
              </w:rPr>
            </w:pPr>
            <w:r>
              <w:rPr>
                <w:rFonts w:hint="eastAsia"/>
                <w:sz w:val="24"/>
              </w:rPr>
              <w:t>10</w:t>
            </w:r>
            <w:r>
              <w:rPr>
                <w:sz w:val="24"/>
              </w:rPr>
              <w:t>%</w:t>
            </w:r>
          </w:p>
        </w:tc>
      </w:tr>
      <w:tr w14:paraId="7DE5B89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971" w:type="dxa"/>
            <w:vAlign w:val="center"/>
          </w:tcPr>
          <w:p w14:paraId="365D00CF">
            <w:pPr>
              <w:snapToGrid w:val="0"/>
              <w:jc w:val="center"/>
              <w:rPr>
                <w:sz w:val="24"/>
              </w:rPr>
            </w:pPr>
            <w:r>
              <w:rPr>
                <w:sz w:val="24"/>
              </w:rPr>
              <w:t>评价经费</w:t>
            </w:r>
          </w:p>
          <w:p w14:paraId="380C1511">
            <w:pPr>
              <w:snapToGrid w:val="0"/>
              <w:jc w:val="center"/>
              <w:rPr>
                <w:sz w:val="24"/>
              </w:rPr>
            </w:pPr>
            <w:r>
              <w:rPr>
                <w:sz w:val="24"/>
              </w:rPr>
              <w:t>(万元)</w:t>
            </w:r>
          </w:p>
        </w:tc>
        <w:tc>
          <w:tcPr>
            <w:tcW w:w="1439" w:type="dxa"/>
            <w:vAlign w:val="center"/>
          </w:tcPr>
          <w:p w14:paraId="3FE1618B">
            <w:pPr>
              <w:spacing w:line="260" w:lineRule="exact"/>
              <w:jc w:val="center"/>
              <w:rPr>
                <w:sz w:val="24"/>
              </w:rPr>
            </w:pPr>
          </w:p>
        </w:tc>
        <w:tc>
          <w:tcPr>
            <w:tcW w:w="1491" w:type="dxa"/>
            <w:gridSpan w:val="2"/>
            <w:vAlign w:val="center"/>
          </w:tcPr>
          <w:p w14:paraId="513E77C2">
            <w:pPr>
              <w:spacing w:line="260" w:lineRule="exact"/>
              <w:jc w:val="center"/>
              <w:rPr>
                <w:sz w:val="24"/>
              </w:rPr>
            </w:pPr>
            <w:r>
              <w:rPr>
                <w:rFonts w:hint="eastAsia"/>
                <w:sz w:val="24"/>
              </w:rPr>
              <w:t>预计</w:t>
            </w:r>
            <w:r>
              <w:rPr>
                <w:sz w:val="24"/>
              </w:rPr>
              <w:t>投产</w:t>
            </w:r>
          </w:p>
          <w:p w14:paraId="2A0AE337">
            <w:pPr>
              <w:spacing w:line="260" w:lineRule="exact"/>
              <w:jc w:val="center"/>
              <w:rPr>
                <w:sz w:val="24"/>
              </w:rPr>
            </w:pPr>
            <w:r>
              <w:rPr>
                <w:sz w:val="24"/>
              </w:rPr>
              <w:t>日期</w:t>
            </w:r>
          </w:p>
        </w:tc>
        <w:tc>
          <w:tcPr>
            <w:tcW w:w="4455" w:type="dxa"/>
            <w:gridSpan w:val="5"/>
            <w:vAlign w:val="center"/>
          </w:tcPr>
          <w:p w14:paraId="799DFBC6">
            <w:pPr>
              <w:spacing w:line="260" w:lineRule="exact"/>
              <w:jc w:val="center"/>
              <w:rPr>
                <w:sz w:val="24"/>
              </w:rPr>
            </w:pPr>
            <w:r>
              <w:rPr>
                <w:sz w:val="24"/>
              </w:rPr>
              <w:t>20</w:t>
            </w:r>
            <w:r>
              <w:rPr>
                <w:rFonts w:hint="eastAsia"/>
                <w:sz w:val="24"/>
              </w:rPr>
              <w:t>21</w:t>
            </w:r>
            <w:r>
              <w:rPr>
                <w:sz w:val="24"/>
              </w:rPr>
              <w:t>年</w:t>
            </w:r>
            <w:r>
              <w:rPr>
                <w:rFonts w:hint="eastAsia"/>
                <w:sz w:val="24"/>
                <w:lang w:val="en-US" w:eastAsia="zh-CN"/>
              </w:rPr>
              <w:t>5</w:t>
            </w:r>
            <w:r>
              <w:rPr>
                <w:sz w:val="24"/>
              </w:rPr>
              <w:t>月</w:t>
            </w:r>
          </w:p>
        </w:tc>
      </w:tr>
      <w:tr w14:paraId="1F3CF47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33" w:hRule="atLeast"/>
          <w:jc w:val="center"/>
        </w:trPr>
        <w:tc>
          <w:tcPr>
            <w:tcW w:w="9356" w:type="dxa"/>
            <w:gridSpan w:val="9"/>
            <w:vAlign w:val="center"/>
          </w:tcPr>
          <w:p w14:paraId="3CF161C3">
            <w:pPr>
              <w:spacing w:line="360" w:lineRule="auto"/>
              <w:rPr>
                <w:b/>
                <w:sz w:val="24"/>
                <w:szCs w:val="24"/>
              </w:rPr>
            </w:pPr>
            <w:r>
              <w:rPr>
                <w:b/>
                <w:sz w:val="24"/>
                <w:szCs w:val="24"/>
              </w:rPr>
              <w:t>工程内容及规模</w:t>
            </w:r>
          </w:p>
          <w:p w14:paraId="4058CCD6">
            <w:pPr>
              <w:pStyle w:val="83"/>
              <w:tabs>
                <w:tab w:val="left" w:pos="526"/>
                <w:tab w:val="left" w:pos="6078"/>
                <w:tab w:val="clear" w:pos="6780"/>
              </w:tabs>
              <w:adjustRightInd w:val="0"/>
            </w:pPr>
            <w:r>
              <w:t>1</w:t>
            </w:r>
            <w:r>
              <w:rPr>
                <w:rFonts w:hint="eastAsia"/>
              </w:rPr>
              <w:t>、</w:t>
            </w:r>
            <w:r>
              <w:t>项目</w:t>
            </w:r>
            <w:r>
              <w:rPr>
                <w:rFonts w:hint="eastAsia"/>
              </w:rPr>
              <w:t>由来</w:t>
            </w:r>
          </w:p>
          <w:p w14:paraId="59FA266E">
            <w:pPr>
              <w:spacing w:line="360" w:lineRule="auto"/>
              <w:ind w:firstLine="480"/>
              <w:rPr>
                <w:sz w:val="24"/>
                <w:szCs w:val="24"/>
              </w:rPr>
            </w:pPr>
            <w:r>
              <w:rPr>
                <w:rFonts w:hint="eastAsia"/>
                <w:bCs/>
                <w:color w:val="auto"/>
                <w:sz w:val="24"/>
                <w:szCs w:val="24"/>
              </w:rPr>
              <w:t>威海市浩永渔具有限公司</w:t>
            </w:r>
            <w:r>
              <w:rPr>
                <w:rFonts w:hint="eastAsia"/>
                <w:bCs/>
                <w:color w:val="auto"/>
                <w:sz w:val="24"/>
                <w:szCs w:val="24"/>
                <w:lang w:eastAsia="zh-CN"/>
              </w:rPr>
              <w:t>成立于</w:t>
            </w:r>
            <w:r>
              <w:rPr>
                <w:rFonts w:hint="eastAsia"/>
                <w:bCs/>
                <w:color w:val="auto"/>
                <w:sz w:val="24"/>
                <w:szCs w:val="24"/>
                <w:lang w:val="en-US" w:eastAsia="zh-CN"/>
              </w:rPr>
              <w:t>2014年12月</w:t>
            </w:r>
            <w:r>
              <w:rPr>
                <w:bCs/>
                <w:color w:val="auto"/>
                <w:sz w:val="24"/>
                <w:szCs w:val="24"/>
              </w:rPr>
              <w:t>是以</w:t>
            </w:r>
            <w:r>
              <w:rPr>
                <w:rFonts w:hint="eastAsia"/>
                <w:bCs/>
                <w:color w:val="auto"/>
                <w:sz w:val="24"/>
                <w:szCs w:val="24"/>
              </w:rPr>
              <w:t>渔具及其配件生产和销售</w:t>
            </w:r>
            <w:r>
              <w:rPr>
                <w:color w:val="auto"/>
                <w:sz w:val="24"/>
                <w:szCs w:val="24"/>
              </w:rPr>
              <w:t>为主的企业</w:t>
            </w:r>
            <w:r>
              <w:rPr>
                <w:rFonts w:hint="eastAsia"/>
                <w:color w:val="auto"/>
                <w:sz w:val="24"/>
                <w:szCs w:val="24"/>
                <w:lang w:eastAsia="zh-CN"/>
              </w:rPr>
              <w:t>，因公司成立时污水管网未铺设到项目区范围内，污水处理厂不接纳项目区产生的污水故项目一直未办理环境影响评价。现污水处理厂有能力接纳该项目区产生的污水</w:t>
            </w:r>
            <w:r>
              <w:rPr>
                <w:rFonts w:hint="eastAsia" w:cs="Times New Roman"/>
                <w:color w:val="auto"/>
                <w:sz w:val="24"/>
                <w:szCs w:val="24"/>
                <w:lang w:val="en-US" w:eastAsia="zh-CN"/>
              </w:rPr>
              <w:t>，</w:t>
            </w:r>
            <w:r>
              <w:rPr>
                <w:rFonts w:hint="eastAsia"/>
                <w:color w:val="auto"/>
                <w:sz w:val="24"/>
                <w:szCs w:val="24"/>
                <w:shd w:val="clear" w:color="auto" w:fill="FFFFFF"/>
                <w:lang w:eastAsia="zh-CN"/>
              </w:rPr>
              <w:t>因此公司</w:t>
            </w:r>
            <w:r>
              <w:rPr>
                <w:rFonts w:hint="eastAsia"/>
                <w:color w:val="auto"/>
                <w:sz w:val="24"/>
                <w:szCs w:val="24"/>
                <w:lang w:eastAsia="zh-CN"/>
              </w:rPr>
              <w:t>拟</w:t>
            </w:r>
            <w:r>
              <w:rPr>
                <w:rFonts w:hint="eastAsia"/>
                <w:color w:val="auto"/>
                <w:sz w:val="24"/>
                <w:szCs w:val="24"/>
                <w:shd w:val="clear" w:color="auto" w:fill="FFFFFF"/>
              </w:rPr>
              <w:t>于</w:t>
            </w:r>
            <w:r>
              <w:rPr>
                <w:rFonts w:hint="eastAsia"/>
                <w:color w:val="auto"/>
                <w:sz w:val="24"/>
              </w:rPr>
              <w:t>威海市环翠区温泉镇刘家台村南</w:t>
            </w:r>
            <w:r>
              <w:rPr>
                <w:rFonts w:hint="eastAsia"/>
                <w:color w:val="auto"/>
                <w:sz w:val="24"/>
                <w:szCs w:val="24"/>
              </w:rPr>
              <w:t>租用威海刘家台村村委闲置厂房建设</w:t>
            </w:r>
            <w:r>
              <w:rPr>
                <w:rFonts w:hint="eastAsia"/>
                <w:bCs/>
                <w:color w:val="auto"/>
                <w:sz w:val="24"/>
                <w:szCs w:val="24"/>
                <w:lang w:eastAsia="zh-CN"/>
              </w:rPr>
              <w:t>鱼竿及鱼竿配件生产加工项目</w:t>
            </w:r>
            <w:r>
              <w:rPr>
                <w:rFonts w:hint="eastAsia"/>
                <w:color w:val="auto"/>
                <w:sz w:val="24"/>
                <w:szCs w:val="24"/>
                <w:lang w:eastAsia="zh-CN"/>
              </w:rPr>
              <w:t>。</w:t>
            </w:r>
            <w:r>
              <w:rPr>
                <w:rFonts w:hint="eastAsia"/>
                <w:color w:val="auto"/>
                <w:sz w:val="24"/>
                <w:szCs w:val="24"/>
              </w:rPr>
              <w:t>项</w:t>
            </w:r>
            <w:r>
              <w:rPr>
                <w:rFonts w:hint="eastAsia"/>
                <w:sz w:val="24"/>
                <w:szCs w:val="24"/>
              </w:rPr>
              <w:t>目</w:t>
            </w:r>
            <w:r>
              <w:rPr>
                <w:rFonts w:hint="eastAsia"/>
                <w:sz w:val="24"/>
                <w:szCs w:val="24"/>
                <w:shd w:val="clear" w:color="auto" w:fill="FFFFFF"/>
              </w:rPr>
              <w:t>总投资300万元，</w:t>
            </w:r>
            <w:r>
              <w:rPr>
                <w:bCs/>
                <w:sz w:val="24"/>
                <w:szCs w:val="24"/>
              </w:rPr>
              <w:t>全部由项目单位自筹解决，</w:t>
            </w:r>
            <w:r>
              <w:rPr>
                <w:sz w:val="24"/>
                <w:szCs w:val="24"/>
                <w:shd w:val="clear" w:color="auto" w:fill="FFFFFF"/>
              </w:rPr>
              <w:t>总</w:t>
            </w:r>
            <w:r>
              <w:rPr>
                <w:rFonts w:hint="eastAsia"/>
                <w:sz w:val="24"/>
                <w:szCs w:val="24"/>
                <w:shd w:val="clear" w:color="auto" w:fill="FFFFFF"/>
              </w:rPr>
              <w:t>建筑</w:t>
            </w:r>
            <w:r>
              <w:rPr>
                <w:sz w:val="24"/>
                <w:szCs w:val="24"/>
                <w:shd w:val="clear" w:color="auto" w:fill="FFFFFF"/>
              </w:rPr>
              <w:t>面积</w:t>
            </w:r>
            <w:r>
              <w:rPr>
                <w:rFonts w:hint="eastAsia"/>
                <w:sz w:val="24"/>
                <w:szCs w:val="24"/>
                <w:shd w:val="clear" w:color="auto" w:fill="FFFFFF"/>
              </w:rPr>
              <w:t>3580</w:t>
            </w:r>
            <w:r>
              <w:rPr>
                <w:sz w:val="24"/>
                <w:szCs w:val="24"/>
                <w:shd w:val="clear" w:color="auto" w:fill="FFFFFF"/>
              </w:rPr>
              <w:t>m</w:t>
            </w:r>
            <w:r>
              <w:rPr>
                <w:sz w:val="24"/>
                <w:szCs w:val="24"/>
                <w:shd w:val="clear" w:color="auto" w:fill="FFFFFF"/>
                <w:vertAlign w:val="superscript"/>
              </w:rPr>
              <w:t>2</w:t>
            </w:r>
            <w:r>
              <w:rPr>
                <w:sz w:val="24"/>
                <w:szCs w:val="24"/>
                <w:shd w:val="clear" w:color="auto" w:fill="FFFFFF"/>
              </w:rPr>
              <w:t>，</w:t>
            </w:r>
            <w:r>
              <w:rPr>
                <w:rFonts w:hint="eastAsia"/>
                <w:sz w:val="24"/>
                <w:szCs w:val="24"/>
                <w:shd w:val="clear" w:color="auto" w:fill="FFFFFF"/>
              </w:rPr>
              <w:t>设置生产车间、仓库、办公室、危废库等。</w:t>
            </w:r>
            <w:r>
              <w:rPr>
                <w:bCs/>
                <w:sz w:val="24"/>
                <w:szCs w:val="24"/>
              </w:rPr>
              <w:t>项目劳动人员</w:t>
            </w:r>
            <w:r>
              <w:rPr>
                <w:rFonts w:hint="eastAsia"/>
                <w:bCs/>
                <w:sz w:val="24"/>
                <w:szCs w:val="24"/>
              </w:rPr>
              <w:t>50</w:t>
            </w:r>
            <w:r>
              <w:rPr>
                <w:bCs/>
                <w:sz w:val="24"/>
                <w:szCs w:val="24"/>
              </w:rPr>
              <w:t>人，其中管理人员</w:t>
            </w:r>
            <w:r>
              <w:rPr>
                <w:rFonts w:hint="eastAsia"/>
                <w:bCs/>
                <w:sz w:val="24"/>
                <w:szCs w:val="24"/>
              </w:rPr>
              <w:t>5</w:t>
            </w:r>
            <w:r>
              <w:rPr>
                <w:bCs/>
                <w:sz w:val="24"/>
                <w:szCs w:val="24"/>
              </w:rPr>
              <w:t>人，工人</w:t>
            </w:r>
            <w:r>
              <w:rPr>
                <w:rFonts w:hint="eastAsia"/>
                <w:bCs/>
                <w:sz w:val="24"/>
                <w:szCs w:val="24"/>
              </w:rPr>
              <w:t>45</w:t>
            </w:r>
            <w:r>
              <w:rPr>
                <w:bCs/>
                <w:sz w:val="24"/>
                <w:szCs w:val="24"/>
              </w:rPr>
              <w:t>人，生产实行</w:t>
            </w:r>
            <w:r>
              <w:rPr>
                <w:rFonts w:hint="eastAsia"/>
                <w:bCs/>
                <w:sz w:val="24"/>
                <w:szCs w:val="24"/>
              </w:rPr>
              <w:t>单</w:t>
            </w:r>
            <w:r>
              <w:rPr>
                <w:bCs/>
                <w:sz w:val="24"/>
                <w:szCs w:val="24"/>
              </w:rPr>
              <w:t>班制，每班工作时间为</w:t>
            </w:r>
            <w:r>
              <w:rPr>
                <w:rFonts w:hint="eastAsia"/>
                <w:bCs/>
                <w:sz w:val="24"/>
                <w:szCs w:val="24"/>
              </w:rPr>
              <w:t>8</w:t>
            </w:r>
            <w:r>
              <w:rPr>
                <w:bCs/>
                <w:sz w:val="24"/>
                <w:szCs w:val="24"/>
              </w:rPr>
              <w:t>h，年工作300d</w:t>
            </w:r>
            <w:r>
              <w:rPr>
                <w:rFonts w:hint="eastAsia"/>
                <w:sz w:val="24"/>
                <w:szCs w:val="24"/>
                <w:shd w:val="clear" w:color="auto" w:fill="FFFFFF"/>
              </w:rPr>
              <w:t>。</w:t>
            </w:r>
            <w:r>
              <w:rPr>
                <w:rFonts w:hint="eastAsia"/>
                <w:sz w:val="24"/>
                <w:szCs w:val="24"/>
              </w:rPr>
              <w:t>项目建成后预计年生产鱼竿120万节/a，手柄50万个/a。</w:t>
            </w:r>
          </w:p>
          <w:p w14:paraId="6DBF86C3">
            <w:pPr>
              <w:spacing w:line="360" w:lineRule="auto"/>
              <w:ind w:firstLine="480"/>
              <w:rPr>
                <w:rFonts w:eastAsiaTheme="minorEastAsia"/>
                <w:sz w:val="24"/>
                <w:szCs w:val="24"/>
              </w:rPr>
            </w:pPr>
            <w:r>
              <w:rPr>
                <w:rFonts w:eastAsiaTheme="minorEastAsia"/>
                <w:sz w:val="24"/>
                <w:szCs w:val="24"/>
              </w:rPr>
              <w:t>按照《中华人民共和国环境保护法》（2015年1月1日实施）、《中华人民共和国环境影响评价法》（2018年12月修订）的相关规定，本项目需要进行环境影响评价；根据《建设项目环境影响评价分类管理名录》（</w:t>
            </w:r>
            <w:r>
              <w:rPr>
                <w:rFonts w:hint="eastAsia" w:eastAsiaTheme="minorEastAsia"/>
                <w:sz w:val="24"/>
                <w:szCs w:val="24"/>
              </w:rPr>
              <w:t>2021年版</w:t>
            </w:r>
            <w:r>
              <w:rPr>
                <w:rFonts w:eastAsiaTheme="minorEastAsia"/>
                <w:sz w:val="24"/>
                <w:szCs w:val="24"/>
              </w:rPr>
              <w:t>）中</w:t>
            </w:r>
            <w:r>
              <w:rPr>
                <w:rFonts w:hint="eastAsia" w:eastAsiaTheme="minorEastAsia"/>
                <w:sz w:val="24"/>
                <w:szCs w:val="24"/>
              </w:rPr>
              <w:t>“</w:t>
            </w:r>
            <w:r>
              <w:rPr>
                <w:rFonts w:hint="eastAsia"/>
                <w:sz w:val="24"/>
                <w:szCs w:val="24"/>
              </w:rPr>
              <w:t>二十一、</w:t>
            </w:r>
            <w:r>
              <w:rPr>
                <w:sz w:val="24"/>
                <w:szCs w:val="24"/>
              </w:rPr>
              <w:t xml:space="preserve"> 文教、工美、体育和娱乐用品制造业</w:t>
            </w:r>
            <w:r>
              <w:rPr>
                <w:rFonts w:hint="eastAsia"/>
                <w:sz w:val="24"/>
                <w:szCs w:val="24"/>
              </w:rPr>
              <w:t xml:space="preserve">24 </w:t>
            </w:r>
            <w:r>
              <w:rPr>
                <w:sz w:val="24"/>
                <w:szCs w:val="24"/>
              </w:rPr>
              <w:t xml:space="preserve"> </w:t>
            </w:r>
            <w:r>
              <w:rPr>
                <w:rFonts w:hint="eastAsia"/>
                <w:sz w:val="24"/>
                <w:szCs w:val="24"/>
              </w:rPr>
              <w:t>40</w:t>
            </w:r>
            <w:r>
              <w:rPr>
                <w:sz w:val="24"/>
                <w:szCs w:val="24"/>
              </w:rPr>
              <w:t>、</w:t>
            </w:r>
            <w:r>
              <w:rPr>
                <w:rFonts w:hint="eastAsia"/>
                <w:sz w:val="24"/>
                <w:szCs w:val="24"/>
              </w:rPr>
              <w:t>体育用品制</w:t>
            </w:r>
            <w:r>
              <w:rPr>
                <w:sz w:val="24"/>
                <w:szCs w:val="24"/>
              </w:rPr>
              <w:t>造</w:t>
            </w:r>
            <w:r>
              <w:rPr>
                <w:rFonts w:hint="eastAsia"/>
                <w:sz w:val="24"/>
                <w:szCs w:val="24"/>
              </w:rPr>
              <w:t>244</w:t>
            </w:r>
            <w:r>
              <w:rPr>
                <w:sz w:val="24"/>
                <w:szCs w:val="24"/>
              </w:rPr>
              <w:t xml:space="preserve">  </w:t>
            </w:r>
            <w:r>
              <w:rPr>
                <w:rFonts w:hint="eastAsia"/>
                <w:sz w:val="24"/>
                <w:szCs w:val="24"/>
              </w:rPr>
              <w:t>年用溶剂型涂料（含稀料）10吨以下的</w:t>
            </w:r>
            <w:r>
              <w:rPr>
                <w:rFonts w:hint="eastAsia" w:eastAsiaTheme="minorEastAsia"/>
                <w:sz w:val="24"/>
                <w:szCs w:val="24"/>
              </w:rPr>
              <w:t>”</w:t>
            </w:r>
            <w:r>
              <w:rPr>
                <w:rFonts w:eastAsiaTheme="minorEastAsia"/>
                <w:sz w:val="24"/>
                <w:szCs w:val="24"/>
              </w:rPr>
              <w:t>的有关规定，该项目应编制环境影响报告表。因此，</w:t>
            </w:r>
            <w:r>
              <w:rPr>
                <w:rFonts w:hint="eastAsia"/>
                <w:bCs/>
                <w:sz w:val="24"/>
                <w:szCs w:val="24"/>
              </w:rPr>
              <w:t>威海市浩永渔具有限公司</w:t>
            </w:r>
            <w:r>
              <w:rPr>
                <w:rFonts w:eastAsiaTheme="minorEastAsia"/>
                <w:sz w:val="24"/>
                <w:szCs w:val="24"/>
              </w:rPr>
              <w:t>委托我单位对该项目进行环境影响评价。我单位在接受委托后，对厂址周围环境状况进行了实地调查， 收集了当地有关环境资料，在工程分析的基础上编制完成了该项目的环境影响报告表，为主管部门审查决策和项目的环境管理提供依据</w:t>
            </w:r>
            <w:r>
              <w:rPr>
                <w:rFonts w:hint="eastAsia" w:eastAsiaTheme="minorEastAsia"/>
                <w:sz w:val="24"/>
                <w:szCs w:val="24"/>
              </w:rPr>
              <w:t>。</w:t>
            </w:r>
          </w:p>
          <w:p w14:paraId="2A82B2C2">
            <w:pPr>
              <w:pStyle w:val="83"/>
              <w:ind w:left="0" w:leftChars="0"/>
              <w:rPr>
                <w:rFonts w:eastAsia="Calibri"/>
                <w:lang w:val="en-US"/>
              </w:rPr>
            </w:pPr>
            <w:r>
              <w:rPr>
                <w:lang w:val="en-US"/>
              </w:rPr>
              <w:t>2、项目概况</w:t>
            </w:r>
          </w:p>
          <w:p w14:paraId="7E87CDAB">
            <w:pPr>
              <w:pStyle w:val="83"/>
              <w:ind w:left="0" w:leftChars="0"/>
              <w:rPr>
                <w:rFonts w:eastAsia="Calibri"/>
              </w:rPr>
            </w:pPr>
            <w:r>
              <w:t>（</w:t>
            </w:r>
            <w:r>
              <w:rPr>
                <w:lang w:val="en-US"/>
              </w:rPr>
              <w:t>1</w:t>
            </w:r>
            <w:r>
              <w:t>）项目名称</w:t>
            </w:r>
          </w:p>
          <w:p w14:paraId="111A858B">
            <w:pPr>
              <w:pStyle w:val="83"/>
              <w:ind w:left="0" w:leftChars="0"/>
              <w:rPr>
                <w:bCs/>
                <w:szCs w:val="24"/>
              </w:rPr>
            </w:pPr>
            <w:r>
              <w:t>本项目名称为</w:t>
            </w:r>
            <w:r>
              <w:rPr>
                <w:rFonts w:hint="eastAsia"/>
                <w:bCs/>
                <w:szCs w:val="24"/>
                <w:lang w:eastAsia="zh-CN"/>
              </w:rPr>
              <w:t>鱼竿及鱼竿配件生产加工项目</w:t>
            </w:r>
            <w:r>
              <w:rPr>
                <w:bCs/>
                <w:szCs w:val="24"/>
              </w:rPr>
              <w:t>。</w:t>
            </w:r>
          </w:p>
          <w:p w14:paraId="64D42053">
            <w:pPr>
              <w:pStyle w:val="83"/>
              <w:ind w:left="0" w:leftChars="0"/>
              <w:rPr>
                <w:bCs/>
                <w:szCs w:val="24"/>
              </w:rPr>
            </w:pPr>
            <w:r>
              <w:rPr>
                <w:bCs/>
                <w:szCs w:val="24"/>
              </w:rPr>
              <w:t>（</w:t>
            </w:r>
            <w:r>
              <w:rPr>
                <w:bCs/>
                <w:szCs w:val="24"/>
                <w:lang w:val="en-US"/>
              </w:rPr>
              <w:t>2</w:t>
            </w:r>
            <w:r>
              <w:rPr>
                <w:bCs/>
                <w:szCs w:val="24"/>
              </w:rPr>
              <w:t>）项目性质</w:t>
            </w:r>
          </w:p>
          <w:p w14:paraId="34146D8A">
            <w:pPr>
              <w:pStyle w:val="83"/>
              <w:ind w:left="0" w:leftChars="0"/>
              <w:rPr>
                <w:rFonts w:eastAsia="Calibri"/>
              </w:rPr>
            </w:pPr>
            <w:r>
              <w:t>本项目属于新建项目。</w:t>
            </w:r>
          </w:p>
          <w:p w14:paraId="696FE004">
            <w:pPr>
              <w:pStyle w:val="83"/>
              <w:ind w:left="420" w:leftChars="200" w:right="0" w:rightChars="0" w:firstLine="0" w:firstLineChars="0"/>
            </w:pPr>
            <w:r>
              <w:t>（</w:t>
            </w:r>
            <w:r>
              <w:rPr>
                <w:lang w:val="en-US"/>
              </w:rPr>
              <w:t>3</w:t>
            </w:r>
            <w:r>
              <w:t>）项目地理位置</w:t>
            </w:r>
          </w:p>
          <w:p w14:paraId="0803E890">
            <w:pPr>
              <w:pStyle w:val="83"/>
              <w:ind w:left="0" w:leftChars="0" w:right="0" w:rightChars="0"/>
              <w:rPr>
                <w:szCs w:val="24"/>
              </w:rPr>
            </w:pPr>
            <w:r>
              <w:rPr>
                <w:szCs w:val="24"/>
              </w:rPr>
              <w:t>本项目位于</w:t>
            </w:r>
            <w:r>
              <w:rPr>
                <w:rFonts w:hint="eastAsia"/>
              </w:rPr>
              <w:t>威海市环翠区温泉镇刘家台村南</w:t>
            </w:r>
            <w:r>
              <w:rPr>
                <w:szCs w:val="24"/>
              </w:rPr>
              <w:t>，</w:t>
            </w:r>
            <w:r>
              <w:rPr>
                <w:rFonts w:hint="eastAsia"/>
                <w:szCs w:val="24"/>
                <w:lang w:val="en-US"/>
              </w:rPr>
              <w:t>租用威海市环翠区温泉镇刘家台村村委已建</w:t>
            </w:r>
            <w:r>
              <w:rPr>
                <w:szCs w:val="24"/>
                <w:lang w:val="en-US"/>
              </w:rPr>
              <w:t>厂房</w:t>
            </w:r>
            <w:r>
              <w:rPr>
                <w:rFonts w:hint="eastAsia"/>
                <w:szCs w:val="24"/>
                <w:lang w:val="en-US"/>
              </w:rPr>
              <w:t>（租赁合同见附件）</w:t>
            </w:r>
            <w:r>
              <w:rPr>
                <w:szCs w:val="24"/>
              </w:rPr>
              <w:t>进行生产加工</w:t>
            </w:r>
            <w:r>
              <w:rPr>
                <w:szCs w:val="24"/>
                <w:lang w:val="en-US"/>
              </w:rPr>
              <w:t>，</w:t>
            </w:r>
            <w:r>
              <w:rPr>
                <w:szCs w:val="24"/>
              </w:rPr>
              <w:t>地理位置中心坐标为东经</w:t>
            </w:r>
            <w:r>
              <w:rPr>
                <w:szCs w:val="24"/>
                <w:lang w:val="en-US"/>
              </w:rPr>
              <w:t>E</w:t>
            </w:r>
            <w:r>
              <w:rPr>
                <w:rFonts w:hint="eastAsia"/>
                <w:szCs w:val="24"/>
                <w:lang w:val="en-US"/>
              </w:rPr>
              <w:t>122.210</w:t>
            </w:r>
            <w:r>
              <w:rPr>
                <w:szCs w:val="24"/>
                <w:lang w:val="en-US"/>
              </w:rPr>
              <w:t>、北纬N37.</w:t>
            </w:r>
            <w:r>
              <w:rPr>
                <w:rFonts w:hint="eastAsia"/>
                <w:szCs w:val="24"/>
                <w:lang w:val="en-US"/>
              </w:rPr>
              <w:t>363</w:t>
            </w:r>
            <w:r>
              <w:rPr>
                <w:szCs w:val="24"/>
              </w:rPr>
              <w:t>，</w:t>
            </w:r>
            <w:r>
              <w:t>项目</w:t>
            </w:r>
            <w:r>
              <w:rPr>
                <w:rFonts w:hint="eastAsia"/>
              </w:rPr>
              <w:t>东邻威海市君立服装有限公司，北临威海市鑫程服装有限公司，西面为空地，南邻威海谊悦纺织有限公司，</w:t>
            </w:r>
            <w:r>
              <w:rPr>
                <w:bCs/>
                <w:szCs w:val="24"/>
              </w:rPr>
              <w:t>地理位置优越，交通十分便利快捷</w:t>
            </w:r>
            <w:r>
              <w:rPr>
                <w:szCs w:val="24"/>
              </w:rPr>
              <w:t>。项目地理位置见附</w:t>
            </w:r>
            <w:r>
              <w:rPr>
                <w:rFonts w:hint="eastAsia"/>
                <w:szCs w:val="24"/>
              </w:rPr>
              <w:t>图一</w:t>
            </w:r>
            <w:r>
              <w:rPr>
                <w:szCs w:val="24"/>
              </w:rPr>
              <w:t>，项目周边环境现状见</w:t>
            </w:r>
            <w:r>
              <w:rPr>
                <w:rFonts w:hint="eastAsia"/>
                <w:szCs w:val="24"/>
              </w:rPr>
              <w:t>附图二</w:t>
            </w:r>
            <w:r>
              <w:rPr>
                <w:szCs w:val="24"/>
              </w:rPr>
              <w:t>。</w:t>
            </w:r>
          </w:p>
          <w:p w14:paraId="0C52958E">
            <w:pPr>
              <w:pStyle w:val="83"/>
              <w:ind w:left="0" w:leftChars="0" w:right="0" w:rightChars="0"/>
              <w:rPr>
                <w:rFonts w:eastAsia="Calibri"/>
                <w:lang w:val="en-US"/>
              </w:rPr>
            </w:pPr>
            <w:r>
              <w:rPr>
                <w:lang w:val="en-US"/>
              </w:rPr>
              <w:t>（4）总投资</w:t>
            </w:r>
          </w:p>
          <w:p w14:paraId="1E619E06">
            <w:pPr>
              <w:pStyle w:val="83"/>
              <w:ind w:left="0" w:leftChars="0" w:right="0" w:rightChars="0"/>
              <w:rPr>
                <w:rFonts w:eastAsia="Calibri"/>
                <w:lang w:val="en-US"/>
              </w:rPr>
            </w:pPr>
            <w:r>
              <w:rPr>
                <w:lang w:val="en-US"/>
              </w:rPr>
              <w:t>本项目总投资</w:t>
            </w:r>
            <w:r>
              <w:rPr>
                <w:rFonts w:hint="eastAsia"/>
                <w:lang w:val="en-US"/>
              </w:rPr>
              <w:t>300</w:t>
            </w:r>
            <w:r>
              <w:rPr>
                <w:lang w:val="en-US"/>
              </w:rPr>
              <w:t>万元。</w:t>
            </w:r>
          </w:p>
          <w:p w14:paraId="4080AB6A">
            <w:pPr>
              <w:pStyle w:val="83"/>
              <w:ind w:left="0" w:leftChars="0" w:right="0" w:rightChars="0"/>
              <w:rPr>
                <w:rFonts w:eastAsia="Calibri"/>
                <w:lang w:val="en-US"/>
              </w:rPr>
            </w:pPr>
            <w:r>
              <w:rPr>
                <w:lang w:val="en-US"/>
              </w:rPr>
              <w:t>（5）劳动定员及工作制</w:t>
            </w:r>
          </w:p>
          <w:p w14:paraId="0FD31EA8">
            <w:pPr>
              <w:pStyle w:val="83"/>
              <w:ind w:left="0" w:leftChars="0" w:right="0" w:rightChars="0"/>
              <w:rPr>
                <w:rFonts w:eastAsia="Calibri"/>
                <w:lang w:val="en-US"/>
              </w:rPr>
            </w:pPr>
            <w:r>
              <w:rPr>
                <w:rFonts w:hint="eastAsia"/>
                <w:bCs/>
                <w:szCs w:val="24"/>
              </w:rPr>
              <w:t>本</w:t>
            </w:r>
            <w:r>
              <w:rPr>
                <w:bCs/>
                <w:szCs w:val="24"/>
              </w:rPr>
              <w:t>项目劳动人员</w:t>
            </w:r>
            <w:r>
              <w:rPr>
                <w:rFonts w:hint="eastAsia"/>
                <w:bCs/>
                <w:szCs w:val="24"/>
                <w:lang w:val="en-US"/>
              </w:rPr>
              <w:t>50</w:t>
            </w:r>
            <w:r>
              <w:rPr>
                <w:bCs/>
                <w:szCs w:val="24"/>
              </w:rPr>
              <w:t>人，其中管理人员</w:t>
            </w:r>
            <w:r>
              <w:rPr>
                <w:rFonts w:hint="eastAsia"/>
                <w:bCs/>
                <w:szCs w:val="24"/>
                <w:lang w:val="en-US"/>
              </w:rPr>
              <w:t>5</w:t>
            </w:r>
            <w:r>
              <w:rPr>
                <w:bCs/>
                <w:szCs w:val="24"/>
              </w:rPr>
              <w:t>人，工人</w:t>
            </w:r>
            <w:r>
              <w:rPr>
                <w:rFonts w:hint="eastAsia"/>
                <w:bCs/>
                <w:szCs w:val="24"/>
                <w:lang w:val="en-US"/>
              </w:rPr>
              <w:t>45</w:t>
            </w:r>
            <w:r>
              <w:rPr>
                <w:bCs/>
                <w:szCs w:val="24"/>
              </w:rPr>
              <w:t>人，生产实行</w:t>
            </w:r>
            <w:r>
              <w:rPr>
                <w:rFonts w:hint="eastAsia"/>
                <w:bCs/>
                <w:szCs w:val="24"/>
              </w:rPr>
              <w:t>单</w:t>
            </w:r>
            <w:r>
              <w:rPr>
                <w:bCs/>
                <w:szCs w:val="24"/>
              </w:rPr>
              <w:t>班制，每班工作时间为</w:t>
            </w:r>
            <w:r>
              <w:rPr>
                <w:rFonts w:hint="eastAsia"/>
                <w:bCs/>
                <w:szCs w:val="24"/>
                <w:lang w:val="en-US"/>
              </w:rPr>
              <w:t>8</w:t>
            </w:r>
            <w:r>
              <w:rPr>
                <w:bCs/>
                <w:szCs w:val="24"/>
              </w:rPr>
              <w:t>h，年工作300d</w:t>
            </w:r>
            <w:r>
              <w:rPr>
                <w:bCs/>
                <w:szCs w:val="24"/>
                <w:lang w:val="en-US"/>
              </w:rPr>
              <w:t>。</w:t>
            </w:r>
          </w:p>
          <w:p w14:paraId="17924DB3">
            <w:pPr>
              <w:pStyle w:val="83"/>
              <w:ind w:left="0" w:leftChars="0" w:right="0" w:rightChars="0"/>
              <w:rPr>
                <w:rFonts w:eastAsia="Calibri"/>
                <w:lang w:val="en-US"/>
              </w:rPr>
            </w:pPr>
            <w:r>
              <w:rPr>
                <w:lang w:val="en-US"/>
              </w:rPr>
              <w:t>（6）食宿</w:t>
            </w:r>
          </w:p>
          <w:p w14:paraId="5EB237C2">
            <w:pPr>
              <w:pStyle w:val="83"/>
              <w:ind w:left="0" w:leftChars="0" w:right="0" w:rightChars="0"/>
              <w:rPr>
                <w:rFonts w:eastAsia="Calibri"/>
                <w:lang w:val="en-US"/>
              </w:rPr>
            </w:pPr>
            <w:r>
              <w:rPr>
                <w:lang w:val="en-US"/>
              </w:rPr>
              <w:t>本项目</w:t>
            </w:r>
            <w:r>
              <w:rPr>
                <w:rFonts w:hint="eastAsia"/>
                <w:lang w:val="en-US"/>
              </w:rPr>
              <w:t>不设食堂和宿舍</w:t>
            </w:r>
            <w:r>
              <w:rPr>
                <w:lang w:val="en-US"/>
              </w:rPr>
              <w:t>。</w:t>
            </w:r>
          </w:p>
          <w:p w14:paraId="072B61B8">
            <w:pPr>
              <w:pStyle w:val="83"/>
              <w:ind w:left="0" w:leftChars="0" w:right="0" w:rightChars="0"/>
              <w:rPr>
                <w:rFonts w:eastAsia="Calibri"/>
                <w:lang w:val="en-US"/>
              </w:rPr>
            </w:pPr>
            <w:r>
              <w:rPr>
                <w:lang w:val="en-US"/>
              </w:rPr>
              <w:t>（7）建设内容</w:t>
            </w:r>
          </w:p>
          <w:p w14:paraId="5D53F53F">
            <w:pPr>
              <w:pStyle w:val="83"/>
              <w:ind w:left="0" w:leftChars="0"/>
            </w:pPr>
            <w:r>
              <w:t>本项目</w:t>
            </w:r>
            <w:r>
              <w:rPr>
                <w:szCs w:val="24"/>
                <w:shd w:val="clear" w:color="auto" w:fill="FFFFFF"/>
              </w:rPr>
              <w:t>总建筑面积</w:t>
            </w:r>
            <w:r>
              <w:rPr>
                <w:rFonts w:hint="eastAsia"/>
                <w:szCs w:val="24"/>
                <w:shd w:val="clear" w:color="auto" w:fill="FFFFFF"/>
                <w:lang w:val="en-US"/>
              </w:rPr>
              <w:t>3580</w:t>
            </w:r>
            <w:r>
              <w:rPr>
                <w:szCs w:val="24"/>
                <w:shd w:val="clear" w:color="auto" w:fill="FFFFFF"/>
              </w:rPr>
              <w:t>m</w:t>
            </w:r>
            <w:r>
              <w:rPr>
                <w:szCs w:val="24"/>
                <w:shd w:val="clear" w:color="auto" w:fill="FFFFFF"/>
                <w:vertAlign w:val="superscript"/>
              </w:rPr>
              <w:t>2</w:t>
            </w:r>
            <w:r>
              <w:rPr>
                <w:szCs w:val="24"/>
                <w:shd w:val="clear" w:color="auto" w:fill="FFFFFF"/>
              </w:rPr>
              <w:t>，包括</w:t>
            </w:r>
            <w:r>
              <w:rPr>
                <w:rFonts w:hint="eastAsia"/>
                <w:szCs w:val="24"/>
                <w:shd w:val="clear" w:color="auto" w:fill="FFFFFF"/>
              </w:rPr>
              <w:t>生产车间、仓库、办公室、危废库等</w:t>
            </w:r>
            <w:r>
              <w:rPr>
                <w:lang w:val="en-US"/>
              </w:rPr>
              <w:t>。</w:t>
            </w:r>
            <w:r>
              <w:t>项目厂区平面布置见</w:t>
            </w:r>
            <w:r>
              <w:rPr>
                <w:rFonts w:hint="eastAsia"/>
              </w:rPr>
              <w:t>附图六</w:t>
            </w:r>
            <w:r>
              <w:rPr>
                <w:lang w:val="en-US"/>
              </w:rPr>
              <w:t>，主要经技术指标见下表。</w:t>
            </w:r>
          </w:p>
          <w:p w14:paraId="0C8C15FD">
            <w:pPr>
              <w:pStyle w:val="83"/>
              <w:ind w:left="0" w:leftChars="0" w:firstLine="0" w:firstLineChars="0"/>
              <w:jc w:val="center"/>
            </w:pPr>
            <w:r>
              <w:rPr>
                <w:b/>
                <w:bCs/>
              </w:rPr>
              <w:t>表</w:t>
            </w:r>
            <w:r>
              <w:rPr>
                <w:b/>
                <w:bCs/>
                <w:lang w:val="en-US"/>
              </w:rPr>
              <w:t xml:space="preserve">1-1  </w:t>
            </w:r>
            <w:r>
              <w:rPr>
                <w:b/>
                <w:bCs/>
              </w:rPr>
              <w:t>项目主要经济技术指标</w:t>
            </w:r>
          </w:p>
          <w:tbl>
            <w:tblPr>
              <w:tblStyle w:val="27"/>
              <w:tblW w:w="8978"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1268"/>
              <w:gridCol w:w="1536"/>
              <w:gridCol w:w="1248"/>
              <w:gridCol w:w="972"/>
              <w:gridCol w:w="3954"/>
            </w:tblGrid>
            <w:tr w14:paraId="5A85E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2804" w:type="dxa"/>
                  <w:gridSpan w:val="2"/>
                  <w:tcBorders>
                    <w:tl2br w:val="nil"/>
                    <w:tr2bl w:val="nil"/>
                  </w:tcBorders>
                  <w:tcMar>
                    <w:top w:w="15" w:type="dxa"/>
                    <w:left w:w="15" w:type="dxa"/>
                    <w:right w:w="15" w:type="dxa"/>
                  </w:tcMar>
                  <w:vAlign w:val="center"/>
                </w:tcPr>
                <w:p w14:paraId="62C15FE3">
                  <w:pPr>
                    <w:widowControl/>
                    <w:jc w:val="center"/>
                    <w:textAlignment w:val="center"/>
                    <w:rPr>
                      <w:rFonts w:eastAsiaTheme="minorEastAsia"/>
                      <w:szCs w:val="21"/>
                    </w:rPr>
                  </w:pPr>
                  <w:r>
                    <w:rPr>
                      <w:rFonts w:eastAsiaTheme="minorEastAsia"/>
                      <w:kern w:val="0"/>
                      <w:szCs w:val="21"/>
                    </w:rPr>
                    <w:t>项目名称</w:t>
                  </w:r>
                </w:p>
              </w:tc>
              <w:tc>
                <w:tcPr>
                  <w:tcW w:w="1248" w:type="dxa"/>
                  <w:tcBorders>
                    <w:tl2br w:val="nil"/>
                    <w:tr2bl w:val="nil"/>
                  </w:tcBorders>
                  <w:tcMar>
                    <w:top w:w="15" w:type="dxa"/>
                    <w:left w:w="15" w:type="dxa"/>
                    <w:right w:w="15" w:type="dxa"/>
                  </w:tcMar>
                  <w:vAlign w:val="center"/>
                </w:tcPr>
                <w:p w14:paraId="3C6ADD49">
                  <w:pPr>
                    <w:widowControl/>
                    <w:jc w:val="center"/>
                    <w:textAlignment w:val="center"/>
                    <w:rPr>
                      <w:rFonts w:eastAsiaTheme="minorEastAsia"/>
                      <w:szCs w:val="21"/>
                    </w:rPr>
                  </w:pPr>
                  <w:r>
                    <w:rPr>
                      <w:rFonts w:eastAsiaTheme="minorEastAsia"/>
                      <w:kern w:val="0"/>
                      <w:szCs w:val="21"/>
                    </w:rPr>
                    <w:t>数值</w:t>
                  </w:r>
                </w:p>
              </w:tc>
              <w:tc>
                <w:tcPr>
                  <w:tcW w:w="972" w:type="dxa"/>
                  <w:tcBorders>
                    <w:tl2br w:val="nil"/>
                    <w:tr2bl w:val="nil"/>
                  </w:tcBorders>
                  <w:tcMar>
                    <w:top w:w="15" w:type="dxa"/>
                    <w:left w:w="15" w:type="dxa"/>
                    <w:right w:w="15" w:type="dxa"/>
                  </w:tcMar>
                  <w:vAlign w:val="center"/>
                </w:tcPr>
                <w:p w14:paraId="313093E8">
                  <w:pPr>
                    <w:widowControl/>
                    <w:jc w:val="center"/>
                    <w:textAlignment w:val="center"/>
                    <w:rPr>
                      <w:rFonts w:eastAsiaTheme="minorEastAsia"/>
                      <w:szCs w:val="21"/>
                    </w:rPr>
                  </w:pPr>
                  <w:r>
                    <w:rPr>
                      <w:rFonts w:eastAsiaTheme="minorEastAsia"/>
                      <w:kern w:val="0"/>
                      <w:szCs w:val="21"/>
                    </w:rPr>
                    <w:t>单位</w:t>
                  </w:r>
                </w:p>
              </w:tc>
              <w:tc>
                <w:tcPr>
                  <w:tcW w:w="3954" w:type="dxa"/>
                  <w:tcBorders>
                    <w:tl2br w:val="nil"/>
                    <w:tr2bl w:val="nil"/>
                  </w:tcBorders>
                  <w:tcMar>
                    <w:top w:w="15" w:type="dxa"/>
                    <w:left w:w="15" w:type="dxa"/>
                    <w:right w:w="15" w:type="dxa"/>
                  </w:tcMar>
                  <w:vAlign w:val="center"/>
                </w:tcPr>
                <w:p w14:paraId="5C604F78">
                  <w:pPr>
                    <w:widowControl/>
                    <w:jc w:val="center"/>
                    <w:textAlignment w:val="center"/>
                    <w:rPr>
                      <w:rFonts w:eastAsiaTheme="minorEastAsia"/>
                      <w:kern w:val="0"/>
                      <w:szCs w:val="21"/>
                    </w:rPr>
                  </w:pPr>
                  <w:r>
                    <w:rPr>
                      <w:rFonts w:eastAsiaTheme="minorEastAsia"/>
                      <w:kern w:val="0"/>
                      <w:szCs w:val="21"/>
                    </w:rPr>
                    <w:t>备注</w:t>
                  </w:r>
                </w:p>
              </w:tc>
            </w:tr>
            <w:tr w14:paraId="5AE6304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2804" w:type="dxa"/>
                  <w:gridSpan w:val="2"/>
                  <w:tcBorders>
                    <w:tl2br w:val="nil"/>
                    <w:tr2bl w:val="nil"/>
                  </w:tcBorders>
                  <w:tcMar>
                    <w:top w:w="15" w:type="dxa"/>
                    <w:left w:w="15" w:type="dxa"/>
                    <w:right w:w="15" w:type="dxa"/>
                  </w:tcMar>
                  <w:vAlign w:val="center"/>
                </w:tcPr>
                <w:p w14:paraId="0DC68FA5">
                  <w:pPr>
                    <w:widowControl/>
                    <w:jc w:val="center"/>
                    <w:textAlignment w:val="center"/>
                    <w:rPr>
                      <w:rFonts w:eastAsiaTheme="minorEastAsia"/>
                      <w:kern w:val="0"/>
                      <w:szCs w:val="21"/>
                    </w:rPr>
                  </w:pPr>
                  <w:r>
                    <w:rPr>
                      <w:rFonts w:eastAsiaTheme="minorEastAsia"/>
                      <w:kern w:val="0"/>
                      <w:szCs w:val="21"/>
                    </w:rPr>
                    <w:t>总占地面积</w:t>
                  </w:r>
                </w:p>
              </w:tc>
              <w:tc>
                <w:tcPr>
                  <w:tcW w:w="1248" w:type="dxa"/>
                  <w:tcBorders>
                    <w:tl2br w:val="nil"/>
                    <w:tr2bl w:val="nil"/>
                  </w:tcBorders>
                  <w:tcMar>
                    <w:top w:w="15" w:type="dxa"/>
                    <w:left w:w="15" w:type="dxa"/>
                    <w:right w:w="15" w:type="dxa"/>
                  </w:tcMar>
                  <w:vAlign w:val="center"/>
                </w:tcPr>
                <w:p w14:paraId="084FAAE9">
                  <w:pPr>
                    <w:widowControl/>
                    <w:jc w:val="center"/>
                    <w:textAlignment w:val="center"/>
                    <w:rPr>
                      <w:rFonts w:eastAsiaTheme="minorEastAsia"/>
                      <w:kern w:val="0"/>
                      <w:szCs w:val="21"/>
                    </w:rPr>
                  </w:pPr>
                  <w:r>
                    <w:rPr>
                      <w:rFonts w:hint="eastAsia" w:eastAsiaTheme="minorEastAsia"/>
                      <w:kern w:val="0"/>
                      <w:szCs w:val="21"/>
                    </w:rPr>
                    <w:t>3000</w:t>
                  </w:r>
                </w:p>
              </w:tc>
              <w:tc>
                <w:tcPr>
                  <w:tcW w:w="972" w:type="dxa"/>
                  <w:tcBorders>
                    <w:tl2br w:val="nil"/>
                    <w:tr2bl w:val="nil"/>
                  </w:tcBorders>
                  <w:tcMar>
                    <w:top w:w="15" w:type="dxa"/>
                    <w:left w:w="15" w:type="dxa"/>
                    <w:right w:w="15" w:type="dxa"/>
                  </w:tcMar>
                  <w:vAlign w:val="center"/>
                </w:tcPr>
                <w:p w14:paraId="719EAE33">
                  <w:pPr>
                    <w:widowControl/>
                    <w:jc w:val="center"/>
                    <w:textAlignment w:val="center"/>
                    <w:rPr>
                      <w:rFonts w:eastAsiaTheme="minorEastAsia"/>
                      <w:kern w:val="0"/>
                      <w:szCs w:val="21"/>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64B61DE3">
                  <w:pPr>
                    <w:widowControl/>
                    <w:jc w:val="center"/>
                    <w:textAlignment w:val="center"/>
                    <w:rPr>
                      <w:rFonts w:eastAsiaTheme="minorEastAsia"/>
                      <w:kern w:val="0"/>
                      <w:szCs w:val="21"/>
                    </w:rPr>
                  </w:pPr>
                  <w:r>
                    <w:rPr>
                      <w:rFonts w:hint="eastAsia" w:eastAsiaTheme="minorEastAsia"/>
                      <w:kern w:val="0"/>
                      <w:szCs w:val="21"/>
                    </w:rPr>
                    <w:t>已建厂房</w:t>
                  </w:r>
                </w:p>
              </w:tc>
            </w:tr>
            <w:tr w14:paraId="40FE155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2804" w:type="dxa"/>
                  <w:gridSpan w:val="2"/>
                  <w:tcBorders>
                    <w:tl2br w:val="nil"/>
                    <w:tr2bl w:val="nil"/>
                  </w:tcBorders>
                  <w:tcMar>
                    <w:top w:w="15" w:type="dxa"/>
                    <w:left w:w="15" w:type="dxa"/>
                    <w:right w:w="15" w:type="dxa"/>
                  </w:tcMar>
                  <w:vAlign w:val="center"/>
                </w:tcPr>
                <w:p w14:paraId="75EC4325">
                  <w:pPr>
                    <w:widowControl/>
                    <w:jc w:val="center"/>
                    <w:textAlignment w:val="center"/>
                    <w:rPr>
                      <w:rFonts w:eastAsiaTheme="minorEastAsia"/>
                      <w:szCs w:val="21"/>
                    </w:rPr>
                  </w:pPr>
                  <w:r>
                    <w:rPr>
                      <w:rFonts w:eastAsiaTheme="minorEastAsia"/>
                      <w:kern w:val="0"/>
                      <w:szCs w:val="21"/>
                    </w:rPr>
                    <w:t>总建筑面积</w:t>
                  </w:r>
                </w:p>
              </w:tc>
              <w:tc>
                <w:tcPr>
                  <w:tcW w:w="1248" w:type="dxa"/>
                  <w:tcBorders>
                    <w:tl2br w:val="nil"/>
                    <w:tr2bl w:val="nil"/>
                  </w:tcBorders>
                  <w:tcMar>
                    <w:top w:w="15" w:type="dxa"/>
                    <w:left w:w="15" w:type="dxa"/>
                    <w:right w:w="15" w:type="dxa"/>
                  </w:tcMar>
                  <w:vAlign w:val="center"/>
                </w:tcPr>
                <w:p w14:paraId="15862035">
                  <w:pPr>
                    <w:widowControl/>
                    <w:jc w:val="center"/>
                    <w:textAlignment w:val="center"/>
                    <w:rPr>
                      <w:rFonts w:eastAsiaTheme="minorEastAsia"/>
                      <w:szCs w:val="21"/>
                    </w:rPr>
                  </w:pPr>
                  <w:r>
                    <w:rPr>
                      <w:rFonts w:hint="eastAsia" w:eastAsiaTheme="minorEastAsia"/>
                      <w:szCs w:val="21"/>
                    </w:rPr>
                    <w:t>3580</w:t>
                  </w:r>
                </w:p>
              </w:tc>
              <w:tc>
                <w:tcPr>
                  <w:tcW w:w="972" w:type="dxa"/>
                  <w:tcBorders>
                    <w:tl2br w:val="nil"/>
                    <w:tr2bl w:val="nil"/>
                  </w:tcBorders>
                  <w:tcMar>
                    <w:top w:w="15" w:type="dxa"/>
                    <w:left w:w="15" w:type="dxa"/>
                    <w:right w:w="15" w:type="dxa"/>
                  </w:tcMar>
                  <w:vAlign w:val="center"/>
                </w:tcPr>
                <w:p w14:paraId="267F62CC">
                  <w:pPr>
                    <w:widowControl/>
                    <w:jc w:val="center"/>
                    <w:textAlignment w:val="center"/>
                    <w:rPr>
                      <w:rFonts w:eastAsiaTheme="minorEastAsia"/>
                      <w:szCs w:val="21"/>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6E48F5F4">
                  <w:pPr>
                    <w:widowControl/>
                    <w:jc w:val="center"/>
                    <w:textAlignment w:val="center"/>
                    <w:rPr>
                      <w:rFonts w:eastAsiaTheme="minorEastAsia"/>
                      <w:kern w:val="0"/>
                      <w:szCs w:val="21"/>
                    </w:rPr>
                  </w:pPr>
                  <w:r>
                    <w:rPr>
                      <w:rFonts w:hint="eastAsia" w:eastAsiaTheme="minorEastAsia"/>
                      <w:kern w:val="0"/>
                      <w:szCs w:val="21"/>
                    </w:rPr>
                    <w:t>已建厂房</w:t>
                  </w:r>
                </w:p>
              </w:tc>
            </w:tr>
            <w:tr w14:paraId="0D92C6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268" w:type="dxa"/>
                  <w:vMerge w:val="restart"/>
                  <w:tcBorders>
                    <w:tl2br w:val="nil"/>
                    <w:tr2bl w:val="nil"/>
                  </w:tcBorders>
                  <w:tcMar>
                    <w:top w:w="15" w:type="dxa"/>
                    <w:left w:w="15" w:type="dxa"/>
                    <w:right w:w="15" w:type="dxa"/>
                  </w:tcMar>
                  <w:vAlign w:val="center"/>
                </w:tcPr>
                <w:p w14:paraId="13F1E50F">
                  <w:pPr>
                    <w:widowControl/>
                    <w:jc w:val="center"/>
                    <w:textAlignment w:val="center"/>
                    <w:rPr>
                      <w:rFonts w:asciiTheme="minorEastAsia" w:hAnsiTheme="minorEastAsia" w:eastAsiaTheme="minorEastAsia" w:cstheme="minorEastAsia"/>
                      <w:szCs w:val="21"/>
                    </w:rPr>
                  </w:pPr>
                  <w:r>
                    <w:rPr>
                      <w:rFonts w:hint="eastAsia" w:asciiTheme="minorEastAsia" w:hAnsiTheme="minorEastAsia" w:eastAsiaTheme="minorEastAsia" w:cstheme="minorEastAsia"/>
                      <w:kern w:val="0"/>
                      <w:szCs w:val="21"/>
                    </w:rPr>
                    <w:t>其  中</w:t>
                  </w:r>
                </w:p>
              </w:tc>
              <w:tc>
                <w:tcPr>
                  <w:tcW w:w="1536" w:type="dxa"/>
                  <w:tcBorders>
                    <w:tl2br w:val="nil"/>
                    <w:tr2bl w:val="nil"/>
                  </w:tcBorders>
                  <w:tcMar>
                    <w:top w:w="15" w:type="dxa"/>
                    <w:left w:w="15" w:type="dxa"/>
                    <w:right w:w="15" w:type="dxa"/>
                  </w:tcMar>
                  <w:vAlign w:val="center"/>
                </w:tcPr>
                <w:p w14:paraId="35E97141">
                  <w:pPr>
                    <w:widowControl/>
                    <w:jc w:val="center"/>
                    <w:textAlignment w:val="center"/>
                    <w:rPr>
                      <w:rFonts w:asciiTheme="minorEastAsia" w:hAnsiTheme="minorEastAsia" w:eastAsiaTheme="minorEastAsia" w:cstheme="minorEastAsia"/>
                    </w:rPr>
                  </w:pPr>
                  <w:r>
                    <w:rPr>
                      <w:rFonts w:hint="eastAsia" w:asciiTheme="minorEastAsia" w:hAnsiTheme="minorEastAsia" w:eastAsiaTheme="minorEastAsia" w:cstheme="minorEastAsia"/>
                    </w:rPr>
                    <w:t>生产车间</w:t>
                  </w:r>
                </w:p>
              </w:tc>
              <w:tc>
                <w:tcPr>
                  <w:tcW w:w="1248" w:type="dxa"/>
                  <w:tcBorders>
                    <w:tl2br w:val="nil"/>
                    <w:tr2bl w:val="nil"/>
                  </w:tcBorders>
                  <w:tcMar>
                    <w:top w:w="15" w:type="dxa"/>
                    <w:left w:w="15" w:type="dxa"/>
                    <w:right w:w="15" w:type="dxa"/>
                  </w:tcMar>
                  <w:vAlign w:val="center"/>
                </w:tcPr>
                <w:p w14:paraId="7A036349">
                  <w:pPr>
                    <w:widowControl/>
                    <w:jc w:val="center"/>
                    <w:textAlignment w:val="center"/>
                    <w:rPr>
                      <w:rFonts w:eastAsiaTheme="minorEastAsia"/>
                      <w:szCs w:val="21"/>
                    </w:rPr>
                  </w:pPr>
                  <w:r>
                    <w:rPr>
                      <w:rFonts w:hint="eastAsia" w:eastAsiaTheme="minorEastAsia"/>
                      <w:szCs w:val="21"/>
                    </w:rPr>
                    <w:t>3000</w:t>
                  </w:r>
                </w:p>
              </w:tc>
              <w:tc>
                <w:tcPr>
                  <w:tcW w:w="972" w:type="dxa"/>
                  <w:tcBorders>
                    <w:tl2br w:val="nil"/>
                    <w:tr2bl w:val="nil"/>
                  </w:tcBorders>
                  <w:tcMar>
                    <w:top w:w="15" w:type="dxa"/>
                    <w:left w:w="15" w:type="dxa"/>
                    <w:right w:w="15" w:type="dxa"/>
                  </w:tcMar>
                  <w:vAlign w:val="center"/>
                </w:tcPr>
                <w:p w14:paraId="028AE6A6">
                  <w:pPr>
                    <w:widowControl/>
                    <w:jc w:val="center"/>
                    <w:textAlignment w:val="center"/>
                    <w:rPr>
                      <w:rFonts w:eastAsiaTheme="minorEastAsia"/>
                      <w:szCs w:val="21"/>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196626D3">
                  <w:pPr>
                    <w:widowControl/>
                    <w:jc w:val="center"/>
                    <w:textAlignment w:val="center"/>
                    <w:rPr>
                      <w:rFonts w:eastAsiaTheme="minorEastAsia"/>
                      <w:kern w:val="0"/>
                      <w:szCs w:val="21"/>
                    </w:rPr>
                  </w:pPr>
                  <w:r>
                    <w:rPr>
                      <w:rFonts w:hint="eastAsia" w:eastAsiaTheme="minorEastAsia"/>
                      <w:kern w:val="0"/>
                      <w:szCs w:val="21"/>
                    </w:rPr>
                    <w:t>包括一楼裁布区、环氧区、缠布区、涂装区；二楼组装区、检查区等</w:t>
                  </w:r>
                </w:p>
              </w:tc>
            </w:tr>
            <w:tr w14:paraId="1DACE4A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268" w:type="dxa"/>
                  <w:vMerge w:val="continue"/>
                  <w:tcBorders>
                    <w:tl2br w:val="nil"/>
                    <w:tr2bl w:val="nil"/>
                  </w:tcBorders>
                  <w:tcMar>
                    <w:top w:w="15" w:type="dxa"/>
                    <w:left w:w="15" w:type="dxa"/>
                    <w:right w:w="15" w:type="dxa"/>
                  </w:tcMar>
                  <w:vAlign w:val="center"/>
                </w:tcPr>
                <w:p w14:paraId="15CED406">
                  <w:pPr>
                    <w:widowControl/>
                    <w:jc w:val="center"/>
                    <w:textAlignment w:val="center"/>
                    <w:rPr>
                      <w:rFonts w:asciiTheme="minorEastAsia" w:hAnsiTheme="minorEastAsia" w:eastAsiaTheme="minorEastAsia" w:cstheme="minorEastAsia"/>
                      <w:kern w:val="0"/>
                      <w:szCs w:val="21"/>
                    </w:rPr>
                  </w:pPr>
                </w:p>
              </w:tc>
              <w:tc>
                <w:tcPr>
                  <w:tcW w:w="1536" w:type="dxa"/>
                  <w:tcBorders>
                    <w:tl2br w:val="nil"/>
                    <w:tr2bl w:val="nil"/>
                  </w:tcBorders>
                  <w:tcMar>
                    <w:top w:w="15" w:type="dxa"/>
                    <w:left w:w="15" w:type="dxa"/>
                    <w:right w:w="15" w:type="dxa"/>
                  </w:tcMar>
                  <w:vAlign w:val="center"/>
                </w:tcPr>
                <w:p w14:paraId="5745235A">
                  <w:pPr>
                    <w:widowControl/>
                    <w:jc w:val="center"/>
                    <w:textAlignment w:val="center"/>
                    <w:rPr>
                      <w:rFonts w:asciiTheme="minorEastAsia" w:hAnsiTheme="minorEastAsia" w:eastAsiaTheme="minorEastAsia" w:cstheme="minorEastAsia"/>
                    </w:rPr>
                  </w:pPr>
                  <w:r>
                    <w:rPr>
                      <w:rFonts w:hint="eastAsia" w:asciiTheme="minorEastAsia" w:hAnsiTheme="minorEastAsia" w:eastAsiaTheme="minorEastAsia" w:cstheme="minorEastAsia"/>
                    </w:rPr>
                    <w:t>抛光车间</w:t>
                  </w:r>
                </w:p>
              </w:tc>
              <w:tc>
                <w:tcPr>
                  <w:tcW w:w="1248" w:type="dxa"/>
                  <w:tcBorders>
                    <w:tl2br w:val="nil"/>
                    <w:tr2bl w:val="nil"/>
                  </w:tcBorders>
                  <w:tcMar>
                    <w:top w:w="15" w:type="dxa"/>
                    <w:left w:w="15" w:type="dxa"/>
                    <w:right w:w="15" w:type="dxa"/>
                  </w:tcMar>
                  <w:vAlign w:val="center"/>
                </w:tcPr>
                <w:p w14:paraId="4A015946">
                  <w:pPr>
                    <w:widowControl/>
                    <w:jc w:val="center"/>
                    <w:textAlignment w:val="center"/>
                    <w:rPr>
                      <w:rFonts w:eastAsiaTheme="minorEastAsia"/>
                      <w:szCs w:val="21"/>
                    </w:rPr>
                  </w:pPr>
                  <w:r>
                    <w:rPr>
                      <w:rFonts w:hint="eastAsia" w:eastAsiaTheme="minorEastAsia"/>
                      <w:szCs w:val="21"/>
                    </w:rPr>
                    <w:t>130</w:t>
                  </w:r>
                </w:p>
              </w:tc>
              <w:tc>
                <w:tcPr>
                  <w:tcW w:w="972" w:type="dxa"/>
                  <w:tcBorders>
                    <w:tl2br w:val="nil"/>
                    <w:tr2bl w:val="nil"/>
                  </w:tcBorders>
                  <w:tcMar>
                    <w:top w:w="15" w:type="dxa"/>
                    <w:left w:w="15" w:type="dxa"/>
                    <w:right w:w="15" w:type="dxa"/>
                  </w:tcMar>
                  <w:vAlign w:val="center"/>
                </w:tcPr>
                <w:p w14:paraId="02F0B7B9">
                  <w:pPr>
                    <w:widowControl/>
                    <w:jc w:val="center"/>
                    <w:textAlignment w:val="center"/>
                    <w:rPr>
                      <w:sz w:val="24"/>
                      <w:szCs w:val="24"/>
                      <w:shd w:val="clear" w:color="auto" w:fill="FFFFFF"/>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2E495FB3">
                  <w:pPr>
                    <w:widowControl/>
                    <w:jc w:val="center"/>
                    <w:textAlignment w:val="center"/>
                    <w:rPr>
                      <w:rFonts w:eastAsiaTheme="minorEastAsia"/>
                      <w:kern w:val="0"/>
                      <w:szCs w:val="21"/>
                    </w:rPr>
                  </w:pPr>
                  <w:r>
                    <w:rPr>
                      <w:rFonts w:hint="eastAsia" w:eastAsiaTheme="minorEastAsia"/>
                      <w:kern w:val="0"/>
                      <w:szCs w:val="21"/>
                    </w:rPr>
                    <w:t>位于一楼车间东侧</w:t>
                  </w:r>
                </w:p>
              </w:tc>
            </w:tr>
            <w:tr w14:paraId="6C21CB6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268" w:type="dxa"/>
                  <w:vMerge w:val="continue"/>
                  <w:tcBorders>
                    <w:tl2br w:val="nil"/>
                    <w:tr2bl w:val="nil"/>
                  </w:tcBorders>
                  <w:tcMar>
                    <w:top w:w="15" w:type="dxa"/>
                    <w:left w:w="15" w:type="dxa"/>
                    <w:right w:w="15" w:type="dxa"/>
                  </w:tcMar>
                  <w:vAlign w:val="center"/>
                </w:tcPr>
                <w:p w14:paraId="60163BEE">
                  <w:pPr>
                    <w:jc w:val="center"/>
                    <w:rPr>
                      <w:rFonts w:eastAsiaTheme="minorEastAsia"/>
                      <w:szCs w:val="21"/>
                    </w:rPr>
                  </w:pPr>
                </w:p>
              </w:tc>
              <w:tc>
                <w:tcPr>
                  <w:tcW w:w="1536" w:type="dxa"/>
                  <w:tcBorders>
                    <w:tl2br w:val="nil"/>
                    <w:tr2bl w:val="nil"/>
                  </w:tcBorders>
                  <w:tcMar>
                    <w:top w:w="15" w:type="dxa"/>
                    <w:left w:w="15" w:type="dxa"/>
                    <w:right w:w="15" w:type="dxa"/>
                  </w:tcMar>
                  <w:vAlign w:val="center"/>
                </w:tcPr>
                <w:p w14:paraId="433DA151">
                  <w:pPr>
                    <w:widowControl/>
                    <w:jc w:val="center"/>
                    <w:textAlignment w:val="center"/>
                    <w:rPr>
                      <w:rFonts w:eastAsiaTheme="minorEastAsia"/>
                      <w:szCs w:val="21"/>
                    </w:rPr>
                  </w:pPr>
                  <w:r>
                    <w:rPr>
                      <w:rFonts w:hint="eastAsia" w:eastAsiaTheme="minorEastAsia"/>
                      <w:kern w:val="0"/>
                      <w:szCs w:val="21"/>
                    </w:rPr>
                    <w:t>仓库</w:t>
                  </w:r>
                </w:p>
              </w:tc>
              <w:tc>
                <w:tcPr>
                  <w:tcW w:w="1248" w:type="dxa"/>
                  <w:tcBorders>
                    <w:tl2br w:val="nil"/>
                    <w:tr2bl w:val="nil"/>
                  </w:tcBorders>
                  <w:tcMar>
                    <w:top w:w="15" w:type="dxa"/>
                    <w:left w:w="15" w:type="dxa"/>
                    <w:right w:w="15" w:type="dxa"/>
                  </w:tcMar>
                  <w:vAlign w:val="center"/>
                </w:tcPr>
                <w:p w14:paraId="39F81D8F">
                  <w:pPr>
                    <w:widowControl/>
                    <w:jc w:val="center"/>
                    <w:textAlignment w:val="center"/>
                  </w:pPr>
                  <w:r>
                    <w:rPr>
                      <w:rFonts w:hint="eastAsia"/>
                    </w:rPr>
                    <w:t>130</w:t>
                  </w:r>
                </w:p>
              </w:tc>
              <w:tc>
                <w:tcPr>
                  <w:tcW w:w="972" w:type="dxa"/>
                  <w:tcBorders>
                    <w:tl2br w:val="nil"/>
                    <w:tr2bl w:val="nil"/>
                  </w:tcBorders>
                  <w:tcMar>
                    <w:top w:w="15" w:type="dxa"/>
                    <w:left w:w="15" w:type="dxa"/>
                    <w:right w:w="15" w:type="dxa"/>
                  </w:tcMar>
                  <w:vAlign w:val="center"/>
                </w:tcPr>
                <w:p w14:paraId="63104B15">
                  <w:pPr>
                    <w:widowControl/>
                    <w:jc w:val="center"/>
                    <w:textAlignment w:val="center"/>
                    <w:rPr>
                      <w:rFonts w:eastAsiaTheme="minorEastAsia"/>
                      <w:szCs w:val="21"/>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3172AF76">
                  <w:pPr>
                    <w:widowControl/>
                    <w:jc w:val="center"/>
                    <w:textAlignment w:val="center"/>
                    <w:rPr>
                      <w:rFonts w:eastAsiaTheme="minorEastAsia"/>
                      <w:kern w:val="0"/>
                      <w:szCs w:val="21"/>
                    </w:rPr>
                  </w:pPr>
                  <w:r>
                    <w:rPr>
                      <w:rFonts w:hint="eastAsia" w:eastAsiaTheme="minorEastAsia"/>
                      <w:kern w:val="0"/>
                      <w:szCs w:val="21"/>
                    </w:rPr>
                    <w:t>位于：二楼东侧，主要用于原料、成品的存储</w:t>
                  </w:r>
                </w:p>
              </w:tc>
            </w:tr>
            <w:tr w14:paraId="5010E74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268" w:type="dxa"/>
                  <w:vMerge w:val="continue"/>
                  <w:tcBorders>
                    <w:tl2br w:val="nil"/>
                    <w:tr2bl w:val="nil"/>
                  </w:tcBorders>
                  <w:tcMar>
                    <w:top w:w="15" w:type="dxa"/>
                    <w:left w:w="15" w:type="dxa"/>
                    <w:right w:w="15" w:type="dxa"/>
                  </w:tcMar>
                  <w:vAlign w:val="center"/>
                </w:tcPr>
                <w:p w14:paraId="70DF39DF">
                  <w:pPr>
                    <w:jc w:val="center"/>
                    <w:rPr>
                      <w:rFonts w:eastAsiaTheme="minorEastAsia"/>
                      <w:szCs w:val="21"/>
                    </w:rPr>
                  </w:pPr>
                </w:p>
              </w:tc>
              <w:tc>
                <w:tcPr>
                  <w:tcW w:w="1536" w:type="dxa"/>
                  <w:tcBorders>
                    <w:tl2br w:val="nil"/>
                    <w:tr2bl w:val="nil"/>
                  </w:tcBorders>
                  <w:tcMar>
                    <w:top w:w="15" w:type="dxa"/>
                    <w:left w:w="15" w:type="dxa"/>
                    <w:right w:w="15" w:type="dxa"/>
                  </w:tcMar>
                  <w:vAlign w:val="center"/>
                </w:tcPr>
                <w:p w14:paraId="39B7B95E">
                  <w:pPr>
                    <w:widowControl/>
                    <w:jc w:val="center"/>
                    <w:textAlignment w:val="center"/>
                    <w:rPr>
                      <w:rFonts w:eastAsiaTheme="minorEastAsia"/>
                      <w:kern w:val="0"/>
                      <w:szCs w:val="21"/>
                    </w:rPr>
                  </w:pPr>
                  <w:r>
                    <w:rPr>
                      <w:rFonts w:hint="eastAsia" w:eastAsiaTheme="minorEastAsia"/>
                      <w:kern w:val="0"/>
                      <w:szCs w:val="21"/>
                    </w:rPr>
                    <w:t>办公室</w:t>
                  </w:r>
                </w:p>
              </w:tc>
              <w:tc>
                <w:tcPr>
                  <w:tcW w:w="1248" w:type="dxa"/>
                  <w:tcBorders>
                    <w:tl2br w:val="nil"/>
                    <w:tr2bl w:val="nil"/>
                  </w:tcBorders>
                  <w:tcMar>
                    <w:top w:w="15" w:type="dxa"/>
                    <w:left w:w="15" w:type="dxa"/>
                    <w:right w:w="15" w:type="dxa"/>
                  </w:tcMar>
                  <w:vAlign w:val="center"/>
                </w:tcPr>
                <w:p w14:paraId="2AE3039B">
                  <w:pPr>
                    <w:widowControl/>
                    <w:jc w:val="center"/>
                    <w:textAlignment w:val="center"/>
                    <w:rPr>
                      <w:rFonts w:eastAsiaTheme="minorEastAsia"/>
                      <w:szCs w:val="21"/>
                    </w:rPr>
                  </w:pPr>
                  <w:r>
                    <w:rPr>
                      <w:rFonts w:hint="eastAsia" w:eastAsiaTheme="minorEastAsia"/>
                      <w:szCs w:val="21"/>
                    </w:rPr>
                    <w:t>300</w:t>
                  </w:r>
                </w:p>
              </w:tc>
              <w:tc>
                <w:tcPr>
                  <w:tcW w:w="972" w:type="dxa"/>
                  <w:tcBorders>
                    <w:tl2br w:val="nil"/>
                    <w:tr2bl w:val="nil"/>
                  </w:tcBorders>
                  <w:tcMar>
                    <w:top w:w="15" w:type="dxa"/>
                    <w:left w:w="15" w:type="dxa"/>
                    <w:right w:w="15" w:type="dxa"/>
                  </w:tcMar>
                  <w:vAlign w:val="center"/>
                </w:tcPr>
                <w:p w14:paraId="12E0F480">
                  <w:pPr>
                    <w:widowControl/>
                    <w:jc w:val="center"/>
                    <w:textAlignment w:val="center"/>
                    <w:rPr>
                      <w:rFonts w:eastAsiaTheme="minorEastAsia"/>
                      <w:kern w:val="0"/>
                      <w:szCs w:val="21"/>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4F56A3E9">
                  <w:pPr>
                    <w:widowControl/>
                    <w:jc w:val="center"/>
                    <w:textAlignment w:val="center"/>
                    <w:rPr>
                      <w:rFonts w:eastAsiaTheme="minorEastAsia"/>
                      <w:kern w:val="0"/>
                      <w:szCs w:val="21"/>
                    </w:rPr>
                  </w:pPr>
                  <w:r>
                    <w:rPr>
                      <w:rFonts w:hint="eastAsia" w:eastAsiaTheme="minorEastAsia"/>
                      <w:kern w:val="0"/>
                      <w:szCs w:val="21"/>
                    </w:rPr>
                    <w:t>主要用于办公生活</w:t>
                  </w:r>
                </w:p>
              </w:tc>
            </w:tr>
            <w:tr w14:paraId="0993D74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268" w:type="dxa"/>
                  <w:vMerge w:val="continue"/>
                  <w:tcBorders>
                    <w:tl2br w:val="nil"/>
                    <w:tr2bl w:val="nil"/>
                  </w:tcBorders>
                  <w:tcMar>
                    <w:top w:w="15" w:type="dxa"/>
                    <w:left w:w="15" w:type="dxa"/>
                    <w:right w:w="15" w:type="dxa"/>
                  </w:tcMar>
                  <w:vAlign w:val="center"/>
                </w:tcPr>
                <w:p w14:paraId="20CF6F68">
                  <w:pPr>
                    <w:jc w:val="center"/>
                    <w:rPr>
                      <w:rFonts w:eastAsiaTheme="minorEastAsia"/>
                      <w:szCs w:val="21"/>
                    </w:rPr>
                  </w:pPr>
                </w:p>
              </w:tc>
              <w:tc>
                <w:tcPr>
                  <w:tcW w:w="1536" w:type="dxa"/>
                  <w:tcBorders>
                    <w:tl2br w:val="nil"/>
                    <w:tr2bl w:val="nil"/>
                  </w:tcBorders>
                  <w:tcMar>
                    <w:top w:w="15" w:type="dxa"/>
                    <w:left w:w="15" w:type="dxa"/>
                    <w:right w:w="15" w:type="dxa"/>
                  </w:tcMar>
                  <w:vAlign w:val="center"/>
                </w:tcPr>
                <w:p w14:paraId="0B6AECAD">
                  <w:pPr>
                    <w:widowControl/>
                    <w:jc w:val="center"/>
                    <w:textAlignment w:val="center"/>
                    <w:rPr>
                      <w:rFonts w:eastAsiaTheme="minorEastAsia"/>
                      <w:kern w:val="0"/>
                      <w:szCs w:val="21"/>
                    </w:rPr>
                  </w:pPr>
                  <w:r>
                    <w:rPr>
                      <w:rFonts w:hint="eastAsia" w:eastAsiaTheme="minorEastAsia"/>
                      <w:kern w:val="0"/>
                      <w:szCs w:val="21"/>
                    </w:rPr>
                    <w:t>一般固废库</w:t>
                  </w:r>
                </w:p>
              </w:tc>
              <w:tc>
                <w:tcPr>
                  <w:tcW w:w="1248" w:type="dxa"/>
                  <w:tcBorders>
                    <w:tl2br w:val="nil"/>
                    <w:tr2bl w:val="nil"/>
                  </w:tcBorders>
                  <w:tcMar>
                    <w:top w:w="15" w:type="dxa"/>
                    <w:left w:w="15" w:type="dxa"/>
                    <w:right w:w="15" w:type="dxa"/>
                  </w:tcMar>
                  <w:vAlign w:val="center"/>
                </w:tcPr>
                <w:p w14:paraId="0A323B91">
                  <w:pPr>
                    <w:widowControl/>
                    <w:jc w:val="center"/>
                    <w:textAlignment w:val="center"/>
                    <w:rPr>
                      <w:rFonts w:eastAsiaTheme="minorEastAsia"/>
                      <w:szCs w:val="21"/>
                    </w:rPr>
                  </w:pPr>
                  <w:r>
                    <w:rPr>
                      <w:rFonts w:hint="eastAsia" w:eastAsiaTheme="minorEastAsia"/>
                      <w:szCs w:val="21"/>
                    </w:rPr>
                    <w:t>10</w:t>
                  </w:r>
                </w:p>
              </w:tc>
              <w:tc>
                <w:tcPr>
                  <w:tcW w:w="972" w:type="dxa"/>
                  <w:tcBorders>
                    <w:tl2br w:val="nil"/>
                    <w:tr2bl w:val="nil"/>
                  </w:tcBorders>
                  <w:tcMar>
                    <w:top w:w="15" w:type="dxa"/>
                    <w:left w:w="15" w:type="dxa"/>
                    <w:right w:w="15" w:type="dxa"/>
                  </w:tcMar>
                  <w:vAlign w:val="center"/>
                </w:tcPr>
                <w:p w14:paraId="0CDE8A67">
                  <w:pPr>
                    <w:widowControl/>
                    <w:jc w:val="center"/>
                    <w:textAlignment w:val="center"/>
                    <w:rPr>
                      <w:rFonts w:eastAsiaTheme="minorEastAsia"/>
                      <w:kern w:val="0"/>
                      <w:szCs w:val="21"/>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68CD9E62">
                  <w:pPr>
                    <w:widowControl/>
                    <w:jc w:val="center"/>
                    <w:textAlignment w:val="center"/>
                    <w:rPr>
                      <w:rFonts w:eastAsiaTheme="minorEastAsia"/>
                      <w:kern w:val="0"/>
                      <w:szCs w:val="21"/>
                    </w:rPr>
                  </w:pPr>
                  <w:r>
                    <w:rPr>
                      <w:rFonts w:hint="eastAsia" w:eastAsiaTheme="minorEastAsia"/>
                      <w:kern w:val="0"/>
                      <w:szCs w:val="21"/>
                    </w:rPr>
                    <w:t>位于一楼车间东侧，用于一般固废的暂存</w:t>
                  </w:r>
                </w:p>
              </w:tc>
            </w:tr>
            <w:tr w14:paraId="41F9FA8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1268" w:type="dxa"/>
                  <w:vMerge w:val="continue"/>
                  <w:tcBorders>
                    <w:tl2br w:val="nil"/>
                    <w:tr2bl w:val="nil"/>
                  </w:tcBorders>
                  <w:tcMar>
                    <w:top w:w="15" w:type="dxa"/>
                    <w:left w:w="15" w:type="dxa"/>
                    <w:right w:w="15" w:type="dxa"/>
                  </w:tcMar>
                  <w:vAlign w:val="center"/>
                </w:tcPr>
                <w:p w14:paraId="4FADC851">
                  <w:pPr>
                    <w:jc w:val="center"/>
                    <w:rPr>
                      <w:rFonts w:eastAsiaTheme="minorEastAsia"/>
                      <w:szCs w:val="21"/>
                    </w:rPr>
                  </w:pPr>
                </w:p>
              </w:tc>
              <w:tc>
                <w:tcPr>
                  <w:tcW w:w="1536" w:type="dxa"/>
                  <w:tcBorders>
                    <w:tl2br w:val="nil"/>
                    <w:tr2bl w:val="nil"/>
                  </w:tcBorders>
                  <w:tcMar>
                    <w:top w:w="15" w:type="dxa"/>
                    <w:left w:w="15" w:type="dxa"/>
                    <w:right w:w="15" w:type="dxa"/>
                  </w:tcMar>
                  <w:vAlign w:val="center"/>
                </w:tcPr>
                <w:p w14:paraId="6C00EB87">
                  <w:pPr>
                    <w:widowControl/>
                    <w:jc w:val="center"/>
                    <w:textAlignment w:val="center"/>
                    <w:rPr>
                      <w:rFonts w:eastAsiaTheme="minorEastAsia"/>
                      <w:szCs w:val="21"/>
                    </w:rPr>
                  </w:pPr>
                  <w:r>
                    <w:rPr>
                      <w:rFonts w:eastAsiaTheme="minorEastAsia"/>
                      <w:kern w:val="0"/>
                      <w:szCs w:val="21"/>
                    </w:rPr>
                    <w:t>危废库</w:t>
                  </w:r>
                </w:p>
              </w:tc>
              <w:tc>
                <w:tcPr>
                  <w:tcW w:w="1248" w:type="dxa"/>
                  <w:tcBorders>
                    <w:tl2br w:val="nil"/>
                    <w:tr2bl w:val="nil"/>
                  </w:tcBorders>
                  <w:tcMar>
                    <w:top w:w="15" w:type="dxa"/>
                    <w:left w:w="15" w:type="dxa"/>
                    <w:right w:w="15" w:type="dxa"/>
                  </w:tcMar>
                  <w:vAlign w:val="center"/>
                </w:tcPr>
                <w:p w14:paraId="7624CEAC">
                  <w:pPr>
                    <w:widowControl/>
                    <w:jc w:val="center"/>
                    <w:textAlignment w:val="center"/>
                    <w:rPr>
                      <w:rFonts w:eastAsiaTheme="minorEastAsia"/>
                      <w:szCs w:val="21"/>
                    </w:rPr>
                  </w:pPr>
                  <w:r>
                    <w:rPr>
                      <w:rFonts w:hint="eastAsia" w:eastAsiaTheme="minorEastAsia"/>
                      <w:szCs w:val="21"/>
                    </w:rPr>
                    <w:t>10</w:t>
                  </w:r>
                </w:p>
              </w:tc>
              <w:tc>
                <w:tcPr>
                  <w:tcW w:w="972" w:type="dxa"/>
                  <w:tcBorders>
                    <w:tl2br w:val="nil"/>
                    <w:tr2bl w:val="nil"/>
                  </w:tcBorders>
                  <w:tcMar>
                    <w:top w:w="15" w:type="dxa"/>
                    <w:left w:w="15" w:type="dxa"/>
                    <w:right w:w="15" w:type="dxa"/>
                  </w:tcMar>
                  <w:vAlign w:val="center"/>
                </w:tcPr>
                <w:p w14:paraId="2C33F278">
                  <w:pPr>
                    <w:widowControl/>
                    <w:jc w:val="center"/>
                    <w:textAlignment w:val="center"/>
                    <w:rPr>
                      <w:rFonts w:eastAsiaTheme="minorEastAsia"/>
                      <w:szCs w:val="21"/>
                    </w:rPr>
                  </w:pPr>
                  <w:r>
                    <w:rPr>
                      <w:sz w:val="24"/>
                      <w:szCs w:val="24"/>
                      <w:shd w:val="clear" w:color="auto" w:fill="FFFFFF"/>
                    </w:rPr>
                    <w:t>m</w:t>
                  </w:r>
                  <w:r>
                    <w:rPr>
                      <w:sz w:val="24"/>
                      <w:szCs w:val="24"/>
                      <w:shd w:val="clear" w:color="auto" w:fill="FFFFFF"/>
                      <w:vertAlign w:val="superscript"/>
                    </w:rPr>
                    <w:t>2</w:t>
                  </w:r>
                </w:p>
              </w:tc>
              <w:tc>
                <w:tcPr>
                  <w:tcW w:w="3954" w:type="dxa"/>
                  <w:tcBorders>
                    <w:tl2br w:val="nil"/>
                    <w:tr2bl w:val="nil"/>
                  </w:tcBorders>
                  <w:tcMar>
                    <w:top w:w="15" w:type="dxa"/>
                    <w:left w:w="15" w:type="dxa"/>
                    <w:right w:w="15" w:type="dxa"/>
                  </w:tcMar>
                  <w:vAlign w:val="center"/>
                </w:tcPr>
                <w:p w14:paraId="26E821CA">
                  <w:pPr>
                    <w:widowControl/>
                    <w:jc w:val="center"/>
                    <w:textAlignment w:val="center"/>
                    <w:rPr>
                      <w:rFonts w:eastAsiaTheme="minorEastAsia"/>
                      <w:kern w:val="0"/>
                      <w:szCs w:val="21"/>
                    </w:rPr>
                  </w:pPr>
                  <w:r>
                    <w:rPr>
                      <w:rFonts w:hint="eastAsia" w:eastAsiaTheme="minorEastAsia"/>
                      <w:kern w:val="0"/>
                      <w:szCs w:val="21"/>
                    </w:rPr>
                    <w:t>位于一楼车间西侧，用于危险废物的暂存</w:t>
                  </w:r>
                </w:p>
              </w:tc>
            </w:tr>
          </w:tbl>
          <w:p w14:paraId="1B7A17C8">
            <w:pPr>
              <w:pStyle w:val="83"/>
              <w:numPr>
                <w:ilvl w:val="0"/>
                <w:numId w:val="4"/>
              </w:numPr>
              <w:ind w:left="0" w:leftChars="0"/>
            </w:pPr>
            <w:r>
              <w:t>主要产品方案</w:t>
            </w:r>
          </w:p>
          <w:p w14:paraId="2B4D53FC">
            <w:pPr>
              <w:pStyle w:val="83"/>
              <w:ind w:left="0" w:leftChars="0"/>
              <w:rPr>
                <w:rFonts w:eastAsia="黑体"/>
              </w:rPr>
            </w:pPr>
            <w:r>
              <w:t xml:space="preserve">                    </w:t>
            </w:r>
            <w:r>
              <w:rPr>
                <w:b/>
                <w:bCs/>
              </w:rPr>
              <w:t xml:space="preserve">  表</w:t>
            </w:r>
            <w:r>
              <w:rPr>
                <w:b/>
                <w:bCs/>
                <w:lang w:val="en-US"/>
              </w:rPr>
              <w:t xml:space="preserve">1-2  </w:t>
            </w:r>
            <w:r>
              <w:rPr>
                <w:b/>
                <w:bCs/>
              </w:rPr>
              <w:t>主要产品及产量</w:t>
            </w:r>
          </w:p>
          <w:tbl>
            <w:tblPr>
              <w:tblStyle w:val="27"/>
              <w:tblW w:w="884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1584"/>
              <w:gridCol w:w="1596"/>
              <w:gridCol w:w="3286"/>
            </w:tblGrid>
            <w:tr w14:paraId="7F4A93A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2376" w:type="dxa"/>
                  <w:vAlign w:val="center"/>
                </w:tcPr>
                <w:p w14:paraId="66168051">
                  <w:pPr>
                    <w:jc w:val="center"/>
                    <w:rPr>
                      <w:szCs w:val="21"/>
                    </w:rPr>
                  </w:pPr>
                  <w:r>
                    <w:rPr>
                      <w:szCs w:val="21"/>
                    </w:rPr>
                    <w:t>产品名称</w:t>
                  </w:r>
                </w:p>
              </w:tc>
              <w:tc>
                <w:tcPr>
                  <w:tcW w:w="1584" w:type="dxa"/>
                  <w:vAlign w:val="center"/>
                </w:tcPr>
                <w:p w14:paraId="6EBC1973">
                  <w:pPr>
                    <w:jc w:val="center"/>
                    <w:rPr>
                      <w:szCs w:val="21"/>
                    </w:rPr>
                  </w:pPr>
                  <w:r>
                    <w:rPr>
                      <w:szCs w:val="21"/>
                    </w:rPr>
                    <w:t>单位</w:t>
                  </w:r>
                </w:p>
              </w:tc>
              <w:tc>
                <w:tcPr>
                  <w:tcW w:w="1596" w:type="dxa"/>
                  <w:vAlign w:val="center"/>
                </w:tcPr>
                <w:p w14:paraId="3C330465">
                  <w:pPr>
                    <w:jc w:val="center"/>
                    <w:rPr>
                      <w:szCs w:val="21"/>
                    </w:rPr>
                  </w:pPr>
                  <w:r>
                    <w:rPr>
                      <w:szCs w:val="21"/>
                    </w:rPr>
                    <w:t>产量</w:t>
                  </w:r>
                </w:p>
              </w:tc>
              <w:tc>
                <w:tcPr>
                  <w:tcW w:w="3286" w:type="dxa"/>
                  <w:vAlign w:val="center"/>
                </w:tcPr>
                <w:p w14:paraId="4599BD4F">
                  <w:pPr>
                    <w:jc w:val="center"/>
                    <w:rPr>
                      <w:szCs w:val="21"/>
                    </w:rPr>
                  </w:pPr>
                  <w:r>
                    <w:rPr>
                      <w:szCs w:val="21"/>
                    </w:rPr>
                    <w:t>销路与去向</w:t>
                  </w:r>
                </w:p>
              </w:tc>
            </w:tr>
            <w:tr w14:paraId="1C54D47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2376" w:type="dxa"/>
                  <w:vAlign w:val="center"/>
                </w:tcPr>
                <w:p w14:paraId="3C6B0228">
                  <w:pPr>
                    <w:jc w:val="center"/>
                    <w:rPr>
                      <w:szCs w:val="21"/>
                    </w:rPr>
                  </w:pPr>
                  <w:r>
                    <w:rPr>
                      <w:rFonts w:hint="eastAsia"/>
                      <w:szCs w:val="21"/>
                    </w:rPr>
                    <w:t>鱼竿</w:t>
                  </w:r>
                </w:p>
              </w:tc>
              <w:tc>
                <w:tcPr>
                  <w:tcW w:w="1584" w:type="dxa"/>
                  <w:vAlign w:val="center"/>
                </w:tcPr>
                <w:p w14:paraId="42ED3FAC">
                  <w:pPr>
                    <w:jc w:val="center"/>
                    <w:rPr>
                      <w:szCs w:val="21"/>
                    </w:rPr>
                  </w:pPr>
                  <w:r>
                    <w:rPr>
                      <w:rFonts w:hint="eastAsia"/>
                      <w:bCs/>
                      <w:szCs w:val="21"/>
                    </w:rPr>
                    <w:t>万节</w:t>
                  </w:r>
                  <w:r>
                    <w:rPr>
                      <w:bCs/>
                      <w:szCs w:val="21"/>
                    </w:rPr>
                    <w:t>/a</w:t>
                  </w:r>
                </w:p>
              </w:tc>
              <w:tc>
                <w:tcPr>
                  <w:tcW w:w="1596" w:type="dxa"/>
                  <w:vAlign w:val="center"/>
                </w:tcPr>
                <w:p w14:paraId="0829B59D">
                  <w:pPr>
                    <w:jc w:val="center"/>
                    <w:rPr>
                      <w:szCs w:val="21"/>
                    </w:rPr>
                  </w:pPr>
                  <w:r>
                    <w:rPr>
                      <w:rFonts w:hint="eastAsia"/>
                      <w:szCs w:val="21"/>
                    </w:rPr>
                    <w:t>120</w:t>
                  </w:r>
                </w:p>
              </w:tc>
              <w:tc>
                <w:tcPr>
                  <w:tcW w:w="3286" w:type="dxa"/>
                  <w:vAlign w:val="center"/>
                </w:tcPr>
                <w:p w14:paraId="53BB9008">
                  <w:pPr>
                    <w:jc w:val="center"/>
                    <w:rPr>
                      <w:szCs w:val="21"/>
                    </w:rPr>
                  </w:pPr>
                  <w:r>
                    <w:rPr>
                      <w:rFonts w:hint="eastAsia"/>
                      <w:szCs w:val="21"/>
                    </w:rPr>
                    <w:t>20%国内，80%国外</w:t>
                  </w:r>
                </w:p>
              </w:tc>
            </w:tr>
            <w:tr w14:paraId="09AD178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2376" w:type="dxa"/>
                  <w:vAlign w:val="center"/>
                </w:tcPr>
                <w:p w14:paraId="4F469175">
                  <w:pPr>
                    <w:jc w:val="center"/>
                    <w:rPr>
                      <w:szCs w:val="21"/>
                    </w:rPr>
                  </w:pPr>
                  <w:r>
                    <w:rPr>
                      <w:rFonts w:hint="eastAsia"/>
                      <w:szCs w:val="21"/>
                    </w:rPr>
                    <w:t>手柄</w:t>
                  </w:r>
                </w:p>
              </w:tc>
              <w:tc>
                <w:tcPr>
                  <w:tcW w:w="1584" w:type="dxa"/>
                  <w:vAlign w:val="center"/>
                </w:tcPr>
                <w:p w14:paraId="18C9E8CA">
                  <w:pPr>
                    <w:jc w:val="center"/>
                    <w:rPr>
                      <w:bCs/>
                      <w:szCs w:val="21"/>
                    </w:rPr>
                  </w:pPr>
                  <w:r>
                    <w:rPr>
                      <w:rFonts w:hint="eastAsia"/>
                      <w:bCs/>
                      <w:szCs w:val="21"/>
                    </w:rPr>
                    <w:t>万个/a</w:t>
                  </w:r>
                </w:p>
              </w:tc>
              <w:tc>
                <w:tcPr>
                  <w:tcW w:w="1596" w:type="dxa"/>
                  <w:vAlign w:val="center"/>
                </w:tcPr>
                <w:p w14:paraId="2098AA38">
                  <w:pPr>
                    <w:jc w:val="center"/>
                    <w:rPr>
                      <w:szCs w:val="21"/>
                    </w:rPr>
                  </w:pPr>
                  <w:r>
                    <w:rPr>
                      <w:rFonts w:hint="eastAsia"/>
                      <w:szCs w:val="21"/>
                    </w:rPr>
                    <w:t>50</w:t>
                  </w:r>
                </w:p>
              </w:tc>
              <w:tc>
                <w:tcPr>
                  <w:tcW w:w="3286" w:type="dxa"/>
                  <w:vAlign w:val="center"/>
                </w:tcPr>
                <w:p w14:paraId="3058EC9B">
                  <w:pPr>
                    <w:jc w:val="center"/>
                    <w:rPr>
                      <w:szCs w:val="21"/>
                    </w:rPr>
                  </w:pPr>
                  <w:r>
                    <w:rPr>
                      <w:rFonts w:hint="eastAsia"/>
                      <w:szCs w:val="21"/>
                    </w:rPr>
                    <w:t>自用</w:t>
                  </w:r>
                </w:p>
              </w:tc>
            </w:tr>
          </w:tbl>
          <w:p w14:paraId="135C664E">
            <w:pPr>
              <w:pStyle w:val="83"/>
              <w:ind w:left="420" w:leftChars="200" w:firstLine="0" w:firstLineChars="0"/>
            </w:pPr>
            <w:r>
              <w:t>（</w:t>
            </w:r>
            <w:r>
              <w:rPr>
                <w:lang w:val="en-US"/>
              </w:rPr>
              <w:t>9</w:t>
            </w:r>
            <w:r>
              <w:t>）主要原辅材料</w:t>
            </w:r>
          </w:p>
          <w:p w14:paraId="477FD0A0">
            <w:pPr>
              <w:pStyle w:val="83"/>
              <w:ind w:left="0" w:leftChars="0" w:firstLine="0" w:firstLineChars="0"/>
              <w:jc w:val="center"/>
            </w:pPr>
            <w:r>
              <w:rPr>
                <w:b/>
                <w:bCs/>
              </w:rPr>
              <w:t>表</w:t>
            </w:r>
            <w:r>
              <w:rPr>
                <w:b/>
                <w:bCs/>
                <w:lang w:val="en-US"/>
              </w:rPr>
              <w:t>1-3a</w:t>
            </w:r>
            <w:r>
              <w:rPr>
                <w:b/>
                <w:bCs/>
              </w:rPr>
              <w:t xml:space="preserve"> 主要原辅材料消耗一览表</w:t>
            </w:r>
          </w:p>
          <w:tbl>
            <w:tblPr>
              <w:tblStyle w:val="27"/>
              <w:tblW w:w="887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340"/>
              <w:gridCol w:w="1992"/>
              <w:gridCol w:w="1320"/>
              <w:gridCol w:w="2222"/>
            </w:tblGrid>
            <w:tr w14:paraId="4B81EF1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340" w:type="dxa"/>
                  <w:vAlign w:val="center"/>
                </w:tcPr>
                <w:p w14:paraId="237987A2">
                  <w:pPr>
                    <w:pStyle w:val="93"/>
                    <w:ind w:firstLine="0" w:firstLineChars="0"/>
                    <w:jc w:val="center"/>
                    <w:rPr>
                      <w:rFonts w:ascii="Times New Roman" w:hAnsi="Times New Roman" w:eastAsiaTheme="minorEastAsia"/>
                      <w:szCs w:val="21"/>
                    </w:rPr>
                  </w:pPr>
                  <w:r>
                    <w:rPr>
                      <w:rFonts w:ascii="Times New Roman" w:hAnsi="Times New Roman" w:eastAsiaTheme="minorEastAsia"/>
                      <w:szCs w:val="21"/>
                    </w:rPr>
                    <w:t>原、辅料名称</w:t>
                  </w:r>
                </w:p>
              </w:tc>
              <w:tc>
                <w:tcPr>
                  <w:tcW w:w="1992" w:type="dxa"/>
                  <w:vAlign w:val="center"/>
                </w:tcPr>
                <w:p w14:paraId="7E22ADDD">
                  <w:pPr>
                    <w:pStyle w:val="93"/>
                    <w:ind w:firstLine="0" w:firstLineChars="0"/>
                    <w:jc w:val="center"/>
                    <w:rPr>
                      <w:rFonts w:ascii="Times New Roman" w:hAnsi="Times New Roman" w:eastAsiaTheme="minorEastAsia"/>
                      <w:szCs w:val="21"/>
                    </w:rPr>
                  </w:pPr>
                  <w:r>
                    <w:rPr>
                      <w:rFonts w:ascii="Times New Roman" w:hAnsi="Times New Roman" w:eastAsiaTheme="minorEastAsia"/>
                      <w:szCs w:val="21"/>
                    </w:rPr>
                    <w:t>单位</w:t>
                  </w:r>
                </w:p>
              </w:tc>
              <w:tc>
                <w:tcPr>
                  <w:tcW w:w="1320" w:type="dxa"/>
                  <w:vAlign w:val="center"/>
                </w:tcPr>
                <w:p w14:paraId="6C09985F">
                  <w:pPr>
                    <w:pStyle w:val="93"/>
                    <w:ind w:firstLine="0" w:firstLineChars="0"/>
                    <w:jc w:val="center"/>
                    <w:rPr>
                      <w:rFonts w:ascii="Times New Roman" w:hAnsi="Times New Roman" w:eastAsiaTheme="minorEastAsia"/>
                      <w:szCs w:val="21"/>
                    </w:rPr>
                  </w:pPr>
                  <w:r>
                    <w:rPr>
                      <w:rFonts w:ascii="Times New Roman" w:hAnsi="Times New Roman" w:eastAsiaTheme="minorEastAsia"/>
                      <w:szCs w:val="21"/>
                    </w:rPr>
                    <w:t>年用量</w:t>
                  </w:r>
                </w:p>
              </w:tc>
              <w:tc>
                <w:tcPr>
                  <w:tcW w:w="2222" w:type="dxa"/>
                  <w:vAlign w:val="center"/>
                </w:tcPr>
                <w:p w14:paraId="58135FDD">
                  <w:pPr>
                    <w:pStyle w:val="93"/>
                    <w:ind w:firstLine="0" w:firstLineChars="0"/>
                    <w:jc w:val="center"/>
                    <w:rPr>
                      <w:rFonts w:ascii="Times New Roman" w:hAnsi="Times New Roman" w:eastAsiaTheme="minorEastAsia"/>
                      <w:szCs w:val="21"/>
                    </w:rPr>
                  </w:pPr>
                  <w:r>
                    <w:rPr>
                      <w:rFonts w:ascii="Times New Roman" w:hAnsi="Times New Roman" w:eastAsiaTheme="minorEastAsia"/>
                      <w:szCs w:val="21"/>
                    </w:rPr>
                    <w:t>来源</w:t>
                  </w:r>
                </w:p>
              </w:tc>
            </w:tr>
            <w:tr w14:paraId="4973656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340" w:type="dxa"/>
                  <w:vAlign w:val="center"/>
                </w:tcPr>
                <w:p w14:paraId="08E9DA40">
                  <w:pPr>
                    <w:jc w:val="center"/>
                    <w:rPr>
                      <w:rFonts w:eastAsiaTheme="minorEastAsia"/>
                      <w:szCs w:val="21"/>
                    </w:rPr>
                  </w:pPr>
                  <w:r>
                    <w:rPr>
                      <w:szCs w:val="21"/>
                    </w:rPr>
                    <w:t>碳素布</w:t>
                  </w:r>
                </w:p>
              </w:tc>
              <w:tc>
                <w:tcPr>
                  <w:tcW w:w="1992" w:type="dxa"/>
                  <w:vAlign w:val="center"/>
                </w:tcPr>
                <w:p w14:paraId="283057C4">
                  <w:pPr>
                    <w:pStyle w:val="93"/>
                    <w:ind w:firstLine="0" w:firstLineChars="0"/>
                    <w:jc w:val="center"/>
                    <w:rPr>
                      <w:rFonts w:ascii="Times New Roman" w:hAnsi="Times New Roman" w:eastAsiaTheme="minorEastAsia"/>
                      <w:szCs w:val="21"/>
                    </w:rPr>
                  </w:pPr>
                  <w:r>
                    <w:rPr>
                      <w:rFonts w:ascii="Times New Roman" w:hAnsi="Times New Roman"/>
                      <w:szCs w:val="21"/>
                    </w:rPr>
                    <w:t>万m/a</w:t>
                  </w:r>
                </w:p>
              </w:tc>
              <w:tc>
                <w:tcPr>
                  <w:tcW w:w="1320" w:type="dxa"/>
                  <w:vAlign w:val="center"/>
                </w:tcPr>
                <w:p w14:paraId="12F2C35E">
                  <w:pPr>
                    <w:pStyle w:val="93"/>
                    <w:ind w:firstLine="0" w:firstLineChars="0"/>
                    <w:jc w:val="center"/>
                    <w:rPr>
                      <w:rFonts w:ascii="Times New Roman" w:hAnsi="Times New Roman" w:eastAsiaTheme="minorEastAsia"/>
                      <w:szCs w:val="21"/>
                    </w:rPr>
                  </w:pPr>
                  <w:r>
                    <w:rPr>
                      <w:rFonts w:hint="eastAsia" w:ascii="Times New Roman" w:hAnsi="Times New Roman"/>
                      <w:szCs w:val="21"/>
                    </w:rPr>
                    <w:t>15</w:t>
                  </w:r>
                </w:p>
              </w:tc>
              <w:tc>
                <w:tcPr>
                  <w:tcW w:w="2222" w:type="dxa"/>
                  <w:vAlign w:val="center"/>
                </w:tcPr>
                <w:p w14:paraId="1F24B7BB">
                  <w:pPr>
                    <w:jc w:val="center"/>
                    <w:rPr>
                      <w:rFonts w:eastAsiaTheme="minorEastAsia"/>
                      <w:szCs w:val="21"/>
                    </w:rPr>
                  </w:pPr>
                  <w:r>
                    <w:rPr>
                      <w:szCs w:val="21"/>
                    </w:rPr>
                    <w:t>国内采购</w:t>
                  </w:r>
                </w:p>
              </w:tc>
            </w:tr>
            <w:tr w14:paraId="0145311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340" w:type="dxa"/>
                  <w:vAlign w:val="center"/>
                </w:tcPr>
                <w:p w14:paraId="12A343BD">
                  <w:pPr>
                    <w:jc w:val="center"/>
                    <w:rPr>
                      <w:rFonts w:eastAsiaTheme="minorEastAsia"/>
                      <w:szCs w:val="21"/>
                    </w:rPr>
                  </w:pPr>
                  <w:r>
                    <w:rPr>
                      <w:szCs w:val="21"/>
                    </w:rPr>
                    <w:t>聚丙烯（BOPP）</w:t>
                  </w:r>
                </w:p>
              </w:tc>
              <w:tc>
                <w:tcPr>
                  <w:tcW w:w="1992" w:type="dxa"/>
                  <w:vAlign w:val="center"/>
                </w:tcPr>
                <w:p w14:paraId="6C80D2B7">
                  <w:pPr>
                    <w:pStyle w:val="93"/>
                    <w:ind w:firstLine="0" w:firstLineChars="0"/>
                    <w:jc w:val="center"/>
                    <w:rPr>
                      <w:rFonts w:ascii="Times New Roman" w:hAnsi="Times New Roman" w:eastAsiaTheme="minorEastAsia"/>
                      <w:szCs w:val="21"/>
                    </w:rPr>
                  </w:pPr>
                  <w:r>
                    <w:rPr>
                      <w:rStyle w:val="35"/>
                      <w:rFonts w:ascii="Times New Roman" w:hAnsi="Times New Roman"/>
                    </w:rPr>
                    <w:t>t/a</w:t>
                  </w:r>
                </w:p>
              </w:tc>
              <w:tc>
                <w:tcPr>
                  <w:tcW w:w="1320" w:type="dxa"/>
                  <w:vAlign w:val="center"/>
                </w:tcPr>
                <w:p w14:paraId="45CB3A38">
                  <w:pPr>
                    <w:pStyle w:val="93"/>
                    <w:ind w:firstLine="0" w:firstLineChars="0"/>
                    <w:jc w:val="center"/>
                    <w:rPr>
                      <w:rFonts w:ascii="Times New Roman" w:hAnsi="Times New Roman" w:eastAsiaTheme="minorEastAsia"/>
                      <w:szCs w:val="21"/>
                    </w:rPr>
                  </w:pPr>
                  <w:r>
                    <w:rPr>
                      <w:rFonts w:hint="eastAsia" w:ascii="Times New Roman" w:hAnsi="Times New Roman"/>
                      <w:szCs w:val="21"/>
                    </w:rPr>
                    <w:t>1.2</w:t>
                  </w:r>
                </w:p>
              </w:tc>
              <w:tc>
                <w:tcPr>
                  <w:tcW w:w="2222" w:type="dxa"/>
                  <w:vAlign w:val="center"/>
                </w:tcPr>
                <w:p w14:paraId="56E1C46F">
                  <w:pPr>
                    <w:jc w:val="center"/>
                    <w:rPr>
                      <w:rFonts w:eastAsiaTheme="minorEastAsia"/>
                      <w:szCs w:val="21"/>
                    </w:rPr>
                  </w:pPr>
                  <w:r>
                    <w:rPr>
                      <w:szCs w:val="21"/>
                    </w:rPr>
                    <w:t>国内采购</w:t>
                  </w:r>
                </w:p>
              </w:tc>
            </w:tr>
            <w:tr w14:paraId="1F6CC93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340" w:type="dxa"/>
                  <w:vAlign w:val="center"/>
                </w:tcPr>
                <w:p w14:paraId="3BB42588">
                  <w:pPr>
                    <w:jc w:val="center"/>
                    <w:rPr>
                      <w:szCs w:val="21"/>
                    </w:rPr>
                  </w:pPr>
                  <w:r>
                    <w:rPr>
                      <w:szCs w:val="21"/>
                    </w:rPr>
                    <w:t>渔杆配件</w:t>
                  </w:r>
                  <w:r>
                    <w:rPr>
                      <w:rFonts w:hint="eastAsia"/>
                      <w:szCs w:val="21"/>
                    </w:rPr>
                    <w:t>（轮座、导环等）</w:t>
                  </w:r>
                </w:p>
              </w:tc>
              <w:tc>
                <w:tcPr>
                  <w:tcW w:w="1992" w:type="dxa"/>
                  <w:vAlign w:val="center"/>
                </w:tcPr>
                <w:p w14:paraId="1D11DFE1">
                  <w:pPr>
                    <w:pStyle w:val="93"/>
                    <w:ind w:firstLine="0" w:firstLineChars="0"/>
                    <w:jc w:val="center"/>
                    <w:rPr>
                      <w:rFonts w:ascii="Times New Roman" w:hAnsi="Times New Roman" w:eastAsiaTheme="minorEastAsia"/>
                      <w:szCs w:val="21"/>
                    </w:rPr>
                  </w:pPr>
                  <w:r>
                    <w:rPr>
                      <w:rFonts w:ascii="Times New Roman" w:hAnsi="Times New Roman"/>
                      <w:szCs w:val="21"/>
                    </w:rPr>
                    <w:t>万套/a</w:t>
                  </w:r>
                </w:p>
              </w:tc>
              <w:tc>
                <w:tcPr>
                  <w:tcW w:w="1320" w:type="dxa"/>
                  <w:vAlign w:val="center"/>
                </w:tcPr>
                <w:p w14:paraId="2824E284">
                  <w:pPr>
                    <w:pStyle w:val="93"/>
                    <w:ind w:firstLine="0" w:firstLineChars="0"/>
                    <w:jc w:val="center"/>
                    <w:rPr>
                      <w:rFonts w:ascii="Times New Roman" w:hAnsi="Times New Roman" w:eastAsiaTheme="minorEastAsia"/>
                      <w:szCs w:val="21"/>
                    </w:rPr>
                  </w:pPr>
                  <w:r>
                    <w:rPr>
                      <w:rFonts w:hint="eastAsia" w:ascii="Times New Roman" w:hAnsi="Times New Roman" w:eastAsiaTheme="minorEastAsia"/>
                      <w:szCs w:val="21"/>
                    </w:rPr>
                    <w:t>120</w:t>
                  </w:r>
                </w:p>
              </w:tc>
              <w:tc>
                <w:tcPr>
                  <w:tcW w:w="2222" w:type="dxa"/>
                  <w:vAlign w:val="center"/>
                </w:tcPr>
                <w:p w14:paraId="01F95AF9">
                  <w:pPr>
                    <w:jc w:val="center"/>
                    <w:rPr>
                      <w:rFonts w:eastAsiaTheme="minorEastAsia"/>
                      <w:szCs w:val="21"/>
                    </w:rPr>
                  </w:pPr>
                  <w:r>
                    <w:rPr>
                      <w:szCs w:val="21"/>
                    </w:rPr>
                    <w:t>国内采购</w:t>
                  </w:r>
                </w:p>
              </w:tc>
            </w:tr>
            <w:tr w14:paraId="69102DD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340" w:type="dxa"/>
                  <w:vAlign w:val="center"/>
                </w:tcPr>
                <w:p w14:paraId="6AA9F874">
                  <w:pPr>
                    <w:jc w:val="center"/>
                    <w:rPr>
                      <w:szCs w:val="21"/>
                    </w:rPr>
                  </w:pPr>
                  <w:r>
                    <w:rPr>
                      <w:szCs w:val="21"/>
                    </w:rPr>
                    <w:t>聚氨酯漆</w:t>
                  </w:r>
                  <w:r>
                    <w:rPr>
                      <w:rFonts w:hint="eastAsia"/>
                      <w:szCs w:val="21"/>
                    </w:rPr>
                    <w:t>（20kg/桶）</w:t>
                  </w:r>
                </w:p>
              </w:tc>
              <w:tc>
                <w:tcPr>
                  <w:tcW w:w="1992" w:type="dxa"/>
                  <w:vAlign w:val="center"/>
                </w:tcPr>
                <w:p w14:paraId="25AC21B0">
                  <w:pPr>
                    <w:pStyle w:val="93"/>
                    <w:ind w:firstLine="0" w:firstLineChars="0"/>
                    <w:jc w:val="center"/>
                    <w:rPr>
                      <w:rFonts w:ascii="Times New Roman" w:hAnsi="Times New Roman" w:eastAsiaTheme="minorEastAsia"/>
                      <w:szCs w:val="21"/>
                    </w:rPr>
                  </w:pPr>
                  <w:r>
                    <w:rPr>
                      <w:rFonts w:ascii="Times New Roman" w:hAnsi="Times New Roman"/>
                      <w:szCs w:val="21"/>
                    </w:rPr>
                    <w:t>t/a</w:t>
                  </w:r>
                </w:p>
              </w:tc>
              <w:tc>
                <w:tcPr>
                  <w:tcW w:w="1320" w:type="dxa"/>
                  <w:vAlign w:val="center"/>
                </w:tcPr>
                <w:p w14:paraId="4AE3AFB3">
                  <w:pPr>
                    <w:pStyle w:val="93"/>
                    <w:ind w:firstLine="0" w:firstLineChars="0"/>
                    <w:jc w:val="center"/>
                    <w:rPr>
                      <w:rFonts w:ascii="Times New Roman" w:hAnsi="Times New Roman" w:eastAsiaTheme="minorEastAsia"/>
                      <w:szCs w:val="21"/>
                    </w:rPr>
                  </w:pPr>
                  <w:r>
                    <w:rPr>
                      <w:rFonts w:hint="eastAsia" w:ascii="Times New Roman" w:hAnsi="Times New Roman"/>
                      <w:szCs w:val="21"/>
                    </w:rPr>
                    <w:t>1</w:t>
                  </w:r>
                </w:p>
              </w:tc>
              <w:tc>
                <w:tcPr>
                  <w:tcW w:w="2222" w:type="dxa"/>
                  <w:vAlign w:val="center"/>
                </w:tcPr>
                <w:p w14:paraId="7570A4B5">
                  <w:pPr>
                    <w:jc w:val="center"/>
                    <w:rPr>
                      <w:rFonts w:eastAsiaTheme="minorEastAsia"/>
                      <w:szCs w:val="21"/>
                    </w:rPr>
                  </w:pPr>
                  <w:r>
                    <w:rPr>
                      <w:szCs w:val="21"/>
                    </w:rPr>
                    <w:t>国内采购</w:t>
                  </w:r>
                </w:p>
              </w:tc>
            </w:tr>
            <w:tr w14:paraId="5CEB062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340" w:type="dxa"/>
                  <w:vAlign w:val="center"/>
                </w:tcPr>
                <w:p w14:paraId="0A759EB5">
                  <w:pPr>
                    <w:jc w:val="center"/>
                    <w:rPr>
                      <w:rFonts w:eastAsiaTheme="minorEastAsia"/>
                      <w:szCs w:val="21"/>
                    </w:rPr>
                  </w:pPr>
                  <w:r>
                    <w:rPr>
                      <w:szCs w:val="21"/>
                    </w:rPr>
                    <w:t>稀料</w:t>
                  </w:r>
                  <w:r>
                    <w:rPr>
                      <w:rFonts w:hint="eastAsia"/>
                      <w:szCs w:val="21"/>
                    </w:rPr>
                    <w:t>（20kg/桶）</w:t>
                  </w:r>
                </w:p>
              </w:tc>
              <w:tc>
                <w:tcPr>
                  <w:tcW w:w="1992" w:type="dxa"/>
                  <w:vAlign w:val="center"/>
                </w:tcPr>
                <w:p w14:paraId="4C9928CA">
                  <w:pPr>
                    <w:pStyle w:val="93"/>
                    <w:ind w:firstLine="0" w:firstLineChars="0"/>
                    <w:jc w:val="center"/>
                    <w:rPr>
                      <w:rFonts w:ascii="Times New Roman" w:hAnsi="Times New Roman" w:eastAsiaTheme="minorEastAsia"/>
                      <w:szCs w:val="21"/>
                    </w:rPr>
                  </w:pPr>
                  <w:r>
                    <w:rPr>
                      <w:rFonts w:ascii="Times New Roman" w:hAnsi="Times New Roman"/>
                      <w:szCs w:val="21"/>
                    </w:rPr>
                    <w:t>t/a</w:t>
                  </w:r>
                </w:p>
              </w:tc>
              <w:tc>
                <w:tcPr>
                  <w:tcW w:w="1320" w:type="dxa"/>
                  <w:vAlign w:val="center"/>
                </w:tcPr>
                <w:p w14:paraId="73C087AA">
                  <w:pPr>
                    <w:pStyle w:val="93"/>
                    <w:ind w:firstLine="0" w:firstLineChars="0"/>
                    <w:jc w:val="center"/>
                    <w:rPr>
                      <w:rFonts w:ascii="Times New Roman" w:hAnsi="Times New Roman" w:eastAsiaTheme="minorEastAsia"/>
                      <w:szCs w:val="21"/>
                    </w:rPr>
                  </w:pPr>
                  <w:r>
                    <w:rPr>
                      <w:rFonts w:hint="eastAsia" w:ascii="Times New Roman" w:hAnsi="Times New Roman"/>
                      <w:szCs w:val="21"/>
                    </w:rPr>
                    <w:t>0.6</w:t>
                  </w:r>
                </w:p>
              </w:tc>
              <w:tc>
                <w:tcPr>
                  <w:tcW w:w="2222" w:type="dxa"/>
                  <w:vAlign w:val="center"/>
                </w:tcPr>
                <w:p w14:paraId="0063BAA9">
                  <w:pPr>
                    <w:jc w:val="center"/>
                    <w:rPr>
                      <w:rFonts w:eastAsiaTheme="minorEastAsia"/>
                      <w:szCs w:val="21"/>
                    </w:rPr>
                  </w:pPr>
                  <w:r>
                    <w:rPr>
                      <w:szCs w:val="21"/>
                    </w:rPr>
                    <w:t>国内采购</w:t>
                  </w:r>
                </w:p>
              </w:tc>
            </w:tr>
            <w:tr w14:paraId="31C818D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340" w:type="dxa"/>
                  <w:vAlign w:val="center"/>
                </w:tcPr>
                <w:p w14:paraId="747E77E0">
                  <w:pPr>
                    <w:pStyle w:val="41"/>
                    <w:jc w:val="center"/>
                    <w:rPr>
                      <w:rFonts w:ascii="Times New Roman" w:cs="Times New Roman" w:eastAsiaTheme="minorEastAsia"/>
                      <w:color w:val="auto"/>
                      <w:sz w:val="21"/>
                      <w:szCs w:val="21"/>
                    </w:rPr>
                  </w:pPr>
                  <w:r>
                    <w:rPr>
                      <w:rFonts w:ascii="Times New Roman" w:cs="Times New Roman" w:eastAsiaTheme="minorEastAsia"/>
                      <w:color w:val="auto"/>
                      <w:sz w:val="21"/>
                      <w:szCs w:val="21"/>
                    </w:rPr>
                    <w:t>环氧树脂胶</w:t>
                  </w:r>
                  <w:r>
                    <w:rPr>
                      <w:rFonts w:hint="eastAsia" w:ascii="Times New Roman" w:cs="Times New Roman" w:eastAsiaTheme="minorEastAsia"/>
                      <w:color w:val="auto"/>
                      <w:sz w:val="21"/>
                      <w:szCs w:val="21"/>
                    </w:rPr>
                    <w:t>（20kg/桶）</w:t>
                  </w:r>
                </w:p>
              </w:tc>
              <w:tc>
                <w:tcPr>
                  <w:tcW w:w="1992" w:type="dxa"/>
                  <w:vAlign w:val="center"/>
                </w:tcPr>
                <w:p w14:paraId="419D9881">
                  <w:pPr>
                    <w:jc w:val="center"/>
                    <w:rPr>
                      <w:rFonts w:eastAsiaTheme="minorEastAsia"/>
                      <w:szCs w:val="21"/>
                    </w:rPr>
                  </w:pPr>
                  <w:r>
                    <w:rPr>
                      <w:rFonts w:eastAsiaTheme="minorEastAsia"/>
                      <w:szCs w:val="21"/>
                    </w:rPr>
                    <w:t>t/a</w:t>
                  </w:r>
                </w:p>
              </w:tc>
              <w:tc>
                <w:tcPr>
                  <w:tcW w:w="1320" w:type="dxa"/>
                  <w:vAlign w:val="center"/>
                </w:tcPr>
                <w:p w14:paraId="6C518A59">
                  <w:pPr>
                    <w:jc w:val="center"/>
                    <w:rPr>
                      <w:rFonts w:eastAsiaTheme="minorEastAsia"/>
                      <w:szCs w:val="21"/>
                    </w:rPr>
                  </w:pPr>
                  <w:r>
                    <w:rPr>
                      <w:rFonts w:hint="eastAsia" w:eastAsiaTheme="minorEastAsia"/>
                      <w:szCs w:val="21"/>
                    </w:rPr>
                    <w:t>1</w:t>
                  </w:r>
                </w:p>
              </w:tc>
              <w:tc>
                <w:tcPr>
                  <w:tcW w:w="2222" w:type="dxa"/>
                  <w:vAlign w:val="center"/>
                </w:tcPr>
                <w:p w14:paraId="1438BE59">
                  <w:pPr>
                    <w:jc w:val="center"/>
                    <w:rPr>
                      <w:rFonts w:eastAsiaTheme="minorEastAsia"/>
                      <w:szCs w:val="21"/>
                    </w:rPr>
                  </w:pPr>
                  <w:r>
                    <w:rPr>
                      <w:rFonts w:eastAsiaTheme="minorEastAsia"/>
                      <w:szCs w:val="21"/>
                    </w:rPr>
                    <w:t>国内采购</w:t>
                  </w:r>
                </w:p>
              </w:tc>
            </w:tr>
          </w:tbl>
          <w:p w14:paraId="53D9378B">
            <w:pPr>
              <w:adjustRightInd w:val="0"/>
              <w:snapToGrid w:val="0"/>
              <w:spacing w:line="360" w:lineRule="auto"/>
              <w:ind w:firstLine="506"/>
              <w:jc w:val="center"/>
              <w:rPr>
                <w:b/>
                <w:spacing w:val="6"/>
                <w:sz w:val="24"/>
              </w:rPr>
            </w:pPr>
            <w:r>
              <w:rPr>
                <w:b/>
                <w:spacing w:val="6"/>
                <w:sz w:val="24"/>
              </w:rPr>
              <w:t>表1-3b 部分辅料主要成分</w:t>
            </w:r>
          </w:p>
          <w:tbl>
            <w:tblPr>
              <w:tblStyle w:val="27"/>
              <w:tblW w:w="888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71"/>
              <w:gridCol w:w="945"/>
              <w:gridCol w:w="7269"/>
            </w:tblGrid>
            <w:tr w14:paraId="7815F8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671" w:type="dxa"/>
                  <w:tcBorders>
                    <w:tl2br w:val="nil"/>
                    <w:tr2bl w:val="nil"/>
                  </w:tcBorders>
                  <w:vAlign w:val="center"/>
                </w:tcPr>
                <w:p w14:paraId="39071E6C">
                  <w:pPr>
                    <w:adjustRightInd w:val="0"/>
                    <w:snapToGrid w:val="0"/>
                    <w:jc w:val="center"/>
                    <w:rPr>
                      <w:szCs w:val="21"/>
                    </w:rPr>
                  </w:pPr>
                  <w:r>
                    <w:rPr>
                      <w:szCs w:val="21"/>
                    </w:rPr>
                    <w:t>序号</w:t>
                  </w:r>
                </w:p>
              </w:tc>
              <w:tc>
                <w:tcPr>
                  <w:tcW w:w="945" w:type="dxa"/>
                  <w:tcBorders>
                    <w:tl2br w:val="nil"/>
                    <w:tr2bl w:val="nil"/>
                  </w:tcBorders>
                  <w:vAlign w:val="center"/>
                </w:tcPr>
                <w:p w14:paraId="3172C3EA">
                  <w:pPr>
                    <w:adjustRightInd w:val="0"/>
                    <w:snapToGrid w:val="0"/>
                    <w:jc w:val="center"/>
                    <w:rPr>
                      <w:szCs w:val="21"/>
                    </w:rPr>
                  </w:pPr>
                  <w:r>
                    <w:rPr>
                      <w:szCs w:val="21"/>
                    </w:rPr>
                    <w:t>名称</w:t>
                  </w:r>
                </w:p>
              </w:tc>
              <w:tc>
                <w:tcPr>
                  <w:tcW w:w="7269" w:type="dxa"/>
                  <w:tcBorders>
                    <w:tl2br w:val="nil"/>
                    <w:tr2bl w:val="nil"/>
                  </w:tcBorders>
                  <w:vAlign w:val="center"/>
                </w:tcPr>
                <w:p w14:paraId="17AB6FFF">
                  <w:pPr>
                    <w:adjustRightInd w:val="0"/>
                    <w:snapToGrid w:val="0"/>
                    <w:jc w:val="center"/>
                    <w:rPr>
                      <w:szCs w:val="21"/>
                    </w:rPr>
                  </w:pPr>
                  <w:r>
                    <w:rPr>
                      <w:szCs w:val="21"/>
                    </w:rPr>
                    <w:t>理化性质</w:t>
                  </w:r>
                </w:p>
              </w:tc>
            </w:tr>
            <w:tr w14:paraId="009AB9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671" w:type="dxa"/>
                  <w:tcBorders>
                    <w:tl2br w:val="nil"/>
                    <w:tr2bl w:val="nil"/>
                  </w:tcBorders>
                  <w:vAlign w:val="center"/>
                </w:tcPr>
                <w:p w14:paraId="39CA98DF">
                  <w:pPr>
                    <w:widowControl/>
                    <w:adjustRightInd w:val="0"/>
                    <w:snapToGrid w:val="0"/>
                    <w:jc w:val="center"/>
                    <w:rPr>
                      <w:szCs w:val="21"/>
                    </w:rPr>
                  </w:pPr>
                  <w:r>
                    <w:rPr>
                      <w:szCs w:val="21"/>
                    </w:rPr>
                    <w:t>1</w:t>
                  </w:r>
                </w:p>
              </w:tc>
              <w:tc>
                <w:tcPr>
                  <w:tcW w:w="945" w:type="dxa"/>
                  <w:tcBorders>
                    <w:tl2br w:val="nil"/>
                    <w:tr2bl w:val="nil"/>
                  </w:tcBorders>
                  <w:vAlign w:val="center"/>
                </w:tcPr>
                <w:p w14:paraId="283B243B">
                  <w:pPr>
                    <w:jc w:val="center"/>
                    <w:rPr>
                      <w:szCs w:val="21"/>
                    </w:rPr>
                  </w:pPr>
                  <w:r>
                    <w:rPr>
                      <w:rFonts w:hint="eastAsia"/>
                      <w:szCs w:val="21"/>
                    </w:rPr>
                    <w:t>聚氨</w:t>
                  </w:r>
                </w:p>
                <w:p w14:paraId="3265135E">
                  <w:pPr>
                    <w:jc w:val="center"/>
                    <w:rPr>
                      <w:szCs w:val="21"/>
                    </w:rPr>
                  </w:pPr>
                  <w:r>
                    <w:rPr>
                      <w:rFonts w:hint="eastAsia"/>
                      <w:szCs w:val="21"/>
                    </w:rPr>
                    <w:t>酯漆</w:t>
                  </w:r>
                </w:p>
              </w:tc>
              <w:tc>
                <w:tcPr>
                  <w:tcW w:w="7269" w:type="dxa"/>
                  <w:tcBorders>
                    <w:tl2br w:val="nil"/>
                    <w:tr2bl w:val="nil"/>
                  </w:tcBorders>
                  <w:vAlign w:val="center"/>
                </w:tcPr>
                <w:p w14:paraId="72D8982D">
                  <w:pPr>
                    <w:rPr>
                      <w:szCs w:val="21"/>
                      <w:shd w:val="clear" w:color="auto" w:fill="FFFFFF"/>
                    </w:rPr>
                  </w:pPr>
                  <w:r>
                    <w:rPr>
                      <w:szCs w:val="21"/>
                      <w:shd w:val="clear" w:color="auto" w:fill="FFFFFF"/>
                    </w:rPr>
                    <w:t>聚氨酯漆主要特点：</w:t>
                  </w:r>
                  <w:r>
                    <w:rPr>
                      <w:spacing w:val="8"/>
                      <w:szCs w:val="21"/>
                    </w:rPr>
                    <w:t>具有高强度、高光泽、耐酸、耐油、耐水、耐磨、抗冲击、柔韧性好、漆膜光亮丰满、保色保光性好、耐紫外线好、干燥快，与通用漆配套性好等特点</w:t>
                  </w:r>
                  <w:r>
                    <w:rPr>
                      <w:szCs w:val="21"/>
                      <w:shd w:val="clear" w:color="auto" w:fill="FFFFFF"/>
                    </w:rPr>
                    <w:t>。主要成分：</w:t>
                  </w:r>
                  <w:r>
                    <w:rPr>
                      <w:szCs w:val="21"/>
                      <w:lang w:val="zh-CN"/>
                    </w:rPr>
                    <w:t>聚氨树脂</w:t>
                  </w:r>
                  <w:r>
                    <w:rPr>
                      <w:szCs w:val="21"/>
                    </w:rPr>
                    <w:t>74%，助剂1%，醋酸丁酯10%，二甲苯10%，丙二醇甲醚醋酸酯5%</w:t>
                  </w:r>
                  <w:r>
                    <w:rPr>
                      <w:spacing w:val="8"/>
                      <w:szCs w:val="21"/>
                    </w:rPr>
                    <w:t>。</w:t>
                  </w:r>
                </w:p>
              </w:tc>
            </w:tr>
            <w:tr w14:paraId="5F84784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671" w:type="dxa"/>
                  <w:tcBorders>
                    <w:tl2br w:val="nil"/>
                    <w:tr2bl w:val="nil"/>
                  </w:tcBorders>
                  <w:vAlign w:val="center"/>
                </w:tcPr>
                <w:p w14:paraId="7195A28E">
                  <w:pPr>
                    <w:widowControl/>
                    <w:adjustRightInd w:val="0"/>
                    <w:snapToGrid w:val="0"/>
                    <w:jc w:val="center"/>
                    <w:rPr>
                      <w:szCs w:val="21"/>
                    </w:rPr>
                  </w:pPr>
                  <w:r>
                    <w:rPr>
                      <w:szCs w:val="21"/>
                    </w:rPr>
                    <w:t>2</w:t>
                  </w:r>
                </w:p>
              </w:tc>
              <w:tc>
                <w:tcPr>
                  <w:tcW w:w="945" w:type="dxa"/>
                  <w:tcBorders>
                    <w:tl2br w:val="nil"/>
                    <w:tr2bl w:val="nil"/>
                  </w:tcBorders>
                  <w:vAlign w:val="center"/>
                </w:tcPr>
                <w:p w14:paraId="364DC7E1">
                  <w:pPr>
                    <w:jc w:val="center"/>
                    <w:rPr>
                      <w:szCs w:val="21"/>
                    </w:rPr>
                  </w:pPr>
                  <w:r>
                    <w:rPr>
                      <w:szCs w:val="21"/>
                    </w:rPr>
                    <w:t xml:space="preserve">稀料           </w:t>
                  </w:r>
                </w:p>
              </w:tc>
              <w:tc>
                <w:tcPr>
                  <w:tcW w:w="7269" w:type="dxa"/>
                  <w:tcBorders>
                    <w:tl2br w:val="nil"/>
                    <w:tr2bl w:val="nil"/>
                  </w:tcBorders>
                  <w:vAlign w:val="center"/>
                </w:tcPr>
                <w:p w14:paraId="2206FB52">
                  <w:pPr>
                    <w:spacing w:line="300" w:lineRule="exact"/>
                    <w:rPr>
                      <w:rFonts w:eastAsiaTheme="minorEastAsia"/>
                      <w:szCs w:val="21"/>
                      <w:shd w:val="clear" w:color="auto" w:fill="FFFFFF"/>
                    </w:rPr>
                  </w:pPr>
                  <w:r>
                    <w:rPr>
                      <w:szCs w:val="21"/>
                      <w:shd w:val="clear" w:color="auto" w:fill="FFFFFF"/>
                    </w:rPr>
                    <w:t>稀料的最大特点就是容易挥发气化。在工业生产中，大多数行业都要同稀料打交道，属于易燃危险品。在油漆中，稀料在空气中散发出来就形成油漆的气味。本项目稀释剂主要成分：</w:t>
                  </w:r>
                  <w:r>
                    <w:rPr>
                      <w:szCs w:val="21"/>
                    </w:rPr>
                    <w:t>二甲苯30%，其它芳香烃（主要是乙苯和少量甲苯）约15％，酯、酮、醚、醇类约55%</w:t>
                  </w:r>
                  <w:r>
                    <w:rPr>
                      <w:spacing w:val="8"/>
                      <w:szCs w:val="21"/>
                    </w:rPr>
                    <w:t>。</w:t>
                  </w:r>
                </w:p>
              </w:tc>
            </w:tr>
            <w:tr w14:paraId="4400CA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671" w:type="dxa"/>
                  <w:tcBorders>
                    <w:tl2br w:val="nil"/>
                    <w:tr2bl w:val="nil"/>
                  </w:tcBorders>
                  <w:vAlign w:val="center"/>
                </w:tcPr>
                <w:p w14:paraId="24ABAA70">
                  <w:pPr>
                    <w:widowControl/>
                    <w:adjustRightInd w:val="0"/>
                    <w:snapToGrid w:val="0"/>
                    <w:jc w:val="center"/>
                    <w:rPr>
                      <w:szCs w:val="21"/>
                    </w:rPr>
                  </w:pPr>
                  <w:r>
                    <w:rPr>
                      <w:szCs w:val="21"/>
                    </w:rPr>
                    <w:t>3</w:t>
                  </w:r>
                </w:p>
              </w:tc>
              <w:tc>
                <w:tcPr>
                  <w:tcW w:w="945" w:type="dxa"/>
                  <w:tcBorders>
                    <w:tl2br w:val="nil"/>
                    <w:tr2bl w:val="nil"/>
                  </w:tcBorders>
                  <w:vAlign w:val="center"/>
                </w:tcPr>
                <w:p w14:paraId="3AFB7BD2">
                  <w:pPr>
                    <w:jc w:val="center"/>
                    <w:rPr>
                      <w:szCs w:val="21"/>
                    </w:rPr>
                  </w:pPr>
                  <w:r>
                    <w:rPr>
                      <w:szCs w:val="21"/>
                    </w:rPr>
                    <w:t>环氧树脂胶</w:t>
                  </w:r>
                </w:p>
              </w:tc>
              <w:tc>
                <w:tcPr>
                  <w:tcW w:w="7269" w:type="dxa"/>
                  <w:tcBorders>
                    <w:tl2br w:val="nil"/>
                    <w:tr2bl w:val="nil"/>
                  </w:tcBorders>
                  <w:vAlign w:val="center"/>
                </w:tcPr>
                <w:p w14:paraId="3B29776B">
                  <w:pPr>
                    <w:spacing w:line="300" w:lineRule="exact"/>
                    <w:rPr>
                      <w:szCs w:val="21"/>
                      <w:shd w:val="clear" w:color="auto" w:fill="FFFFFF"/>
                    </w:rPr>
                  </w:pPr>
                  <w:r>
                    <w:rPr>
                      <w:szCs w:val="24"/>
                    </w:rPr>
                    <w:t>又称双组份环氧树脂胶黏剂，主要由环氧树脂及固化剂组成，混合后为乳黄色粘稠状半固体，其中树脂及固化剂成分占90%以上。挥发性有机成分占10%以下。</w:t>
                  </w:r>
                </w:p>
              </w:tc>
            </w:tr>
          </w:tbl>
          <w:p w14:paraId="4A02392E">
            <w:pPr>
              <w:pStyle w:val="83"/>
              <w:ind w:left="0" w:leftChars="0"/>
            </w:pPr>
            <w:r>
              <w:t>（</w:t>
            </w:r>
            <w:r>
              <w:rPr>
                <w:lang w:val="en-US"/>
              </w:rPr>
              <w:t>10</w:t>
            </w:r>
            <w:r>
              <w:t>）生产设备</w:t>
            </w:r>
          </w:p>
          <w:p w14:paraId="74C66AC4">
            <w:pPr>
              <w:pStyle w:val="83"/>
              <w:ind w:left="0" w:leftChars="0" w:firstLine="0" w:firstLineChars="0"/>
              <w:jc w:val="center"/>
              <w:rPr>
                <w:b/>
                <w:bCs/>
              </w:rPr>
            </w:pPr>
            <w:r>
              <w:rPr>
                <w:b/>
                <w:bCs/>
              </w:rPr>
              <w:t>表</w:t>
            </w:r>
            <w:r>
              <w:rPr>
                <w:b/>
                <w:bCs/>
                <w:lang w:val="en-US"/>
              </w:rPr>
              <w:t xml:space="preserve">1-4  </w:t>
            </w:r>
            <w:r>
              <w:rPr>
                <w:b/>
                <w:bCs/>
              </w:rPr>
              <w:t>主要生产设备一览表</w:t>
            </w:r>
          </w:p>
          <w:tbl>
            <w:tblPr>
              <w:tblStyle w:val="27"/>
              <w:tblW w:w="9019" w:type="dxa"/>
              <w:tblInd w:w="8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3"/>
              <w:gridCol w:w="3120"/>
              <w:gridCol w:w="1512"/>
              <w:gridCol w:w="1248"/>
              <w:gridCol w:w="2356"/>
            </w:tblGrid>
            <w:tr w14:paraId="0F4B647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783" w:type="dxa"/>
                  <w:tcBorders>
                    <w:tl2br w:val="nil"/>
                    <w:tr2bl w:val="nil"/>
                  </w:tcBorders>
                  <w:vAlign w:val="center"/>
                </w:tcPr>
                <w:p w14:paraId="0DC9E6E2">
                  <w:pPr>
                    <w:widowControl/>
                    <w:jc w:val="center"/>
                    <w:rPr>
                      <w:rFonts w:eastAsiaTheme="minorEastAsia"/>
                      <w:kern w:val="0"/>
                      <w:szCs w:val="21"/>
                    </w:rPr>
                  </w:pPr>
                  <w:r>
                    <w:rPr>
                      <w:rFonts w:eastAsiaTheme="minorEastAsia"/>
                      <w:kern w:val="0"/>
                      <w:szCs w:val="21"/>
                    </w:rPr>
                    <w:t>序号</w:t>
                  </w:r>
                </w:p>
              </w:tc>
              <w:tc>
                <w:tcPr>
                  <w:tcW w:w="3120" w:type="dxa"/>
                  <w:tcBorders>
                    <w:tl2br w:val="nil"/>
                    <w:tr2bl w:val="nil"/>
                  </w:tcBorders>
                  <w:vAlign w:val="center"/>
                </w:tcPr>
                <w:p w14:paraId="17E412CB">
                  <w:pPr>
                    <w:widowControl/>
                    <w:jc w:val="center"/>
                    <w:rPr>
                      <w:rFonts w:eastAsiaTheme="minorEastAsia"/>
                      <w:kern w:val="0"/>
                      <w:szCs w:val="21"/>
                    </w:rPr>
                  </w:pPr>
                  <w:r>
                    <w:rPr>
                      <w:rFonts w:eastAsiaTheme="minorEastAsia"/>
                      <w:kern w:val="0"/>
                      <w:szCs w:val="21"/>
                    </w:rPr>
                    <w:t>设备名称</w:t>
                  </w:r>
                </w:p>
              </w:tc>
              <w:tc>
                <w:tcPr>
                  <w:tcW w:w="1512" w:type="dxa"/>
                  <w:tcBorders>
                    <w:tl2br w:val="nil"/>
                    <w:tr2bl w:val="nil"/>
                  </w:tcBorders>
                  <w:vAlign w:val="center"/>
                </w:tcPr>
                <w:p w14:paraId="108A708B">
                  <w:pPr>
                    <w:widowControl/>
                    <w:jc w:val="center"/>
                    <w:rPr>
                      <w:rFonts w:eastAsiaTheme="minorEastAsia"/>
                      <w:kern w:val="0"/>
                      <w:szCs w:val="21"/>
                    </w:rPr>
                  </w:pPr>
                  <w:r>
                    <w:rPr>
                      <w:rFonts w:eastAsiaTheme="minorEastAsia"/>
                      <w:kern w:val="0"/>
                      <w:szCs w:val="21"/>
                    </w:rPr>
                    <w:t>单位</w:t>
                  </w:r>
                </w:p>
              </w:tc>
              <w:tc>
                <w:tcPr>
                  <w:tcW w:w="1248" w:type="dxa"/>
                  <w:tcBorders>
                    <w:tl2br w:val="nil"/>
                    <w:tr2bl w:val="nil"/>
                  </w:tcBorders>
                  <w:vAlign w:val="center"/>
                </w:tcPr>
                <w:p w14:paraId="637668DA">
                  <w:pPr>
                    <w:widowControl/>
                    <w:jc w:val="center"/>
                    <w:rPr>
                      <w:rFonts w:eastAsiaTheme="minorEastAsia"/>
                      <w:kern w:val="0"/>
                      <w:szCs w:val="21"/>
                    </w:rPr>
                  </w:pPr>
                  <w:r>
                    <w:rPr>
                      <w:rFonts w:eastAsiaTheme="minorEastAsia"/>
                      <w:kern w:val="0"/>
                      <w:szCs w:val="21"/>
                    </w:rPr>
                    <w:t>数量</w:t>
                  </w:r>
                </w:p>
              </w:tc>
              <w:tc>
                <w:tcPr>
                  <w:tcW w:w="2356" w:type="dxa"/>
                  <w:tcBorders>
                    <w:tl2br w:val="nil"/>
                    <w:tr2bl w:val="nil"/>
                  </w:tcBorders>
                  <w:vAlign w:val="center"/>
                </w:tcPr>
                <w:p w14:paraId="16FC61D0">
                  <w:pPr>
                    <w:widowControl/>
                    <w:jc w:val="center"/>
                    <w:rPr>
                      <w:rFonts w:eastAsiaTheme="minorEastAsia"/>
                      <w:kern w:val="0"/>
                      <w:szCs w:val="21"/>
                    </w:rPr>
                  </w:pPr>
                  <w:r>
                    <w:rPr>
                      <w:rFonts w:eastAsiaTheme="minorEastAsia"/>
                      <w:kern w:val="0"/>
                      <w:szCs w:val="21"/>
                    </w:rPr>
                    <w:t>备注</w:t>
                  </w:r>
                </w:p>
              </w:tc>
            </w:tr>
            <w:tr w14:paraId="1D255B4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783" w:type="dxa"/>
                  <w:tcBorders>
                    <w:tl2br w:val="nil"/>
                    <w:tr2bl w:val="nil"/>
                  </w:tcBorders>
                  <w:vAlign w:val="center"/>
                </w:tcPr>
                <w:p w14:paraId="44DA0227">
                  <w:pPr>
                    <w:widowControl/>
                    <w:jc w:val="center"/>
                    <w:rPr>
                      <w:rFonts w:eastAsiaTheme="minorEastAsia"/>
                      <w:kern w:val="0"/>
                      <w:szCs w:val="21"/>
                    </w:rPr>
                  </w:pPr>
                  <w:r>
                    <w:rPr>
                      <w:rFonts w:eastAsiaTheme="minorEastAsia"/>
                      <w:kern w:val="0"/>
                      <w:szCs w:val="21"/>
                    </w:rPr>
                    <w:t>1</w:t>
                  </w:r>
                </w:p>
              </w:tc>
              <w:tc>
                <w:tcPr>
                  <w:tcW w:w="3120" w:type="dxa"/>
                  <w:tcBorders>
                    <w:tl2br w:val="nil"/>
                    <w:tr2bl w:val="nil"/>
                  </w:tcBorders>
                  <w:vAlign w:val="center"/>
                </w:tcPr>
                <w:p w14:paraId="7964F04B">
                  <w:pPr>
                    <w:jc w:val="center"/>
                    <w:rPr>
                      <w:rFonts w:eastAsiaTheme="minorEastAsia"/>
                      <w:kern w:val="0"/>
                      <w:szCs w:val="21"/>
                    </w:rPr>
                  </w:pPr>
                  <w:r>
                    <w:rPr>
                      <w:szCs w:val="21"/>
                    </w:rPr>
                    <w:t>裁布机</w:t>
                  </w:r>
                </w:p>
              </w:tc>
              <w:tc>
                <w:tcPr>
                  <w:tcW w:w="1512" w:type="dxa"/>
                  <w:tcBorders>
                    <w:tl2br w:val="nil"/>
                    <w:tr2bl w:val="nil"/>
                  </w:tcBorders>
                  <w:vAlign w:val="center"/>
                </w:tcPr>
                <w:p w14:paraId="75C95F77">
                  <w:pPr>
                    <w:jc w:val="center"/>
                    <w:rPr>
                      <w:rFonts w:eastAsiaTheme="minorEastAsia"/>
                      <w:kern w:val="0"/>
                      <w:szCs w:val="21"/>
                    </w:rPr>
                  </w:pPr>
                  <w:r>
                    <w:rPr>
                      <w:szCs w:val="21"/>
                    </w:rPr>
                    <w:t>台</w:t>
                  </w:r>
                </w:p>
              </w:tc>
              <w:tc>
                <w:tcPr>
                  <w:tcW w:w="1248" w:type="dxa"/>
                  <w:tcBorders>
                    <w:tl2br w:val="nil"/>
                    <w:tr2bl w:val="nil"/>
                  </w:tcBorders>
                  <w:vAlign w:val="center"/>
                </w:tcPr>
                <w:p w14:paraId="106D5A76">
                  <w:pPr>
                    <w:jc w:val="center"/>
                    <w:rPr>
                      <w:rFonts w:eastAsiaTheme="minorEastAsia"/>
                      <w:kern w:val="0"/>
                      <w:szCs w:val="21"/>
                    </w:rPr>
                  </w:pPr>
                  <w:r>
                    <w:rPr>
                      <w:rFonts w:hint="eastAsia"/>
                      <w:szCs w:val="21"/>
                    </w:rPr>
                    <w:t>1</w:t>
                  </w:r>
                </w:p>
              </w:tc>
              <w:tc>
                <w:tcPr>
                  <w:tcW w:w="2356" w:type="dxa"/>
                  <w:tcBorders>
                    <w:tl2br w:val="nil"/>
                    <w:tr2bl w:val="nil"/>
                  </w:tcBorders>
                  <w:vAlign w:val="center"/>
                </w:tcPr>
                <w:p w14:paraId="75BD7814">
                  <w:pPr>
                    <w:widowControl/>
                    <w:jc w:val="center"/>
                    <w:rPr>
                      <w:rFonts w:eastAsiaTheme="minorEastAsia"/>
                      <w:kern w:val="0"/>
                      <w:szCs w:val="21"/>
                    </w:rPr>
                  </w:pPr>
                  <w:r>
                    <w:rPr>
                      <w:rFonts w:eastAsiaTheme="minorEastAsia"/>
                      <w:kern w:val="0"/>
                      <w:szCs w:val="21"/>
                    </w:rPr>
                    <w:t>国内采购</w:t>
                  </w:r>
                </w:p>
              </w:tc>
            </w:tr>
            <w:tr w14:paraId="3315F26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783" w:type="dxa"/>
                  <w:tcBorders>
                    <w:tl2br w:val="nil"/>
                    <w:tr2bl w:val="nil"/>
                  </w:tcBorders>
                  <w:vAlign w:val="center"/>
                </w:tcPr>
                <w:p w14:paraId="767CEFD2">
                  <w:pPr>
                    <w:widowControl/>
                    <w:jc w:val="center"/>
                    <w:rPr>
                      <w:rFonts w:eastAsiaTheme="minorEastAsia"/>
                      <w:kern w:val="0"/>
                      <w:szCs w:val="21"/>
                    </w:rPr>
                  </w:pPr>
                  <w:r>
                    <w:rPr>
                      <w:rFonts w:eastAsiaTheme="minorEastAsia"/>
                      <w:kern w:val="0"/>
                      <w:szCs w:val="21"/>
                    </w:rPr>
                    <w:t>2</w:t>
                  </w:r>
                </w:p>
              </w:tc>
              <w:tc>
                <w:tcPr>
                  <w:tcW w:w="3120" w:type="dxa"/>
                  <w:tcBorders>
                    <w:tl2br w:val="nil"/>
                    <w:tr2bl w:val="nil"/>
                  </w:tcBorders>
                  <w:vAlign w:val="center"/>
                </w:tcPr>
                <w:p w14:paraId="11A6D7BA">
                  <w:pPr>
                    <w:jc w:val="center"/>
                    <w:rPr>
                      <w:rFonts w:eastAsiaTheme="minorEastAsia"/>
                      <w:kern w:val="0"/>
                      <w:szCs w:val="21"/>
                    </w:rPr>
                  </w:pPr>
                  <w:r>
                    <w:rPr>
                      <w:rFonts w:hint="eastAsia"/>
                      <w:szCs w:val="21"/>
                    </w:rPr>
                    <w:t>脱</w:t>
                  </w:r>
                  <w:r>
                    <w:rPr>
                      <w:szCs w:val="21"/>
                    </w:rPr>
                    <w:t>带机</w:t>
                  </w:r>
                </w:p>
              </w:tc>
              <w:tc>
                <w:tcPr>
                  <w:tcW w:w="1512" w:type="dxa"/>
                  <w:tcBorders>
                    <w:tl2br w:val="nil"/>
                    <w:tr2bl w:val="nil"/>
                  </w:tcBorders>
                  <w:vAlign w:val="center"/>
                </w:tcPr>
                <w:p w14:paraId="7A61E60E">
                  <w:pPr>
                    <w:jc w:val="center"/>
                    <w:rPr>
                      <w:rFonts w:eastAsiaTheme="minorEastAsia"/>
                      <w:kern w:val="0"/>
                      <w:szCs w:val="21"/>
                    </w:rPr>
                  </w:pPr>
                  <w:r>
                    <w:rPr>
                      <w:szCs w:val="21"/>
                    </w:rPr>
                    <w:t>台</w:t>
                  </w:r>
                </w:p>
              </w:tc>
              <w:tc>
                <w:tcPr>
                  <w:tcW w:w="1248" w:type="dxa"/>
                  <w:tcBorders>
                    <w:tl2br w:val="nil"/>
                    <w:tr2bl w:val="nil"/>
                  </w:tcBorders>
                  <w:vAlign w:val="center"/>
                </w:tcPr>
                <w:p w14:paraId="3EEBF803">
                  <w:pPr>
                    <w:jc w:val="center"/>
                    <w:rPr>
                      <w:rFonts w:eastAsiaTheme="minorEastAsia"/>
                      <w:kern w:val="0"/>
                      <w:szCs w:val="21"/>
                    </w:rPr>
                  </w:pPr>
                  <w:r>
                    <w:rPr>
                      <w:rFonts w:hint="eastAsia"/>
                      <w:szCs w:val="21"/>
                    </w:rPr>
                    <w:t>2</w:t>
                  </w:r>
                </w:p>
              </w:tc>
              <w:tc>
                <w:tcPr>
                  <w:tcW w:w="2356" w:type="dxa"/>
                  <w:tcBorders>
                    <w:tl2br w:val="nil"/>
                    <w:tr2bl w:val="nil"/>
                  </w:tcBorders>
                  <w:vAlign w:val="center"/>
                </w:tcPr>
                <w:p w14:paraId="600AC12E">
                  <w:pPr>
                    <w:widowControl/>
                    <w:jc w:val="center"/>
                    <w:rPr>
                      <w:rFonts w:eastAsiaTheme="minorEastAsia"/>
                      <w:kern w:val="0"/>
                      <w:szCs w:val="21"/>
                    </w:rPr>
                  </w:pPr>
                  <w:r>
                    <w:rPr>
                      <w:rFonts w:eastAsiaTheme="minorEastAsia"/>
                      <w:kern w:val="0"/>
                      <w:szCs w:val="21"/>
                    </w:rPr>
                    <w:t>国内采购</w:t>
                  </w:r>
                </w:p>
              </w:tc>
            </w:tr>
            <w:tr w14:paraId="0920A01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783" w:type="dxa"/>
                  <w:tcBorders>
                    <w:tl2br w:val="nil"/>
                    <w:tr2bl w:val="nil"/>
                  </w:tcBorders>
                  <w:vAlign w:val="center"/>
                </w:tcPr>
                <w:p w14:paraId="657570B7">
                  <w:pPr>
                    <w:widowControl/>
                    <w:jc w:val="center"/>
                    <w:rPr>
                      <w:rFonts w:eastAsiaTheme="minorEastAsia"/>
                      <w:kern w:val="0"/>
                      <w:szCs w:val="21"/>
                    </w:rPr>
                  </w:pPr>
                  <w:r>
                    <w:rPr>
                      <w:rFonts w:eastAsiaTheme="minorEastAsia"/>
                      <w:kern w:val="0"/>
                      <w:szCs w:val="21"/>
                    </w:rPr>
                    <w:t>3</w:t>
                  </w:r>
                </w:p>
              </w:tc>
              <w:tc>
                <w:tcPr>
                  <w:tcW w:w="3120" w:type="dxa"/>
                  <w:tcBorders>
                    <w:tl2br w:val="nil"/>
                    <w:tr2bl w:val="nil"/>
                  </w:tcBorders>
                  <w:vAlign w:val="center"/>
                </w:tcPr>
                <w:p w14:paraId="62286547">
                  <w:pPr>
                    <w:jc w:val="center"/>
                    <w:rPr>
                      <w:szCs w:val="21"/>
                    </w:rPr>
                  </w:pPr>
                  <w:r>
                    <w:rPr>
                      <w:szCs w:val="21"/>
                    </w:rPr>
                    <w:t>卷管机</w:t>
                  </w:r>
                </w:p>
              </w:tc>
              <w:tc>
                <w:tcPr>
                  <w:tcW w:w="1512" w:type="dxa"/>
                  <w:tcBorders>
                    <w:tl2br w:val="nil"/>
                    <w:tr2bl w:val="nil"/>
                  </w:tcBorders>
                  <w:vAlign w:val="center"/>
                </w:tcPr>
                <w:p w14:paraId="312FF936">
                  <w:pPr>
                    <w:jc w:val="center"/>
                    <w:rPr>
                      <w:rFonts w:eastAsiaTheme="minorEastAsia"/>
                      <w:kern w:val="0"/>
                      <w:szCs w:val="21"/>
                    </w:rPr>
                  </w:pPr>
                  <w:r>
                    <w:rPr>
                      <w:szCs w:val="21"/>
                    </w:rPr>
                    <w:t>台</w:t>
                  </w:r>
                </w:p>
              </w:tc>
              <w:tc>
                <w:tcPr>
                  <w:tcW w:w="1248" w:type="dxa"/>
                  <w:tcBorders>
                    <w:tl2br w:val="nil"/>
                    <w:tr2bl w:val="nil"/>
                  </w:tcBorders>
                  <w:vAlign w:val="center"/>
                </w:tcPr>
                <w:p w14:paraId="4EB9F9CE">
                  <w:pPr>
                    <w:jc w:val="center"/>
                    <w:rPr>
                      <w:rFonts w:eastAsiaTheme="minorEastAsia"/>
                      <w:kern w:val="0"/>
                      <w:szCs w:val="21"/>
                    </w:rPr>
                  </w:pPr>
                  <w:r>
                    <w:rPr>
                      <w:rFonts w:hint="eastAsia"/>
                      <w:szCs w:val="21"/>
                    </w:rPr>
                    <w:t>4</w:t>
                  </w:r>
                </w:p>
              </w:tc>
              <w:tc>
                <w:tcPr>
                  <w:tcW w:w="2356" w:type="dxa"/>
                  <w:tcBorders>
                    <w:tl2br w:val="nil"/>
                    <w:tr2bl w:val="nil"/>
                  </w:tcBorders>
                  <w:vAlign w:val="center"/>
                </w:tcPr>
                <w:p w14:paraId="1FD275F3">
                  <w:pPr>
                    <w:contextualSpacing/>
                    <w:jc w:val="center"/>
                    <w:rPr>
                      <w:rFonts w:eastAsiaTheme="minorEastAsia"/>
                      <w:kern w:val="0"/>
                      <w:szCs w:val="21"/>
                    </w:rPr>
                  </w:pPr>
                  <w:r>
                    <w:rPr>
                      <w:rFonts w:eastAsiaTheme="minorEastAsia"/>
                      <w:kern w:val="0"/>
                      <w:szCs w:val="21"/>
                    </w:rPr>
                    <w:t>国内采购</w:t>
                  </w:r>
                </w:p>
              </w:tc>
            </w:tr>
            <w:tr w14:paraId="569E52F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783" w:type="dxa"/>
                  <w:tcBorders>
                    <w:tl2br w:val="nil"/>
                    <w:tr2bl w:val="nil"/>
                  </w:tcBorders>
                  <w:vAlign w:val="center"/>
                </w:tcPr>
                <w:p w14:paraId="2CA82772">
                  <w:pPr>
                    <w:widowControl/>
                    <w:jc w:val="center"/>
                    <w:rPr>
                      <w:rFonts w:eastAsiaTheme="minorEastAsia"/>
                      <w:kern w:val="0"/>
                      <w:szCs w:val="21"/>
                    </w:rPr>
                  </w:pPr>
                  <w:r>
                    <w:rPr>
                      <w:rFonts w:eastAsiaTheme="minorEastAsia"/>
                      <w:kern w:val="0"/>
                      <w:szCs w:val="21"/>
                    </w:rPr>
                    <w:t>4</w:t>
                  </w:r>
                </w:p>
              </w:tc>
              <w:tc>
                <w:tcPr>
                  <w:tcW w:w="3120" w:type="dxa"/>
                  <w:tcBorders>
                    <w:tl2br w:val="nil"/>
                    <w:tr2bl w:val="nil"/>
                  </w:tcBorders>
                  <w:vAlign w:val="center"/>
                </w:tcPr>
                <w:p w14:paraId="571AB879">
                  <w:pPr>
                    <w:jc w:val="center"/>
                    <w:rPr>
                      <w:szCs w:val="21"/>
                    </w:rPr>
                  </w:pPr>
                  <w:r>
                    <w:rPr>
                      <w:szCs w:val="21"/>
                    </w:rPr>
                    <w:t>平板卧缠机</w:t>
                  </w:r>
                </w:p>
              </w:tc>
              <w:tc>
                <w:tcPr>
                  <w:tcW w:w="1512" w:type="dxa"/>
                  <w:tcBorders>
                    <w:tl2br w:val="nil"/>
                    <w:tr2bl w:val="nil"/>
                  </w:tcBorders>
                  <w:vAlign w:val="center"/>
                </w:tcPr>
                <w:p w14:paraId="681F79F1">
                  <w:pPr>
                    <w:jc w:val="center"/>
                    <w:rPr>
                      <w:szCs w:val="21"/>
                    </w:rPr>
                  </w:pPr>
                  <w:r>
                    <w:rPr>
                      <w:szCs w:val="21"/>
                    </w:rPr>
                    <w:t>台</w:t>
                  </w:r>
                </w:p>
              </w:tc>
              <w:tc>
                <w:tcPr>
                  <w:tcW w:w="1248" w:type="dxa"/>
                  <w:tcBorders>
                    <w:tl2br w:val="nil"/>
                    <w:tr2bl w:val="nil"/>
                  </w:tcBorders>
                  <w:vAlign w:val="center"/>
                </w:tcPr>
                <w:p w14:paraId="3C956F32">
                  <w:pPr>
                    <w:jc w:val="center"/>
                    <w:rPr>
                      <w:kern w:val="0"/>
                      <w:szCs w:val="21"/>
                    </w:rPr>
                  </w:pPr>
                  <w:r>
                    <w:rPr>
                      <w:rFonts w:hint="eastAsia"/>
                      <w:szCs w:val="21"/>
                    </w:rPr>
                    <w:t>1</w:t>
                  </w:r>
                </w:p>
              </w:tc>
              <w:tc>
                <w:tcPr>
                  <w:tcW w:w="2356" w:type="dxa"/>
                  <w:tcBorders>
                    <w:tl2br w:val="nil"/>
                    <w:tr2bl w:val="nil"/>
                  </w:tcBorders>
                  <w:vAlign w:val="center"/>
                </w:tcPr>
                <w:p w14:paraId="039EE0FD">
                  <w:pPr>
                    <w:contextualSpacing/>
                    <w:jc w:val="center"/>
                    <w:rPr>
                      <w:szCs w:val="21"/>
                    </w:rPr>
                  </w:pPr>
                  <w:r>
                    <w:rPr>
                      <w:rFonts w:eastAsiaTheme="minorEastAsia"/>
                      <w:kern w:val="0"/>
                      <w:szCs w:val="21"/>
                    </w:rPr>
                    <w:t>国内采购</w:t>
                  </w:r>
                </w:p>
              </w:tc>
            </w:tr>
            <w:tr w14:paraId="52EEC5D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783" w:type="dxa"/>
                  <w:tcBorders>
                    <w:tl2br w:val="nil"/>
                    <w:tr2bl w:val="nil"/>
                  </w:tcBorders>
                  <w:vAlign w:val="center"/>
                </w:tcPr>
                <w:p w14:paraId="452A84E1">
                  <w:pPr>
                    <w:widowControl/>
                    <w:jc w:val="center"/>
                    <w:rPr>
                      <w:rFonts w:eastAsiaTheme="minorEastAsia"/>
                      <w:kern w:val="0"/>
                      <w:szCs w:val="21"/>
                    </w:rPr>
                  </w:pPr>
                  <w:r>
                    <w:rPr>
                      <w:rFonts w:hint="eastAsia" w:eastAsiaTheme="minorEastAsia"/>
                      <w:kern w:val="0"/>
                      <w:szCs w:val="21"/>
                    </w:rPr>
                    <w:t>5</w:t>
                  </w:r>
                </w:p>
              </w:tc>
              <w:tc>
                <w:tcPr>
                  <w:tcW w:w="3120" w:type="dxa"/>
                  <w:tcBorders>
                    <w:tl2br w:val="nil"/>
                    <w:tr2bl w:val="nil"/>
                  </w:tcBorders>
                  <w:vAlign w:val="center"/>
                </w:tcPr>
                <w:p w14:paraId="0DB37A0F">
                  <w:pPr>
                    <w:jc w:val="center"/>
                    <w:rPr>
                      <w:szCs w:val="21"/>
                    </w:rPr>
                  </w:pPr>
                  <w:r>
                    <w:rPr>
                      <w:szCs w:val="21"/>
                    </w:rPr>
                    <w:t>卧式粗节缠带机</w:t>
                  </w:r>
                </w:p>
              </w:tc>
              <w:tc>
                <w:tcPr>
                  <w:tcW w:w="1512" w:type="dxa"/>
                  <w:tcBorders>
                    <w:tl2br w:val="nil"/>
                    <w:tr2bl w:val="nil"/>
                  </w:tcBorders>
                  <w:vAlign w:val="center"/>
                </w:tcPr>
                <w:p w14:paraId="73515429">
                  <w:pPr>
                    <w:jc w:val="center"/>
                    <w:rPr>
                      <w:szCs w:val="21"/>
                    </w:rPr>
                  </w:pPr>
                  <w:r>
                    <w:rPr>
                      <w:szCs w:val="21"/>
                    </w:rPr>
                    <w:t>台</w:t>
                  </w:r>
                </w:p>
              </w:tc>
              <w:tc>
                <w:tcPr>
                  <w:tcW w:w="1248" w:type="dxa"/>
                  <w:tcBorders>
                    <w:tl2br w:val="nil"/>
                    <w:tr2bl w:val="nil"/>
                  </w:tcBorders>
                  <w:vAlign w:val="center"/>
                </w:tcPr>
                <w:p w14:paraId="38489DB9">
                  <w:pPr>
                    <w:jc w:val="center"/>
                    <w:rPr>
                      <w:szCs w:val="21"/>
                    </w:rPr>
                  </w:pPr>
                  <w:r>
                    <w:rPr>
                      <w:rFonts w:hint="eastAsia"/>
                      <w:szCs w:val="21"/>
                    </w:rPr>
                    <w:t>4</w:t>
                  </w:r>
                </w:p>
              </w:tc>
              <w:tc>
                <w:tcPr>
                  <w:tcW w:w="2356" w:type="dxa"/>
                  <w:tcBorders>
                    <w:tl2br w:val="nil"/>
                    <w:tr2bl w:val="nil"/>
                  </w:tcBorders>
                  <w:vAlign w:val="center"/>
                </w:tcPr>
                <w:p w14:paraId="11D23412">
                  <w:pPr>
                    <w:contextualSpacing/>
                    <w:jc w:val="center"/>
                    <w:rPr>
                      <w:rFonts w:eastAsiaTheme="minorEastAsia"/>
                      <w:kern w:val="0"/>
                      <w:szCs w:val="21"/>
                    </w:rPr>
                  </w:pPr>
                  <w:r>
                    <w:rPr>
                      <w:rFonts w:eastAsiaTheme="minorEastAsia"/>
                      <w:kern w:val="0"/>
                      <w:szCs w:val="21"/>
                    </w:rPr>
                    <w:t>国内采购</w:t>
                  </w:r>
                </w:p>
              </w:tc>
            </w:tr>
            <w:tr w14:paraId="082C538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783" w:type="dxa"/>
                  <w:tcBorders>
                    <w:tl2br w:val="nil"/>
                    <w:tr2bl w:val="nil"/>
                  </w:tcBorders>
                  <w:vAlign w:val="center"/>
                </w:tcPr>
                <w:p w14:paraId="3F98E3CB">
                  <w:pPr>
                    <w:widowControl/>
                    <w:jc w:val="center"/>
                    <w:rPr>
                      <w:rFonts w:eastAsiaTheme="minorEastAsia"/>
                      <w:kern w:val="0"/>
                      <w:szCs w:val="21"/>
                    </w:rPr>
                  </w:pPr>
                  <w:r>
                    <w:rPr>
                      <w:rFonts w:hint="eastAsia" w:eastAsiaTheme="minorEastAsia"/>
                      <w:kern w:val="0"/>
                      <w:szCs w:val="21"/>
                    </w:rPr>
                    <w:t>6</w:t>
                  </w:r>
                </w:p>
              </w:tc>
              <w:tc>
                <w:tcPr>
                  <w:tcW w:w="3120" w:type="dxa"/>
                  <w:tcBorders>
                    <w:tl2br w:val="nil"/>
                    <w:tr2bl w:val="nil"/>
                  </w:tcBorders>
                  <w:vAlign w:val="center"/>
                </w:tcPr>
                <w:p w14:paraId="23206FD6">
                  <w:pPr>
                    <w:jc w:val="center"/>
                    <w:rPr>
                      <w:szCs w:val="21"/>
                    </w:rPr>
                  </w:pPr>
                  <w:r>
                    <w:rPr>
                      <w:szCs w:val="21"/>
                    </w:rPr>
                    <w:t>精密立缠机</w:t>
                  </w:r>
                </w:p>
              </w:tc>
              <w:tc>
                <w:tcPr>
                  <w:tcW w:w="1512" w:type="dxa"/>
                  <w:tcBorders>
                    <w:tl2br w:val="nil"/>
                    <w:tr2bl w:val="nil"/>
                  </w:tcBorders>
                  <w:vAlign w:val="center"/>
                </w:tcPr>
                <w:p w14:paraId="61D707F2">
                  <w:pPr>
                    <w:jc w:val="center"/>
                    <w:rPr>
                      <w:szCs w:val="21"/>
                    </w:rPr>
                  </w:pPr>
                  <w:r>
                    <w:rPr>
                      <w:szCs w:val="21"/>
                    </w:rPr>
                    <w:t>台</w:t>
                  </w:r>
                </w:p>
              </w:tc>
              <w:tc>
                <w:tcPr>
                  <w:tcW w:w="1248" w:type="dxa"/>
                  <w:tcBorders>
                    <w:tl2br w:val="nil"/>
                    <w:tr2bl w:val="nil"/>
                  </w:tcBorders>
                  <w:vAlign w:val="center"/>
                </w:tcPr>
                <w:p w14:paraId="68FEAA49">
                  <w:pPr>
                    <w:jc w:val="center"/>
                    <w:rPr>
                      <w:szCs w:val="21"/>
                    </w:rPr>
                  </w:pPr>
                  <w:r>
                    <w:rPr>
                      <w:rFonts w:hint="eastAsia"/>
                      <w:szCs w:val="21"/>
                    </w:rPr>
                    <w:t>2</w:t>
                  </w:r>
                </w:p>
              </w:tc>
              <w:tc>
                <w:tcPr>
                  <w:tcW w:w="2356" w:type="dxa"/>
                  <w:tcBorders>
                    <w:tl2br w:val="nil"/>
                    <w:tr2bl w:val="nil"/>
                  </w:tcBorders>
                  <w:vAlign w:val="center"/>
                </w:tcPr>
                <w:p w14:paraId="00F790D1">
                  <w:pPr>
                    <w:contextualSpacing/>
                    <w:jc w:val="center"/>
                    <w:rPr>
                      <w:rFonts w:eastAsiaTheme="minorEastAsia"/>
                      <w:kern w:val="0"/>
                      <w:szCs w:val="21"/>
                    </w:rPr>
                  </w:pPr>
                  <w:r>
                    <w:rPr>
                      <w:rFonts w:eastAsiaTheme="minorEastAsia"/>
                      <w:kern w:val="0"/>
                      <w:szCs w:val="21"/>
                    </w:rPr>
                    <w:t>国内采购</w:t>
                  </w:r>
                </w:p>
              </w:tc>
            </w:tr>
            <w:tr w14:paraId="0C37989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783" w:type="dxa"/>
                  <w:tcBorders>
                    <w:tl2br w:val="nil"/>
                    <w:tr2bl w:val="nil"/>
                  </w:tcBorders>
                  <w:vAlign w:val="center"/>
                </w:tcPr>
                <w:p w14:paraId="6A55AB9E">
                  <w:pPr>
                    <w:widowControl/>
                    <w:jc w:val="center"/>
                    <w:rPr>
                      <w:rFonts w:eastAsiaTheme="minorEastAsia"/>
                      <w:kern w:val="0"/>
                      <w:szCs w:val="21"/>
                    </w:rPr>
                  </w:pPr>
                  <w:r>
                    <w:rPr>
                      <w:rFonts w:hint="eastAsia" w:eastAsiaTheme="minorEastAsia"/>
                      <w:kern w:val="0"/>
                      <w:szCs w:val="21"/>
                    </w:rPr>
                    <w:t>7</w:t>
                  </w:r>
                </w:p>
              </w:tc>
              <w:tc>
                <w:tcPr>
                  <w:tcW w:w="3120" w:type="dxa"/>
                  <w:tcBorders>
                    <w:tl2br w:val="nil"/>
                    <w:tr2bl w:val="nil"/>
                  </w:tcBorders>
                  <w:vAlign w:val="center"/>
                </w:tcPr>
                <w:p w14:paraId="5EBD3DEF">
                  <w:pPr>
                    <w:jc w:val="center"/>
                    <w:rPr>
                      <w:szCs w:val="21"/>
                    </w:rPr>
                  </w:pPr>
                  <w:r>
                    <w:rPr>
                      <w:szCs w:val="21"/>
                    </w:rPr>
                    <w:t>固化炉</w:t>
                  </w:r>
                </w:p>
              </w:tc>
              <w:tc>
                <w:tcPr>
                  <w:tcW w:w="1512" w:type="dxa"/>
                  <w:tcBorders>
                    <w:tl2br w:val="nil"/>
                    <w:tr2bl w:val="nil"/>
                  </w:tcBorders>
                  <w:vAlign w:val="center"/>
                </w:tcPr>
                <w:p w14:paraId="46D23E35">
                  <w:pPr>
                    <w:jc w:val="center"/>
                    <w:rPr>
                      <w:szCs w:val="21"/>
                    </w:rPr>
                  </w:pPr>
                  <w:r>
                    <w:rPr>
                      <w:szCs w:val="21"/>
                    </w:rPr>
                    <w:t>台</w:t>
                  </w:r>
                </w:p>
              </w:tc>
              <w:tc>
                <w:tcPr>
                  <w:tcW w:w="1248" w:type="dxa"/>
                  <w:tcBorders>
                    <w:tl2br w:val="nil"/>
                    <w:tr2bl w:val="nil"/>
                  </w:tcBorders>
                  <w:vAlign w:val="center"/>
                </w:tcPr>
                <w:p w14:paraId="75C69563">
                  <w:pPr>
                    <w:jc w:val="center"/>
                    <w:rPr>
                      <w:kern w:val="0"/>
                      <w:szCs w:val="21"/>
                    </w:rPr>
                  </w:pPr>
                  <w:r>
                    <w:rPr>
                      <w:rFonts w:hint="eastAsia"/>
                      <w:szCs w:val="21"/>
                    </w:rPr>
                    <w:t>5</w:t>
                  </w:r>
                </w:p>
              </w:tc>
              <w:tc>
                <w:tcPr>
                  <w:tcW w:w="2356" w:type="dxa"/>
                  <w:tcBorders>
                    <w:tl2br w:val="nil"/>
                    <w:tr2bl w:val="nil"/>
                  </w:tcBorders>
                  <w:vAlign w:val="center"/>
                </w:tcPr>
                <w:p w14:paraId="029DDE04">
                  <w:pPr>
                    <w:contextualSpacing/>
                    <w:jc w:val="center"/>
                    <w:rPr>
                      <w:szCs w:val="21"/>
                    </w:rPr>
                  </w:pPr>
                  <w:r>
                    <w:rPr>
                      <w:rFonts w:eastAsiaTheme="minorEastAsia"/>
                      <w:kern w:val="0"/>
                      <w:szCs w:val="21"/>
                    </w:rPr>
                    <w:t>国内采购</w:t>
                  </w:r>
                </w:p>
              </w:tc>
            </w:tr>
            <w:tr w14:paraId="436DAFA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783" w:type="dxa"/>
                  <w:tcBorders>
                    <w:tl2br w:val="nil"/>
                    <w:tr2bl w:val="nil"/>
                  </w:tcBorders>
                  <w:vAlign w:val="center"/>
                </w:tcPr>
                <w:p w14:paraId="4B4FA7DD">
                  <w:pPr>
                    <w:widowControl/>
                    <w:jc w:val="center"/>
                    <w:rPr>
                      <w:rFonts w:eastAsiaTheme="minorEastAsia"/>
                      <w:kern w:val="0"/>
                      <w:szCs w:val="21"/>
                    </w:rPr>
                  </w:pPr>
                  <w:r>
                    <w:rPr>
                      <w:rFonts w:hint="eastAsia" w:eastAsiaTheme="minorEastAsia"/>
                      <w:kern w:val="0"/>
                      <w:szCs w:val="21"/>
                    </w:rPr>
                    <w:t>8</w:t>
                  </w:r>
                </w:p>
              </w:tc>
              <w:tc>
                <w:tcPr>
                  <w:tcW w:w="3120" w:type="dxa"/>
                  <w:tcBorders>
                    <w:tl2br w:val="nil"/>
                    <w:tr2bl w:val="nil"/>
                  </w:tcBorders>
                  <w:vAlign w:val="center"/>
                </w:tcPr>
                <w:p w14:paraId="2E05B782">
                  <w:pPr>
                    <w:jc w:val="center"/>
                    <w:rPr>
                      <w:szCs w:val="21"/>
                    </w:rPr>
                  </w:pPr>
                  <w:r>
                    <w:rPr>
                      <w:szCs w:val="21"/>
                    </w:rPr>
                    <w:t>脱芯机</w:t>
                  </w:r>
                </w:p>
              </w:tc>
              <w:tc>
                <w:tcPr>
                  <w:tcW w:w="1512" w:type="dxa"/>
                  <w:tcBorders>
                    <w:tl2br w:val="nil"/>
                    <w:tr2bl w:val="nil"/>
                  </w:tcBorders>
                  <w:vAlign w:val="center"/>
                </w:tcPr>
                <w:p w14:paraId="13B9E50F">
                  <w:pPr>
                    <w:jc w:val="center"/>
                    <w:rPr>
                      <w:szCs w:val="21"/>
                    </w:rPr>
                  </w:pPr>
                  <w:r>
                    <w:rPr>
                      <w:szCs w:val="21"/>
                    </w:rPr>
                    <w:t>台</w:t>
                  </w:r>
                </w:p>
              </w:tc>
              <w:tc>
                <w:tcPr>
                  <w:tcW w:w="1248" w:type="dxa"/>
                  <w:tcBorders>
                    <w:tl2br w:val="nil"/>
                    <w:tr2bl w:val="nil"/>
                  </w:tcBorders>
                  <w:vAlign w:val="center"/>
                </w:tcPr>
                <w:p w14:paraId="54B5225C">
                  <w:pPr>
                    <w:jc w:val="center"/>
                    <w:rPr>
                      <w:kern w:val="0"/>
                      <w:szCs w:val="21"/>
                    </w:rPr>
                  </w:pPr>
                  <w:r>
                    <w:rPr>
                      <w:rFonts w:hint="eastAsia"/>
                      <w:szCs w:val="21"/>
                    </w:rPr>
                    <w:t>2</w:t>
                  </w:r>
                </w:p>
              </w:tc>
              <w:tc>
                <w:tcPr>
                  <w:tcW w:w="2356" w:type="dxa"/>
                  <w:tcBorders>
                    <w:tl2br w:val="nil"/>
                    <w:tr2bl w:val="nil"/>
                  </w:tcBorders>
                  <w:vAlign w:val="center"/>
                </w:tcPr>
                <w:p w14:paraId="1F5E5542">
                  <w:pPr>
                    <w:contextualSpacing/>
                    <w:jc w:val="center"/>
                    <w:rPr>
                      <w:szCs w:val="21"/>
                    </w:rPr>
                  </w:pPr>
                  <w:r>
                    <w:rPr>
                      <w:rFonts w:eastAsiaTheme="minorEastAsia"/>
                      <w:kern w:val="0"/>
                      <w:szCs w:val="21"/>
                    </w:rPr>
                    <w:t>国内采购</w:t>
                  </w:r>
                </w:p>
              </w:tc>
            </w:tr>
            <w:tr w14:paraId="17301FD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783" w:type="dxa"/>
                  <w:tcBorders>
                    <w:tl2br w:val="nil"/>
                    <w:tr2bl w:val="nil"/>
                  </w:tcBorders>
                  <w:vAlign w:val="center"/>
                </w:tcPr>
                <w:p w14:paraId="068246CF">
                  <w:pPr>
                    <w:widowControl/>
                    <w:jc w:val="center"/>
                    <w:rPr>
                      <w:rFonts w:eastAsiaTheme="minorEastAsia"/>
                      <w:kern w:val="0"/>
                      <w:szCs w:val="21"/>
                    </w:rPr>
                  </w:pPr>
                  <w:r>
                    <w:rPr>
                      <w:rFonts w:hint="eastAsia" w:eastAsiaTheme="minorEastAsia"/>
                      <w:kern w:val="0"/>
                      <w:szCs w:val="21"/>
                    </w:rPr>
                    <w:t>9</w:t>
                  </w:r>
                </w:p>
              </w:tc>
              <w:tc>
                <w:tcPr>
                  <w:tcW w:w="3120" w:type="dxa"/>
                  <w:tcBorders>
                    <w:tl2br w:val="nil"/>
                    <w:tr2bl w:val="nil"/>
                  </w:tcBorders>
                  <w:vAlign w:val="center"/>
                </w:tcPr>
                <w:p w14:paraId="7F22DF21">
                  <w:pPr>
                    <w:jc w:val="center"/>
                    <w:rPr>
                      <w:szCs w:val="21"/>
                    </w:rPr>
                  </w:pPr>
                  <w:r>
                    <w:rPr>
                      <w:szCs w:val="21"/>
                    </w:rPr>
                    <w:t>切断机</w:t>
                  </w:r>
                </w:p>
              </w:tc>
              <w:tc>
                <w:tcPr>
                  <w:tcW w:w="1512" w:type="dxa"/>
                  <w:tcBorders>
                    <w:tl2br w:val="nil"/>
                    <w:tr2bl w:val="nil"/>
                  </w:tcBorders>
                  <w:vAlign w:val="center"/>
                </w:tcPr>
                <w:p w14:paraId="241B8C7F">
                  <w:pPr>
                    <w:jc w:val="center"/>
                    <w:rPr>
                      <w:szCs w:val="21"/>
                    </w:rPr>
                  </w:pPr>
                  <w:r>
                    <w:rPr>
                      <w:szCs w:val="21"/>
                    </w:rPr>
                    <w:t>台</w:t>
                  </w:r>
                </w:p>
              </w:tc>
              <w:tc>
                <w:tcPr>
                  <w:tcW w:w="1248" w:type="dxa"/>
                  <w:tcBorders>
                    <w:tl2br w:val="nil"/>
                    <w:tr2bl w:val="nil"/>
                  </w:tcBorders>
                  <w:vAlign w:val="center"/>
                </w:tcPr>
                <w:p w14:paraId="1AC25C78">
                  <w:pPr>
                    <w:jc w:val="center"/>
                    <w:rPr>
                      <w:kern w:val="0"/>
                      <w:szCs w:val="21"/>
                    </w:rPr>
                  </w:pPr>
                  <w:r>
                    <w:rPr>
                      <w:szCs w:val="21"/>
                    </w:rPr>
                    <w:t>1</w:t>
                  </w:r>
                </w:p>
              </w:tc>
              <w:tc>
                <w:tcPr>
                  <w:tcW w:w="2356" w:type="dxa"/>
                  <w:tcBorders>
                    <w:tl2br w:val="nil"/>
                    <w:tr2bl w:val="nil"/>
                  </w:tcBorders>
                  <w:vAlign w:val="center"/>
                </w:tcPr>
                <w:p w14:paraId="0BE12608">
                  <w:pPr>
                    <w:contextualSpacing/>
                    <w:jc w:val="center"/>
                    <w:rPr>
                      <w:szCs w:val="21"/>
                    </w:rPr>
                  </w:pPr>
                  <w:r>
                    <w:rPr>
                      <w:rFonts w:eastAsiaTheme="minorEastAsia"/>
                      <w:kern w:val="0"/>
                      <w:szCs w:val="21"/>
                    </w:rPr>
                    <w:t>国内采购</w:t>
                  </w:r>
                </w:p>
              </w:tc>
            </w:tr>
            <w:tr w14:paraId="644FBB4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783" w:type="dxa"/>
                  <w:tcBorders>
                    <w:tl2br w:val="nil"/>
                    <w:tr2bl w:val="nil"/>
                  </w:tcBorders>
                  <w:vAlign w:val="center"/>
                </w:tcPr>
                <w:p w14:paraId="79FE03BA">
                  <w:pPr>
                    <w:widowControl/>
                    <w:jc w:val="center"/>
                    <w:rPr>
                      <w:rFonts w:eastAsiaTheme="minorEastAsia"/>
                      <w:kern w:val="0"/>
                      <w:szCs w:val="21"/>
                    </w:rPr>
                  </w:pPr>
                  <w:r>
                    <w:rPr>
                      <w:rFonts w:hint="eastAsia" w:eastAsiaTheme="minorEastAsia"/>
                      <w:kern w:val="0"/>
                      <w:szCs w:val="21"/>
                    </w:rPr>
                    <w:t>10</w:t>
                  </w:r>
                </w:p>
              </w:tc>
              <w:tc>
                <w:tcPr>
                  <w:tcW w:w="3120" w:type="dxa"/>
                  <w:tcBorders>
                    <w:tl2br w:val="nil"/>
                    <w:tr2bl w:val="nil"/>
                  </w:tcBorders>
                  <w:vAlign w:val="center"/>
                </w:tcPr>
                <w:p w14:paraId="283AB44F">
                  <w:pPr>
                    <w:jc w:val="center"/>
                    <w:rPr>
                      <w:szCs w:val="21"/>
                    </w:rPr>
                  </w:pPr>
                  <w:r>
                    <w:rPr>
                      <w:szCs w:val="21"/>
                    </w:rPr>
                    <w:t>水磨机</w:t>
                  </w:r>
                </w:p>
              </w:tc>
              <w:tc>
                <w:tcPr>
                  <w:tcW w:w="1512" w:type="dxa"/>
                  <w:tcBorders>
                    <w:tl2br w:val="nil"/>
                    <w:tr2bl w:val="nil"/>
                  </w:tcBorders>
                  <w:vAlign w:val="center"/>
                </w:tcPr>
                <w:p w14:paraId="13757A73">
                  <w:pPr>
                    <w:jc w:val="center"/>
                    <w:rPr>
                      <w:szCs w:val="21"/>
                    </w:rPr>
                  </w:pPr>
                  <w:r>
                    <w:rPr>
                      <w:szCs w:val="21"/>
                    </w:rPr>
                    <w:t>台</w:t>
                  </w:r>
                </w:p>
              </w:tc>
              <w:tc>
                <w:tcPr>
                  <w:tcW w:w="1248" w:type="dxa"/>
                  <w:tcBorders>
                    <w:tl2br w:val="nil"/>
                    <w:tr2bl w:val="nil"/>
                  </w:tcBorders>
                  <w:vAlign w:val="center"/>
                </w:tcPr>
                <w:p w14:paraId="2AA50D8A">
                  <w:pPr>
                    <w:jc w:val="center"/>
                    <w:rPr>
                      <w:kern w:val="0"/>
                      <w:szCs w:val="21"/>
                    </w:rPr>
                  </w:pPr>
                  <w:r>
                    <w:rPr>
                      <w:rFonts w:hint="eastAsia"/>
                      <w:szCs w:val="21"/>
                    </w:rPr>
                    <w:t>5</w:t>
                  </w:r>
                </w:p>
              </w:tc>
              <w:tc>
                <w:tcPr>
                  <w:tcW w:w="2356" w:type="dxa"/>
                  <w:tcBorders>
                    <w:tl2br w:val="nil"/>
                    <w:tr2bl w:val="nil"/>
                  </w:tcBorders>
                  <w:vAlign w:val="center"/>
                </w:tcPr>
                <w:p w14:paraId="7D22BE4D">
                  <w:pPr>
                    <w:contextualSpacing/>
                    <w:jc w:val="center"/>
                    <w:rPr>
                      <w:szCs w:val="21"/>
                    </w:rPr>
                  </w:pPr>
                  <w:r>
                    <w:rPr>
                      <w:rFonts w:eastAsiaTheme="minorEastAsia"/>
                      <w:kern w:val="0"/>
                      <w:szCs w:val="21"/>
                    </w:rPr>
                    <w:t>国内采购</w:t>
                  </w:r>
                </w:p>
              </w:tc>
            </w:tr>
            <w:tr w14:paraId="5F5E126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783" w:type="dxa"/>
                  <w:tcBorders>
                    <w:tl2br w:val="nil"/>
                    <w:tr2bl w:val="nil"/>
                  </w:tcBorders>
                  <w:vAlign w:val="center"/>
                </w:tcPr>
                <w:p w14:paraId="5FEE54F4">
                  <w:pPr>
                    <w:widowControl/>
                    <w:jc w:val="center"/>
                    <w:rPr>
                      <w:rFonts w:eastAsiaTheme="minorEastAsia"/>
                      <w:kern w:val="0"/>
                      <w:szCs w:val="21"/>
                    </w:rPr>
                  </w:pPr>
                  <w:r>
                    <w:rPr>
                      <w:rFonts w:hint="eastAsia" w:eastAsiaTheme="minorEastAsia"/>
                      <w:kern w:val="0"/>
                      <w:szCs w:val="21"/>
                    </w:rPr>
                    <w:t>11</w:t>
                  </w:r>
                </w:p>
              </w:tc>
              <w:tc>
                <w:tcPr>
                  <w:tcW w:w="3120" w:type="dxa"/>
                  <w:tcBorders>
                    <w:tl2br w:val="nil"/>
                    <w:tr2bl w:val="nil"/>
                  </w:tcBorders>
                  <w:vAlign w:val="center"/>
                </w:tcPr>
                <w:p w14:paraId="5EB899FA">
                  <w:pPr>
                    <w:jc w:val="center"/>
                    <w:rPr>
                      <w:szCs w:val="21"/>
                    </w:rPr>
                  </w:pPr>
                  <w:r>
                    <w:rPr>
                      <w:szCs w:val="21"/>
                    </w:rPr>
                    <w:t>喷涂机</w:t>
                  </w:r>
                </w:p>
              </w:tc>
              <w:tc>
                <w:tcPr>
                  <w:tcW w:w="1512" w:type="dxa"/>
                  <w:tcBorders>
                    <w:tl2br w:val="nil"/>
                    <w:tr2bl w:val="nil"/>
                  </w:tcBorders>
                  <w:vAlign w:val="center"/>
                </w:tcPr>
                <w:p w14:paraId="6C950D7D">
                  <w:pPr>
                    <w:jc w:val="center"/>
                    <w:rPr>
                      <w:szCs w:val="21"/>
                    </w:rPr>
                  </w:pPr>
                  <w:r>
                    <w:rPr>
                      <w:szCs w:val="21"/>
                    </w:rPr>
                    <w:t>台</w:t>
                  </w:r>
                </w:p>
              </w:tc>
              <w:tc>
                <w:tcPr>
                  <w:tcW w:w="1248" w:type="dxa"/>
                  <w:tcBorders>
                    <w:tl2br w:val="nil"/>
                    <w:tr2bl w:val="nil"/>
                  </w:tcBorders>
                  <w:vAlign w:val="center"/>
                </w:tcPr>
                <w:p w14:paraId="687C4D70">
                  <w:pPr>
                    <w:jc w:val="center"/>
                    <w:rPr>
                      <w:kern w:val="0"/>
                      <w:szCs w:val="21"/>
                    </w:rPr>
                  </w:pPr>
                  <w:r>
                    <w:rPr>
                      <w:szCs w:val="21"/>
                    </w:rPr>
                    <w:t>1</w:t>
                  </w:r>
                </w:p>
              </w:tc>
              <w:tc>
                <w:tcPr>
                  <w:tcW w:w="2356" w:type="dxa"/>
                  <w:tcBorders>
                    <w:tl2br w:val="nil"/>
                    <w:tr2bl w:val="nil"/>
                  </w:tcBorders>
                  <w:vAlign w:val="center"/>
                </w:tcPr>
                <w:p w14:paraId="3211DE44">
                  <w:pPr>
                    <w:contextualSpacing/>
                    <w:jc w:val="center"/>
                    <w:rPr>
                      <w:szCs w:val="21"/>
                    </w:rPr>
                  </w:pPr>
                  <w:r>
                    <w:rPr>
                      <w:rFonts w:eastAsiaTheme="minorEastAsia"/>
                      <w:kern w:val="0"/>
                      <w:szCs w:val="21"/>
                    </w:rPr>
                    <w:t>国内采购</w:t>
                  </w:r>
                </w:p>
              </w:tc>
            </w:tr>
            <w:tr w14:paraId="4CC5BF3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74AEDB32">
                  <w:pPr>
                    <w:widowControl/>
                    <w:jc w:val="center"/>
                    <w:rPr>
                      <w:rFonts w:eastAsiaTheme="minorEastAsia"/>
                      <w:kern w:val="0"/>
                      <w:szCs w:val="21"/>
                    </w:rPr>
                  </w:pPr>
                  <w:r>
                    <w:rPr>
                      <w:rFonts w:hint="eastAsia" w:eastAsiaTheme="minorEastAsia"/>
                      <w:kern w:val="0"/>
                      <w:szCs w:val="21"/>
                    </w:rPr>
                    <w:t>12</w:t>
                  </w:r>
                </w:p>
              </w:tc>
              <w:tc>
                <w:tcPr>
                  <w:tcW w:w="3120" w:type="dxa"/>
                  <w:tcBorders>
                    <w:tl2br w:val="nil"/>
                    <w:tr2bl w:val="nil"/>
                  </w:tcBorders>
                  <w:vAlign w:val="center"/>
                </w:tcPr>
                <w:p w14:paraId="7FA8CC4F">
                  <w:pPr>
                    <w:jc w:val="center"/>
                    <w:rPr>
                      <w:szCs w:val="21"/>
                    </w:rPr>
                  </w:pPr>
                  <w:r>
                    <w:rPr>
                      <w:rFonts w:hint="eastAsia"/>
                      <w:szCs w:val="21"/>
                    </w:rPr>
                    <w:t>环氧车</w:t>
                  </w:r>
                </w:p>
              </w:tc>
              <w:tc>
                <w:tcPr>
                  <w:tcW w:w="1512" w:type="dxa"/>
                  <w:tcBorders>
                    <w:tl2br w:val="nil"/>
                    <w:tr2bl w:val="nil"/>
                  </w:tcBorders>
                  <w:vAlign w:val="center"/>
                </w:tcPr>
                <w:p w14:paraId="3A85A5BF">
                  <w:pPr>
                    <w:jc w:val="center"/>
                    <w:rPr>
                      <w:szCs w:val="21"/>
                    </w:rPr>
                  </w:pPr>
                  <w:r>
                    <w:rPr>
                      <w:szCs w:val="21"/>
                    </w:rPr>
                    <w:t>台</w:t>
                  </w:r>
                </w:p>
              </w:tc>
              <w:tc>
                <w:tcPr>
                  <w:tcW w:w="1248" w:type="dxa"/>
                  <w:tcBorders>
                    <w:tl2br w:val="nil"/>
                    <w:tr2bl w:val="nil"/>
                  </w:tcBorders>
                  <w:vAlign w:val="center"/>
                </w:tcPr>
                <w:p w14:paraId="11F381AB">
                  <w:pPr>
                    <w:jc w:val="center"/>
                    <w:rPr>
                      <w:szCs w:val="21"/>
                    </w:rPr>
                  </w:pPr>
                  <w:r>
                    <w:rPr>
                      <w:rFonts w:hint="eastAsia"/>
                      <w:szCs w:val="21"/>
                    </w:rPr>
                    <w:t>11</w:t>
                  </w:r>
                </w:p>
              </w:tc>
              <w:tc>
                <w:tcPr>
                  <w:tcW w:w="2356" w:type="dxa"/>
                  <w:tcBorders>
                    <w:tl2br w:val="nil"/>
                    <w:tr2bl w:val="nil"/>
                  </w:tcBorders>
                  <w:vAlign w:val="center"/>
                </w:tcPr>
                <w:p w14:paraId="06587149">
                  <w:pPr>
                    <w:contextualSpacing/>
                    <w:jc w:val="center"/>
                    <w:rPr>
                      <w:rFonts w:eastAsiaTheme="minorEastAsia"/>
                      <w:kern w:val="0"/>
                      <w:szCs w:val="21"/>
                    </w:rPr>
                  </w:pPr>
                  <w:r>
                    <w:rPr>
                      <w:rFonts w:eastAsiaTheme="minorEastAsia"/>
                      <w:kern w:val="0"/>
                      <w:szCs w:val="21"/>
                    </w:rPr>
                    <w:t>国内采购</w:t>
                  </w:r>
                </w:p>
              </w:tc>
            </w:tr>
            <w:tr w14:paraId="773BBEC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43D8E99D">
                  <w:pPr>
                    <w:widowControl/>
                    <w:jc w:val="center"/>
                    <w:rPr>
                      <w:rFonts w:eastAsiaTheme="minorEastAsia"/>
                      <w:kern w:val="0"/>
                      <w:szCs w:val="21"/>
                    </w:rPr>
                  </w:pPr>
                  <w:r>
                    <w:rPr>
                      <w:rFonts w:hint="eastAsia" w:eastAsiaTheme="minorEastAsia"/>
                      <w:kern w:val="0"/>
                      <w:szCs w:val="21"/>
                    </w:rPr>
                    <w:t>13</w:t>
                  </w:r>
                </w:p>
              </w:tc>
              <w:tc>
                <w:tcPr>
                  <w:tcW w:w="3120" w:type="dxa"/>
                  <w:tcBorders>
                    <w:tl2br w:val="nil"/>
                    <w:tr2bl w:val="nil"/>
                  </w:tcBorders>
                  <w:vAlign w:val="center"/>
                </w:tcPr>
                <w:p w14:paraId="5E3101F5">
                  <w:pPr>
                    <w:jc w:val="center"/>
                    <w:rPr>
                      <w:szCs w:val="21"/>
                    </w:rPr>
                  </w:pPr>
                  <w:r>
                    <w:rPr>
                      <w:rFonts w:hint="eastAsia"/>
                      <w:szCs w:val="21"/>
                    </w:rPr>
                    <w:t>车丝机</w:t>
                  </w:r>
                </w:p>
              </w:tc>
              <w:tc>
                <w:tcPr>
                  <w:tcW w:w="1512" w:type="dxa"/>
                  <w:tcBorders>
                    <w:tl2br w:val="nil"/>
                    <w:tr2bl w:val="nil"/>
                  </w:tcBorders>
                  <w:vAlign w:val="center"/>
                </w:tcPr>
                <w:p w14:paraId="2C27E797">
                  <w:pPr>
                    <w:jc w:val="center"/>
                    <w:rPr>
                      <w:szCs w:val="21"/>
                    </w:rPr>
                  </w:pPr>
                  <w:r>
                    <w:rPr>
                      <w:szCs w:val="21"/>
                    </w:rPr>
                    <w:t>台</w:t>
                  </w:r>
                </w:p>
              </w:tc>
              <w:tc>
                <w:tcPr>
                  <w:tcW w:w="1248" w:type="dxa"/>
                  <w:tcBorders>
                    <w:tl2br w:val="nil"/>
                    <w:tr2bl w:val="nil"/>
                  </w:tcBorders>
                  <w:vAlign w:val="center"/>
                </w:tcPr>
                <w:p w14:paraId="0A4EBCD4">
                  <w:pPr>
                    <w:jc w:val="center"/>
                    <w:rPr>
                      <w:szCs w:val="21"/>
                    </w:rPr>
                  </w:pPr>
                  <w:r>
                    <w:rPr>
                      <w:rFonts w:hint="eastAsia"/>
                      <w:szCs w:val="21"/>
                    </w:rPr>
                    <w:t>1</w:t>
                  </w:r>
                </w:p>
              </w:tc>
              <w:tc>
                <w:tcPr>
                  <w:tcW w:w="2356" w:type="dxa"/>
                  <w:tcBorders>
                    <w:tl2br w:val="nil"/>
                    <w:tr2bl w:val="nil"/>
                  </w:tcBorders>
                  <w:vAlign w:val="center"/>
                </w:tcPr>
                <w:p w14:paraId="577BF4BF">
                  <w:pPr>
                    <w:contextualSpacing/>
                    <w:jc w:val="center"/>
                    <w:rPr>
                      <w:rFonts w:eastAsiaTheme="minorEastAsia"/>
                      <w:kern w:val="0"/>
                      <w:szCs w:val="21"/>
                    </w:rPr>
                  </w:pPr>
                  <w:r>
                    <w:rPr>
                      <w:rFonts w:eastAsiaTheme="minorEastAsia"/>
                      <w:kern w:val="0"/>
                      <w:szCs w:val="21"/>
                    </w:rPr>
                    <w:t>国内采购</w:t>
                  </w:r>
                </w:p>
              </w:tc>
            </w:tr>
            <w:tr w14:paraId="73E6F0B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107DD650">
                  <w:pPr>
                    <w:widowControl/>
                    <w:jc w:val="center"/>
                    <w:rPr>
                      <w:rFonts w:eastAsiaTheme="minorEastAsia"/>
                      <w:kern w:val="0"/>
                      <w:szCs w:val="21"/>
                    </w:rPr>
                  </w:pPr>
                  <w:r>
                    <w:rPr>
                      <w:rFonts w:hint="eastAsia" w:eastAsiaTheme="minorEastAsia"/>
                      <w:kern w:val="0"/>
                      <w:szCs w:val="21"/>
                    </w:rPr>
                    <w:t>14</w:t>
                  </w:r>
                </w:p>
              </w:tc>
              <w:tc>
                <w:tcPr>
                  <w:tcW w:w="3120" w:type="dxa"/>
                  <w:tcBorders>
                    <w:tl2br w:val="nil"/>
                    <w:tr2bl w:val="nil"/>
                  </w:tcBorders>
                  <w:vAlign w:val="center"/>
                </w:tcPr>
                <w:p w14:paraId="131773CE">
                  <w:pPr>
                    <w:contextualSpacing/>
                    <w:jc w:val="center"/>
                    <w:rPr>
                      <w:szCs w:val="21"/>
                    </w:rPr>
                  </w:pPr>
                  <w:r>
                    <w:rPr>
                      <w:rFonts w:hint="eastAsia"/>
                      <w:szCs w:val="21"/>
                    </w:rPr>
                    <w:t>修口机</w:t>
                  </w:r>
                </w:p>
              </w:tc>
              <w:tc>
                <w:tcPr>
                  <w:tcW w:w="1512" w:type="dxa"/>
                  <w:tcBorders>
                    <w:tl2br w:val="nil"/>
                    <w:tr2bl w:val="nil"/>
                  </w:tcBorders>
                  <w:vAlign w:val="center"/>
                </w:tcPr>
                <w:p w14:paraId="40CF94A7">
                  <w:pPr>
                    <w:jc w:val="center"/>
                    <w:rPr>
                      <w:szCs w:val="21"/>
                    </w:rPr>
                  </w:pPr>
                  <w:r>
                    <w:rPr>
                      <w:rFonts w:hint="eastAsia"/>
                      <w:szCs w:val="21"/>
                    </w:rPr>
                    <w:t>台</w:t>
                  </w:r>
                </w:p>
              </w:tc>
              <w:tc>
                <w:tcPr>
                  <w:tcW w:w="1248" w:type="dxa"/>
                  <w:tcBorders>
                    <w:tl2br w:val="nil"/>
                    <w:tr2bl w:val="nil"/>
                  </w:tcBorders>
                  <w:vAlign w:val="center"/>
                </w:tcPr>
                <w:p w14:paraId="000DAA18">
                  <w:pPr>
                    <w:widowControl/>
                    <w:jc w:val="center"/>
                    <w:textAlignment w:val="center"/>
                    <w:rPr>
                      <w:kern w:val="0"/>
                      <w:szCs w:val="21"/>
                    </w:rPr>
                  </w:pPr>
                  <w:r>
                    <w:rPr>
                      <w:rFonts w:hint="eastAsia"/>
                      <w:kern w:val="0"/>
                      <w:szCs w:val="21"/>
                    </w:rPr>
                    <w:t>1</w:t>
                  </w:r>
                </w:p>
              </w:tc>
              <w:tc>
                <w:tcPr>
                  <w:tcW w:w="2356" w:type="dxa"/>
                  <w:tcBorders>
                    <w:tl2br w:val="nil"/>
                    <w:tr2bl w:val="nil"/>
                  </w:tcBorders>
                  <w:vAlign w:val="center"/>
                </w:tcPr>
                <w:p w14:paraId="4C89D4A8">
                  <w:pPr>
                    <w:contextualSpacing/>
                    <w:jc w:val="center"/>
                    <w:rPr>
                      <w:rFonts w:eastAsiaTheme="minorEastAsia"/>
                      <w:kern w:val="0"/>
                      <w:szCs w:val="21"/>
                    </w:rPr>
                  </w:pPr>
                  <w:r>
                    <w:rPr>
                      <w:rFonts w:eastAsiaTheme="minorEastAsia"/>
                      <w:kern w:val="0"/>
                      <w:szCs w:val="21"/>
                    </w:rPr>
                    <w:t>国内采购</w:t>
                  </w:r>
                </w:p>
              </w:tc>
            </w:tr>
            <w:tr w14:paraId="39B2F66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13AB2196">
                  <w:pPr>
                    <w:widowControl/>
                    <w:jc w:val="center"/>
                    <w:rPr>
                      <w:rFonts w:eastAsiaTheme="minorEastAsia"/>
                      <w:kern w:val="0"/>
                      <w:szCs w:val="21"/>
                    </w:rPr>
                  </w:pPr>
                  <w:r>
                    <w:rPr>
                      <w:rFonts w:hint="eastAsia" w:eastAsiaTheme="minorEastAsia"/>
                      <w:kern w:val="0"/>
                      <w:szCs w:val="21"/>
                    </w:rPr>
                    <w:t>15</w:t>
                  </w:r>
                </w:p>
              </w:tc>
              <w:tc>
                <w:tcPr>
                  <w:tcW w:w="3120" w:type="dxa"/>
                  <w:tcBorders>
                    <w:tl2br w:val="nil"/>
                    <w:tr2bl w:val="nil"/>
                  </w:tcBorders>
                  <w:vAlign w:val="center"/>
                </w:tcPr>
                <w:p w14:paraId="7A9F7431">
                  <w:pPr>
                    <w:contextualSpacing/>
                    <w:jc w:val="center"/>
                    <w:rPr>
                      <w:szCs w:val="21"/>
                    </w:rPr>
                  </w:pPr>
                  <w:r>
                    <w:rPr>
                      <w:rFonts w:hint="eastAsia"/>
                      <w:szCs w:val="21"/>
                    </w:rPr>
                    <w:t>模具处理机</w:t>
                  </w:r>
                </w:p>
              </w:tc>
              <w:tc>
                <w:tcPr>
                  <w:tcW w:w="1512" w:type="dxa"/>
                  <w:tcBorders>
                    <w:tl2br w:val="nil"/>
                    <w:tr2bl w:val="nil"/>
                  </w:tcBorders>
                  <w:vAlign w:val="center"/>
                </w:tcPr>
                <w:p w14:paraId="19143657">
                  <w:pPr>
                    <w:jc w:val="center"/>
                    <w:rPr>
                      <w:szCs w:val="21"/>
                    </w:rPr>
                  </w:pPr>
                  <w:r>
                    <w:rPr>
                      <w:rFonts w:hint="eastAsia"/>
                      <w:szCs w:val="21"/>
                    </w:rPr>
                    <w:t>台</w:t>
                  </w:r>
                </w:p>
              </w:tc>
              <w:tc>
                <w:tcPr>
                  <w:tcW w:w="1248" w:type="dxa"/>
                  <w:tcBorders>
                    <w:tl2br w:val="nil"/>
                    <w:tr2bl w:val="nil"/>
                  </w:tcBorders>
                  <w:vAlign w:val="center"/>
                </w:tcPr>
                <w:p w14:paraId="699DDE22">
                  <w:pPr>
                    <w:widowControl/>
                    <w:jc w:val="center"/>
                    <w:textAlignment w:val="center"/>
                    <w:rPr>
                      <w:kern w:val="0"/>
                      <w:szCs w:val="21"/>
                    </w:rPr>
                  </w:pPr>
                  <w:r>
                    <w:rPr>
                      <w:rFonts w:hint="eastAsia"/>
                      <w:kern w:val="0"/>
                      <w:szCs w:val="21"/>
                    </w:rPr>
                    <w:t>2</w:t>
                  </w:r>
                </w:p>
              </w:tc>
              <w:tc>
                <w:tcPr>
                  <w:tcW w:w="2356" w:type="dxa"/>
                  <w:tcBorders>
                    <w:tl2br w:val="nil"/>
                    <w:tr2bl w:val="nil"/>
                  </w:tcBorders>
                  <w:vAlign w:val="center"/>
                </w:tcPr>
                <w:p w14:paraId="7F8844A3">
                  <w:pPr>
                    <w:contextualSpacing/>
                    <w:jc w:val="center"/>
                    <w:rPr>
                      <w:rFonts w:eastAsiaTheme="minorEastAsia"/>
                      <w:kern w:val="0"/>
                      <w:szCs w:val="21"/>
                    </w:rPr>
                  </w:pPr>
                  <w:r>
                    <w:rPr>
                      <w:rFonts w:eastAsiaTheme="minorEastAsia"/>
                      <w:kern w:val="0"/>
                      <w:szCs w:val="21"/>
                    </w:rPr>
                    <w:t>国内采购</w:t>
                  </w:r>
                </w:p>
              </w:tc>
            </w:tr>
            <w:tr w14:paraId="60C6468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466A393C">
                  <w:pPr>
                    <w:widowControl/>
                    <w:jc w:val="center"/>
                    <w:rPr>
                      <w:rFonts w:eastAsiaTheme="minorEastAsia"/>
                      <w:kern w:val="0"/>
                      <w:szCs w:val="21"/>
                    </w:rPr>
                  </w:pPr>
                  <w:r>
                    <w:rPr>
                      <w:rFonts w:hint="eastAsia" w:eastAsiaTheme="minorEastAsia"/>
                      <w:kern w:val="0"/>
                      <w:szCs w:val="21"/>
                    </w:rPr>
                    <w:t>16</w:t>
                  </w:r>
                </w:p>
              </w:tc>
              <w:tc>
                <w:tcPr>
                  <w:tcW w:w="3120" w:type="dxa"/>
                  <w:tcBorders>
                    <w:tl2br w:val="nil"/>
                    <w:tr2bl w:val="nil"/>
                  </w:tcBorders>
                  <w:vAlign w:val="center"/>
                </w:tcPr>
                <w:p w14:paraId="4812DBD5">
                  <w:pPr>
                    <w:contextualSpacing/>
                    <w:jc w:val="center"/>
                    <w:rPr>
                      <w:szCs w:val="21"/>
                    </w:rPr>
                  </w:pPr>
                  <w:r>
                    <w:rPr>
                      <w:rFonts w:hint="eastAsia"/>
                      <w:szCs w:val="21"/>
                    </w:rPr>
                    <w:t>切断机</w:t>
                  </w:r>
                </w:p>
              </w:tc>
              <w:tc>
                <w:tcPr>
                  <w:tcW w:w="1512" w:type="dxa"/>
                  <w:tcBorders>
                    <w:tl2br w:val="nil"/>
                    <w:tr2bl w:val="nil"/>
                  </w:tcBorders>
                  <w:vAlign w:val="center"/>
                </w:tcPr>
                <w:p w14:paraId="3DA6BA64">
                  <w:pPr>
                    <w:jc w:val="center"/>
                    <w:rPr>
                      <w:szCs w:val="21"/>
                    </w:rPr>
                  </w:pPr>
                  <w:r>
                    <w:rPr>
                      <w:rFonts w:hint="eastAsia"/>
                      <w:szCs w:val="21"/>
                    </w:rPr>
                    <w:t>台</w:t>
                  </w:r>
                </w:p>
              </w:tc>
              <w:tc>
                <w:tcPr>
                  <w:tcW w:w="1248" w:type="dxa"/>
                  <w:tcBorders>
                    <w:tl2br w:val="nil"/>
                    <w:tr2bl w:val="nil"/>
                  </w:tcBorders>
                  <w:vAlign w:val="center"/>
                </w:tcPr>
                <w:p w14:paraId="3DBEB220">
                  <w:pPr>
                    <w:widowControl/>
                    <w:jc w:val="center"/>
                    <w:textAlignment w:val="center"/>
                    <w:rPr>
                      <w:kern w:val="0"/>
                      <w:szCs w:val="21"/>
                    </w:rPr>
                  </w:pPr>
                  <w:r>
                    <w:rPr>
                      <w:rFonts w:hint="eastAsia"/>
                      <w:kern w:val="0"/>
                      <w:szCs w:val="21"/>
                    </w:rPr>
                    <w:t>2</w:t>
                  </w:r>
                </w:p>
              </w:tc>
              <w:tc>
                <w:tcPr>
                  <w:tcW w:w="2356" w:type="dxa"/>
                  <w:tcBorders>
                    <w:tl2br w:val="nil"/>
                    <w:tr2bl w:val="nil"/>
                  </w:tcBorders>
                  <w:vAlign w:val="center"/>
                </w:tcPr>
                <w:p w14:paraId="46FD1FB0">
                  <w:pPr>
                    <w:contextualSpacing/>
                    <w:jc w:val="center"/>
                    <w:rPr>
                      <w:rFonts w:eastAsiaTheme="minorEastAsia"/>
                      <w:kern w:val="0"/>
                      <w:szCs w:val="21"/>
                    </w:rPr>
                  </w:pPr>
                  <w:r>
                    <w:rPr>
                      <w:rFonts w:eastAsiaTheme="minorEastAsia"/>
                      <w:kern w:val="0"/>
                      <w:szCs w:val="21"/>
                    </w:rPr>
                    <w:t>国内采购</w:t>
                  </w:r>
                </w:p>
              </w:tc>
            </w:tr>
            <w:tr w14:paraId="3F1179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4F845668">
                  <w:pPr>
                    <w:widowControl/>
                    <w:jc w:val="center"/>
                    <w:rPr>
                      <w:rFonts w:eastAsiaTheme="minorEastAsia"/>
                      <w:kern w:val="0"/>
                      <w:szCs w:val="21"/>
                    </w:rPr>
                  </w:pPr>
                  <w:r>
                    <w:rPr>
                      <w:rFonts w:hint="eastAsia" w:eastAsiaTheme="minorEastAsia"/>
                      <w:kern w:val="0"/>
                      <w:szCs w:val="21"/>
                    </w:rPr>
                    <w:t>17</w:t>
                  </w:r>
                </w:p>
              </w:tc>
              <w:tc>
                <w:tcPr>
                  <w:tcW w:w="3120" w:type="dxa"/>
                  <w:tcBorders>
                    <w:tl2br w:val="nil"/>
                    <w:tr2bl w:val="nil"/>
                  </w:tcBorders>
                  <w:vAlign w:val="center"/>
                </w:tcPr>
                <w:p w14:paraId="6A299BCE">
                  <w:pPr>
                    <w:contextualSpacing/>
                    <w:jc w:val="center"/>
                    <w:rPr>
                      <w:szCs w:val="21"/>
                    </w:rPr>
                  </w:pPr>
                  <w:r>
                    <w:rPr>
                      <w:rFonts w:hint="eastAsia"/>
                      <w:szCs w:val="21"/>
                    </w:rPr>
                    <w:t>抛光机</w:t>
                  </w:r>
                </w:p>
              </w:tc>
              <w:tc>
                <w:tcPr>
                  <w:tcW w:w="1512" w:type="dxa"/>
                  <w:tcBorders>
                    <w:tl2br w:val="nil"/>
                    <w:tr2bl w:val="nil"/>
                  </w:tcBorders>
                  <w:vAlign w:val="center"/>
                </w:tcPr>
                <w:p w14:paraId="7C6BEBA4">
                  <w:pPr>
                    <w:jc w:val="center"/>
                    <w:rPr>
                      <w:szCs w:val="21"/>
                    </w:rPr>
                  </w:pPr>
                  <w:r>
                    <w:rPr>
                      <w:szCs w:val="21"/>
                    </w:rPr>
                    <w:t>台</w:t>
                  </w:r>
                </w:p>
              </w:tc>
              <w:tc>
                <w:tcPr>
                  <w:tcW w:w="1248" w:type="dxa"/>
                  <w:tcBorders>
                    <w:tl2br w:val="nil"/>
                    <w:tr2bl w:val="nil"/>
                  </w:tcBorders>
                  <w:vAlign w:val="center"/>
                </w:tcPr>
                <w:p w14:paraId="7D5800E2">
                  <w:pPr>
                    <w:widowControl/>
                    <w:jc w:val="center"/>
                    <w:textAlignment w:val="center"/>
                    <w:rPr>
                      <w:kern w:val="0"/>
                      <w:szCs w:val="21"/>
                    </w:rPr>
                  </w:pPr>
                  <w:r>
                    <w:rPr>
                      <w:rFonts w:hint="eastAsia"/>
                      <w:kern w:val="0"/>
                      <w:szCs w:val="21"/>
                    </w:rPr>
                    <w:t>4</w:t>
                  </w:r>
                </w:p>
              </w:tc>
              <w:tc>
                <w:tcPr>
                  <w:tcW w:w="2356" w:type="dxa"/>
                  <w:tcBorders>
                    <w:tl2br w:val="nil"/>
                    <w:tr2bl w:val="nil"/>
                  </w:tcBorders>
                  <w:vAlign w:val="center"/>
                </w:tcPr>
                <w:p w14:paraId="3C41F6F0">
                  <w:pPr>
                    <w:contextualSpacing/>
                    <w:jc w:val="center"/>
                    <w:rPr>
                      <w:rFonts w:eastAsiaTheme="minorEastAsia"/>
                      <w:kern w:val="0"/>
                      <w:szCs w:val="21"/>
                    </w:rPr>
                  </w:pPr>
                  <w:r>
                    <w:rPr>
                      <w:rFonts w:eastAsiaTheme="minorEastAsia"/>
                      <w:kern w:val="0"/>
                      <w:szCs w:val="21"/>
                    </w:rPr>
                    <w:t>威海本地</w:t>
                  </w:r>
                </w:p>
              </w:tc>
            </w:tr>
            <w:tr w14:paraId="1325A70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2AFDF031">
                  <w:pPr>
                    <w:widowControl/>
                    <w:jc w:val="center"/>
                    <w:rPr>
                      <w:rFonts w:eastAsiaTheme="minorEastAsia"/>
                      <w:kern w:val="0"/>
                      <w:szCs w:val="21"/>
                    </w:rPr>
                  </w:pPr>
                  <w:r>
                    <w:rPr>
                      <w:rFonts w:hint="eastAsia" w:eastAsiaTheme="minorEastAsia"/>
                      <w:kern w:val="0"/>
                      <w:szCs w:val="21"/>
                    </w:rPr>
                    <w:t>18</w:t>
                  </w:r>
                </w:p>
              </w:tc>
              <w:tc>
                <w:tcPr>
                  <w:tcW w:w="3120" w:type="dxa"/>
                  <w:tcBorders>
                    <w:tl2br w:val="nil"/>
                    <w:tr2bl w:val="nil"/>
                  </w:tcBorders>
                  <w:vAlign w:val="center"/>
                </w:tcPr>
                <w:p w14:paraId="108B7E76">
                  <w:pPr>
                    <w:pStyle w:val="81"/>
                    <w:ind w:firstLine="0" w:firstLineChars="0"/>
                    <w:jc w:val="center"/>
                    <w:rPr>
                      <w:szCs w:val="21"/>
                    </w:rPr>
                  </w:pPr>
                  <w:r>
                    <w:rPr>
                      <w:szCs w:val="21"/>
                    </w:rPr>
                    <w:t>拖床</w:t>
                  </w:r>
                </w:p>
              </w:tc>
              <w:tc>
                <w:tcPr>
                  <w:tcW w:w="1512" w:type="dxa"/>
                  <w:tcBorders>
                    <w:tl2br w:val="nil"/>
                    <w:tr2bl w:val="nil"/>
                  </w:tcBorders>
                  <w:vAlign w:val="center"/>
                </w:tcPr>
                <w:p w14:paraId="1346AE2F">
                  <w:pPr>
                    <w:jc w:val="center"/>
                    <w:rPr>
                      <w:szCs w:val="21"/>
                    </w:rPr>
                  </w:pPr>
                  <w:r>
                    <w:rPr>
                      <w:szCs w:val="21"/>
                    </w:rPr>
                    <w:t>台</w:t>
                  </w:r>
                </w:p>
              </w:tc>
              <w:tc>
                <w:tcPr>
                  <w:tcW w:w="1248" w:type="dxa"/>
                  <w:tcBorders>
                    <w:tl2br w:val="nil"/>
                    <w:tr2bl w:val="nil"/>
                  </w:tcBorders>
                  <w:vAlign w:val="center"/>
                </w:tcPr>
                <w:p w14:paraId="0BAFBD06">
                  <w:pPr>
                    <w:widowControl/>
                    <w:jc w:val="center"/>
                    <w:textAlignment w:val="center"/>
                    <w:rPr>
                      <w:kern w:val="0"/>
                      <w:szCs w:val="21"/>
                    </w:rPr>
                  </w:pPr>
                  <w:r>
                    <w:rPr>
                      <w:rFonts w:hint="eastAsia"/>
                      <w:kern w:val="0"/>
                      <w:szCs w:val="21"/>
                    </w:rPr>
                    <w:t>2</w:t>
                  </w:r>
                </w:p>
              </w:tc>
              <w:tc>
                <w:tcPr>
                  <w:tcW w:w="2356" w:type="dxa"/>
                  <w:tcBorders>
                    <w:tl2br w:val="nil"/>
                    <w:tr2bl w:val="nil"/>
                  </w:tcBorders>
                  <w:vAlign w:val="center"/>
                </w:tcPr>
                <w:p w14:paraId="26C9A9A7">
                  <w:pPr>
                    <w:contextualSpacing/>
                    <w:jc w:val="center"/>
                    <w:rPr>
                      <w:rFonts w:eastAsiaTheme="minorEastAsia"/>
                      <w:kern w:val="0"/>
                      <w:szCs w:val="21"/>
                    </w:rPr>
                  </w:pPr>
                  <w:r>
                    <w:rPr>
                      <w:rFonts w:eastAsiaTheme="minorEastAsia"/>
                      <w:kern w:val="0"/>
                      <w:szCs w:val="21"/>
                    </w:rPr>
                    <w:t>威海本地</w:t>
                  </w:r>
                </w:p>
              </w:tc>
            </w:tr>
            <w:tr w14:paraId="6AB533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77F99AFB">
                  <w:pPr>
                    <w:widowControl/>
                    <w:jc w:val="center"/>
                    <w:rPr>
                      <w:rFonts w:eastAsiaTheme="minorEastAsia"/>
                      <w:kern w:val="0"/>
                      <w:szCs w:val="21"/>
                    </w:rPr>
                  </w:pPr>
                  <w:r>
                    <w:rPr>
                      <w:rFonts w:hint="eastAsia" w:eastAsiaTheme="minorEastAsia"/>
                      <w:kern w:val="0"/>
                      <w:szCs w:val="21"/>
                    </w:rPr>
                    <w:t>19</w:t>
                  </w:r>
                </w:p>
              </w:tc>
              <w:tc>
                <w:tcPr>
                  <w:tcW w:w="3120" w:type="dxa"/>
                  <w:tcBorders>
                    <w:tl2br w:val="nil"/>
                    <w:tr2bl w:val="nil"/>
                  </w:tcBorders>
                  <w:vAlign w:val="center"/>
                </w:tcPr>
                <w:p w14:paraId="655CC337">
                  <w:pPr>
                    <w:pStyle w:val="81"/>
                    <w:ind w:firstLine="0" w:firstLineChars="0"/>
                    <w:jc w:val="center"/>
                    <w:rPr>
                      <w:szCs w:val="21"/>
                    </w:rPr>
                  </w:pPr>
                  <w:r>
                    <w:rPr>
                      <w:szCs w:val="21"/>
                    </w:rPr>
                    <w:t>打眼</w:t>
                  </w:r>
                </w:p>
              </w:tc>
              <w:tc>
                <w:tcPr>
                  <w:tcW w:w="1512" w:type="dxa"/>
                  <w:tcBorders>
                    <w:tl2br w:val="nil"/>
                    <w:tr2bl w:val="nil"/>
                  </w:tcBorders>
                  <w:vAlign w:val="center"/>
                </w:tcPr>
                <w:p w14:paraId="2A565E85">
                  <w:pPr>
                    <w:jc w:val="center"/>
                    <w:rPr>
                      <w:szCs w:val="21"/>
                    </w:rPr>
                  </w:pPr>
                  <w:r>
                    <w:rPr>
                      <w:rFonts w:hint="eastAsia"/>
                      <w:szCs w:val="21"/>
                    </w:rPr>
                    <w:t>台</w:t>
                  </w:r>
                </w:p>
              </w:tc>
              <w:tc>
                <w:tcPr>
                  <w:tcW w:w="1248" w:type="dxa"/>
                  <w:tcBorders>
                    <w:tl2br w:val="nil"/>
                    <w:tr2bl w:val="nil"/>
                  </w:tcBorders>
                  <w:vAlign w:val="center"/>
                </w:tcPr>
                <w:p w14:paraId="3073D8AB">
                  <w:pPr>
                    <w:widowControl/>
                    <w:jc w:val="center"/>
                    <w:textAlignment w:val="center"/>
                    <w:rPr>
                      <w:kern w:val="0"/>
                      <w:szCs w:val="21"/>
                    </w:rPr>
                  </w:pPr>
                  <w:r>
                    <w:rPr>
                      <w:rFonts w:hint="eastAsia"/>
                      <w:kern w:val="0"/>
                      <w:szCs w:val="21"/>
                    </w:rPr>
                    <w:t>2</w:t>
                  </w:r>
                </w:p>
              </w:tc>
              <w:tc>
                <w:tcPr>
                  <w:tcW w:w="2356" w:type="dxa"/>
                  <w:tcBorders>
                    <w:tl2br w:val="nil"/>
                    <w:tr2bl w:val="nil"/>
                  </w:tcBorders>
                  <w:vAlign w:val="center"/>
                </w:tcPr>
                <w:p w14:paraId="65AA792E">
                  <w:pPr>
                    <w:contextualSpacing/>
                    <w:jc w:val="center"/>
                    <w:rPr>
                      <w:rFonts w:eastAsiaTheme="minorEastAsia"/>
                      <w:kern w:val="0"/>
                      <w:szCs w:val="21"/>
                    </w:rPr>
                  </w:pPr>
                  <w:r>
                    <w:rPr>
                      <w:rFonts w:eastAsiaTheme="minorEastAsia"/>
                      <w:kern w:val="0"/>
                      <w:szCs w:val="21"/>
                    </w:rPr>
                    <w:t>威海本地</w:t>
                  </w:r>
                </w:p>
              </w:tc>
            </w:tr>
            <w:tr w14:paraId="33944D4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83" w:type="dxa"/>
                  <w:tcBorders>
                    <w:tl2br w:val="nil"/>
                    <w:tr2bl w:val="nil"/>
                  </w:tcBorders>
                  <w:vAlign w:val="center"/>
                </w:tcPr>
                <w:p w14:paraId="3E102B9D">
                  <w:pPr>
                    <w:widowControl/>
                    <w:jc w:val="center"/>
                    <w:rPr>
                      <w:rFonts w:eastAsiaTheme="minorEastAsia"/>
                      <w:kern w:val="0"/>
                      <w:szCs w:val="21"/>
                    </w:rPr>
                  </w:pPr>
                  <w:r>
                    <w:rPr>
                      <w:rFonts w:hint="eastAsia" w:eastAsiaTheme="minorEastAsia"/>
                      <w:kern w:val="0"/>
                      <w:szCs w:val="21"/>
                    </w:rPr>
                    <w:t>20</w:t>
                  </w:r>
                </w:p>
              </w:tc>
              <w:tc>
                <w:tcPr>
                  <w:tcW w:w="3120" w:type="dxa"/>
                  <w:tcBorders>
                    <w:tl2br w:val="nil"/>
                    <w:tr2bl w:val="nil"/>
                  </w:tcBorders>
                  <w:vAlign w:val="center"/>
                </w:tcPr>
                <w:p w14:paraId="00A80B0F">
                  <w:pPr>
                    <w:pStyle w:val="81"/>
                    <w:ind w:firstLine="0" w:firstLineChars="0"/>
                    <w:jc w:val="center"/>
                    <w:rPr>
                      <w:szCs w:val="21"/>
                    </w:rPr>
                  </w:pPr>
                  <w:r>
                    <w:rPr>
                      <w:szCs w:val="21"/>
                    </w:rPr>
                    <w:t>靠床</w:t>
                  </w:r>
                </w:p>
              </w:tc>
              <w:tc>
                <w:tcPr>
                  <w:tcW w:w="1512" w:type="dxa"/>
                  <w:tcBorders>
                    <w:tl2br w:val="nil"/>
                    <w:tr2bl w:val="nil"/>
                  </w:tcBorders>
                  <w:vAlign w:val="center"/>
                </w:tcPr>
                <w:p w14:paraId="4098B253">
                  <w:pPr>
                    <w:jc w:val="center"/>
                    <w:rPr>
                      <w:szCs w:val="21"/>
                    </w:rPr>
                  </w:pPr>
                  <w:r>
                    <w:rPr>
                      <w:rFonts w:hint="eastAsia"/>
                      <w:szCs w:val="21"/>
                    </w:rPr>
                    <w:t>台</w:t>
                  </w:r>
                </w:p>
              </w:tc>
              <w:tc>
                <w:tcPr>
                  <w:tcW w:w="1248" w:type="dxa"/>
                  <w:tcBorders>
                    <w:tl2br w:val="nil"/>
                    <w:tr2bl w:val="nil"/>
                  </w:tcBorders>
                  <w:vAlign w:val="center"/>
                </w:tcPr>
                <w:p w14:paraId="4C1C8D4E">
                  <w:pPr>
                    <w:widowControl/>
                    <w:jc w:val="center"/>
                    <w:textAlignment w:val="center"/>
                    <w:rPr>
                      <w:kern w:val="0"/>
                      <w:szCs w:val="21"/>
                    </w:rPr>
                  </w:pPr>
                  <w:r>
                    <w:rPr>
                      <w:rFonts w:hint="eastAsia"/>
                      <w:kern w:val="0"/>
                      <w:szCs w:val="21"/>
                    </w:rPr>
                    <w:t>2</w:t>
                  </w:r>
                </w:p>
              </w:tc>
              <w:tc>
                <w:tcPr>
                  <w:tcW w:w="2356" w:type="dxa"/>
                  <w:tcBorders>
                    <w:tl2br w:val="nil"/>
                    <w:tr2bl w:val="nil"/>
                  </w:tcBorders>
                  <w:vAlign w:val="center"/>
                </w:tcPr>
                <w:p w14:paraId="7B5D677C">
                  <w:pPr>
                    <w:contextualSpacing/>
                    <w:jc w:val="center"/>
                    <w:rPr>
                      <w:rFonts w:eastAsiaTheme="minorEastAsia"/>
                      <w:kern w:val="0"/>
                      <w:szCs w:val="21"/>
                    </w:rPr>
                  </w:pPr>
                  <w:r>
                    <w:rPr>
                      <w:rFonts w:eastAsiaTheme="minorEastAsia"/>
                      <w:kern w:val="0"/>
                      <w:szCs w:val="21"/>
                    </w:rPr>
                    <w:t>威海本地</w:t>
                  </w:r>
                </w:p>
              </w:tc>
            </w:tr>
            <w:tr w14:paraId="38B1DFF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783" w:type="dxa"/>
                  <w:tcBorders>
                    <w:tl2br w:val="nil"/>
                    <w:tr2bl w:val="nil"/>
                  </w:tcBorders>
                  <w:vAlign w:val="center"/>
                </w:tcPr>
                <w:p w14:paraId="3E40D962">
                  <w:pPr>
                    <w:widowControl/>
                    <w:jc w:val="center"/>
                    <w:rPr>
                      <w:rFonts w:eastAsiaTheme="minorEastAsia"/>
                      <w:kern w:val="0"/>
                      <w:szCs w:val="21"/>
                    </w:rPr>
                  </w:pPr>
                  <w:r>
                    <w:rPr>
                      <w:rFonts w:hint="eastAsia" w:eastAsiaTheme="minorEastAsia"/>
                      <w:kern w:val="0"/>
                      <w:szCs w:val="21"/>
                    </w:rPr>
                    <w:t>21</w:t>
                  </w:r>
                </w:p>
              </w:tc>
              <w:tc>
                <w:tcPr>
                  <w:tcW w:w="3120" w:type="dxa"/>
                  <w:tcBorders>
                    <w:tl2br w:val="nil"/>
                    <w:tr2bl w:val="nil"/>
                  </w:tcBorders>
                  <w:vAlign w:val="center"/>
                </w:tcPr>
                <w:p w14:paraId="6CBDA90F">
                  <w:pPr>
                    <w:jc w:val="center"/>
                    <w:rPr>
                      <w:szCs w:val="21"/>
                    </w:rPr>
                  </w:pPr>
                  <w:r>
                    <w:rPr>
                      <w:szCs w:val="21"/>
                    </w:rPr>
                    <w:t>催化燃烧废气处理装置</w:t>
                  </w:r>
                </w:p>
              </w:tc>
              <w:tc>
                <w:tcPr>
                  <w:tcW w:w="1512" w:type="dxa"/>
                  <w:tcBorders>
                    <w:tl2br w:val="nil"/>
                    <w:tr2bl w:val="nil"/>
                  </w:tcBorders>
                  <w:vAlign w:val="center"/>
                </w:tcPr>
                <w:p w14:paraId="20B2144C">
                  <w:pPr>
                    <w:jc w:val="center"/>
                    <w:rPr>
                      <w:szCs w:val="21"/>
                    </w:rPr>
                  </w:pPr>
                  <w:r>
                    <w:rPr>
                      <w:rFonts w:hint="eastAsia"/>
                      <w:szCs w:val="21"/>
                    </w:rPr>
                    <w:t>台</w:t>
                  </w:r>
                </w:p>
              </w:tc>
              <w:tc>
                <w:tcPr>
                  <w:tcW w:w="1248" w:type="dxa"/>
                  <w:tcBorders>
                    <w:tl2br w:val="nil"/>
                    <w:tr2bl w:val="nil"/>
                  </w:tcBorders>
                  <w:vAlign w:val="center"/>
                </w:tcPr>
                <w:p w14:paraId="00EDCA4F">
                  <w:pPr>
                    <w:jc w:val="center"/>
                    <w:rPr>
                      <w:kern w:val="0"/>
                      <w:szCs w:val="21"/>
                    </w:rPr>
                  </w:pPr>
                  <w:r>
                    <w:rPr>
                      <w:szCs w:val="21"/>
                    </w:rPr>
                    <w:t>1</w:t>
                  </w:r>
                </w:p>
              </w:tc>
              <w:tc>
                <w:tcPr>
                  <w:tcW w:w="2356" w:type="dxa"/>
                  <w:tcBorders>
                    <w:tl2br w:val="nil"/>
                    <w:tr2bl w:val="nil"/>
                  </w:tcBorders>
                  <w:vAlign w:val="center"/>
                </w:tcPr>
                <w:p w14:paraId="6A1E5308">
                  <w:pPr>
                    <w:contextualSpacing/>
                    <w:jc w:val="center"/>
                    <w:rPr>
                      <w:szCs w:val="21"/>
                    </w:rPr>
                  </w:pPr>
                  <w:r>
                    <w:rPr>
                      <w:rFonts w:eastAsiaTheme="minorEastAsia"/>
                      <w:kern w:val="0"/>
                      <w:szCs w:val="21"/>
                    </w:rPr>
                    <w:t>威海本地</w:t>
                  </w:r>
                </w:p>
              </w:tc>
            </w:tr>
            <w:tr w14:paraId="3F30BE2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783" w:type="dxa"/>
                  <w:tcBorders>
                    <w:tl2br w:val="nil"/>
                    <w:tr2bl w:val="nil"/>
                  </w:tcBorders>
                  <w:vAlign w:val="center"/>
                </w:tcPr>
                <w:p w14:paraId="31F9F4AD">
                  <w:pPr>
                    <w:widowControl/>
                    <w:jc w:val="center"/>
                    <w:rPr>
                      <w:rFonts w:eastAsiaTheme="minorEastAsia"/>
                      <w:kern w:val="0"/>
                      <w:szCs w:val="21"/>
                    </w:rPr>
                  </w:pPr>
                  <w:r>
                    <w:rPr>
                      <w:rFonts w:hint="eastAsia" w:eastAsiaTheme="minorEastAsia"/>
                      <w:kern w:val="0"/>
                      <w:szCs w:val="21"/>
                    </w:rPr>
                    <w:t>22</w:t>
                  </w:r>
                </w:p>
              </w:tc>
              <w:tc>
                <w:tcPr>
                  <w:tcW w:w="3120" w:type="dxa"/>
                  <w:tcBorders>
                    <w:tl2br w:val="nil"/>
                    <w:tr2bl w:val="nil"/>
                  </w:tcBorders>
                  <w:vAlign w:val="center"/>
                </w:tcPr>
                <w:p w14:paraId="3B877AF8">
                  <w:pPr>
                    <w:jc w:val="center"/>
                    <w:rPr>
                      <w:szCs w:val="21"/>
                    </w:rPr>
                  </w:pPr>
                  <w:r>
                    <w:rPr>
                      <w:szCs w:val="21"/>
                    </w:rPr>
                    <w:t>水喷淋装置</w:t>
                  </w:r>
                </w:p>
              </w:tc>
              <w:tc>
                <w:tcPr>
                  <w:tcW w:w="1512" w:type="dxa"/>
                  <w:tcBorders>
                    <w:tl2br w:val="nil"/>
                    <w:tr2bl w:val="nil"/>
                  </w:tcBorders>
                  <w:vAlign w:val="center"/>
                </w:tcPr>
                <w:p w14:paraId="73233461">
                  <w:pPr>
                    <w:jc w:val="center"/>
                    <w:rPr>
                      <w:szCs w:val="21"/>
                    </w:rPr>
                  </w:pPr>
                  <w:r>
                    <w:rPr>
                      <w:szCs w:val="21"/>
                    </w:rPr>
                    <w:t>台</w:t>
                  </w:r>
                </w:p>
              </w:tc>
              <w:tc>
                <w:tcPr>
                  <w:tcW w:w="1248" w:type="dxa"/>
                  <w:tcBorders>
                    <w:tl2br w:val="nil"/>
                    <w:tr2bl w:val="nil"/>
                  </w:tcBorders>
                  <w:vAlign w:val="center"/>
                </w:tcPr>
                <w:p w14:paraId="777C86A9">
                  <w:pPr>
                    <w:jc w:val="center"/>
                    <w:rPr>
                      <w:szCs w:val="21"/>
                    </w:rPr>
                  </w:pPr>
                  <w:r>
                    <w:rPr>
                      <w:szCs w:val="21"/>
                    </w:rPr>
                    <w:t>1</w:t>
                  </w:r>
                </w:p>
              </w:tc>
              <w:tc>
                <w:tcPr>
                  <w:tcW w:w="2356" w:type="dxa"/>
                  <w:tcBorders>
                    <w:tl2br w:val="nil"/>
                    <w:tr2bl w:val="nil"/>
                  </w:tcBorders>
                  <w:vAlign w:val="center"/>
                </w:tcPr>
                <w:p w14:paraId="40124CA7">
                  <w:pPr>
                    <w:contextualSpacing/>
                    <w:jc w:val="center"/>
                    <w:rPr>
                      <w:rFonts w:eastAsiaTheme="minorEastAsia"/>
                      <w:kern w:val="0"/>
                      <w:szCs w:val="21"/>
                    </w:rPr>
                  </w:pPr>
                  <w:r>
                    <w:rPr>
                      <w:rFonts w:eastAsiaTheme="minorEastAsia"/>
                      <w:kern w:val="0"/>
                      <w:szCs w:val="21"/>
                    </w:rPr>
                    <w:t>威海本地</w:t>
                  </w:r>
                </w:p>
              </w:tc>
            </w:tr>
          </w:tbl>
          <w:p w14:paraId="4EF076C3">
            <w:pPr>
              <w:pStyle w:val="83"/>
              <w:adjustRightInd w:val="0"/>
            </w:pPr>
            <w:r>
              <w:rPr>
                <w:lang w:val="en-US"/>
              </w:rPr>
              <w:t>3、</w:t>
            </w:r>
            <w:r>
              <w:t>公共工程</w:t>
            </w:r>
          </w:p>
          <w:p w14:paraId="0EBA34DE">
            <w:pPr>
              <w:pStyle w:val="83"/>
              <w:adjustRightInd w:val="0"/>
              <w:ind w:left="0" w:leftChars="0" w:firstLine="496"/>
              <w:rPr>
                <w:spacing w:val="4"/>
              </w:rPr>
            </w:pPr>
            <w:r>
              <w:rPr>
                <w:spacing w:val="4"/>
              </w:rPr>
              <w:t>（1）供电工程</w:t>
            </w:r>
          </w:p>
          <w:p w14:paraId="4EFFD0B1">
            <w:pPr>
              <w:pStyle w:val="83"/>
              <w:adjustRightInd w:val="0"/>
            </w:pPr>
            <w:r>
              <w:t>本项目用电由本地供电网络供给，年用电量约</w:t>
            </w:r>
            <w:r>
              <w:rPr>
                <w:rFonts w:hint="eastAsia"/>
                <w:lang w:val="en-US"/>
              </w:rPr>
              <w:t>60</w:t>
            </w:r>
            <w:r>
              <w:t>万kW·h。</w:t>
            </w:r>
          </w:p>
          <w:p w14:paraId="72A7BD0B">
            <w:pPr>
              <w:pStyle w:val="83"/>
              <w:ind w:left="0" w:leftChars="0"/>
            </w:pPr>
            <w:r>
              <w:t>（2）供暖工程</w:t>
            </w:r>
          </w:p>
          <w:p w14:paraId="7C5220AA">
            <w:pPr>
              <w:pStyle w:val="83"/>
            </w:pPr>
            <w:r>
              <w:t>本项目办公区域冬季取暖、夏季制冷均采用电器设备。</w:t>
            </w:r>
          </w:p>
          <w:p w14:paraId="27A49C43">
            <w:pPr>
              <w:pStyle w:val="83"/>
            </w:pPr>
            <w:r>
              <w:t>（</w:t>
            </w:r>
            <w:r>
              <w:rPr>
                <w:rFonts w:hint="eastAsia"/>
                <w:lang w:val="en-US"/>
              </w:rPr>
              <w:t>3</w:t>
            </w:r>
            <w:r>
              <w:t>）给水工程</w:t>
            </w:r>
          </w:p>
          <w:p w14:paraId="728A1D46">
            <w:pPr>
              <w:pStyle w:val="83"/>
              <w:ind w:left="0" w:leftChars="0"/>
              <w:rPr>
                <w:lang w:val="en-US"/>
              </w:rPr>
            </w:pPr>
            <w:r>
              <w:t>本项目用水主要包括生产用水和生活用水，用水量合计约为</w:t>
            </w:r>
            <w:r>
              <w:rPr>
                <w:rFonts w:hint="eastAsia"/>
                <w:lang w:val="en-US"/>
              </w:rPr>
              <w:t>1240</w:t>
            </w:r>
            <w:r>
              <w:rPr>
                <w:lang w:val="en-US"/>
              </w:rPr>
              <w:t>t/a，由当地自来水管网供给，能够满足生产和生活需求。</w:t>
            </w:r>
          </w:p>
          <w:p w14:paraId="3C8EDD26">
            <w:pPr>
              <w:pStyle w:val="83"/>
              <w:ind w:left="0" w:leftChars="0"/>
              <w:rPr>
                <w:rFonts w:hint="default" w:ascii="Times New Roman" w:hAnsi="Times New Roman" w:eastAsia="新宋体" w:cs="Times New Roman"/>
              </w:rPr>
            </w:pPr>
            <w:r>
              <w:rPr>
                <w:rFonts w:hint="default" w:ascii="Times New Roman" w:hAnsi="Times New Roman" w:cs="Times New Roman"/>
              </w:rPr>
              <w:t>①鱼竿补充用水：</w:t>
            </w:r>
            <w:r>
              <w:rPr>
                <w:rFonts w:hint="default" w:ascii="Times New Roman" w:hAnsi="Times New Roman" w:cs="Times New Roman"/>
                <w:lang w:val="en-US"/>
              </w:rPr>
              <w:t>项目鱼竿</w:t>
            </w:r>
            <w:r>
              <w:rPr>
                <w:rFonts w:hint="default" w:ascii="Times New Roman" w:hAnsi="Times New Roman" w:eastAsia="新宋体" w:cs="Times New Roman"/>
              </w:rPr>
              <w:t>生产用水包括水喷淋装置</w:t>
            </w:r>
            <w:r>
              <w:rPr>
                <w:rFonts w:hint="default" w:ascii="Times New Roman" w:hAnsi="Times New Roman" w:cs="Times New Roman"/>
              </w:rPr>
              <w:t>循环补充用水和磨杆工序补充用水，其中</w:t>
            </w:r>
            <w:r>
              <w:rPr>
                <w:rFonts w:hint="default" w:ascii="Times New Roman" w:hAnsi="Times New Roman" w:eastAsia="新宋体" w:cs="Times New Roman"/>
              </w:rPr>
              <w:t>水喷淋装置</w:t>
            </w:r>
            <w:r>
              <w:rPr>
                <w:rFonts w:hint="default" w:ascii="Times New Roman" w:hAnsi="Times New Roman" w:cs="Times New Roman"/>
              </w:rPr>
              <w:t>循环补充用水约为</w:t>
            </w:r>
            <w:r>
              <w:rPr>
                <w:rFonts w:hint="default" w:ascii="Times New Roman" w:hAnsi="Times New Roman" w:cs="Times New Roman"/>
                <w:lang w:val="en-US"/>
              </w:rPr>
              <w:t>20</w:t>
            </w:r>
            <w:r>
              <w:rPr>
                <w:rFonts w:hint="default" w:ascii="Times New Roman" w:hAnsi="Times New Roman" w:cs="Times New Roman"/>
              </w:rPr>
              <w:t>t/a，磨竿工序补充用水约</w:t>
            </w:r>
            <w:r>
              <w:rPr>
                <w:rFonts w:hint="default" w:ascii="Times New Roman" w:hAnsi="Times New Roman" w:cs="Times New Roman"/>
                <w:lang w:val="en-US"/>
              </w:rPr>
              <w:t>20t/a</w:t>
            </w:r>
            <w:r>
              <w:rPr>
                <w:rFonts w:hint="default" w:ascii="Times New Roman" w:hAnsi="Times New Roman" w:eastAsia="新宋体" w:cs="Times New Roman"/>
              </w:rPr>
              <w:t>。</w:t>
            </w:r>
          </w:p>
          <w:p w14:paraId="6D489E47">
            <w:pPr>
              <w:pStyle w:val="83"/>
              <w:ind w:firstLine="360" w:firstLineChars="150"/>
              <w:rPr>
                <w:rFonts w:hint="default" w:ascii="Times New Roman" w:hAnsi="Times New Roman" w:cs="Times New Roman"/>
              </w:rPr>
            </w:pPr>
            <w:r>
              <w:rPr>
                <w:rFonts w:hint="default" w:ascii="Times New Roman" w:hAnsi="Times New Roman" w:cs="Times New Roman"/>
              </w:rPr>
              <w:t>②生活用水：</w:t>
            </w:r>
            <w:r>
              <w:rPr>
                <w:rFonts w:hint="default" w:ascii="Times New Roman" w:hAnsi="Times New Roman" w:eastAsia="新宋体" w:cs="Times New Roman"/>
              </w:rPr>
              <w:t>项目劳动定员</w:t>
            </w:r>
            <w:r>
              <w:rPr>
                <w:rFonts w:hint="default" w:ascii="Times New Roman" w:hAnsi="Times New Roman" w:eastAsia="新宋体" w:cs="Times New Roman"/>
                <w:lang w:val="en-US"/>
              </w:rPr>
              <w:t>50</w:t>
            </w:r>
            <w:r>
              <w:rPr>
                <w:rFonts w:hint="default" w:ascii="Times New Roman" w:hAnsi="Times New Roman" w:eastAsia="新宋体" w:cs="Times New Roman"/>
              </w:rPr>
              <w:t>人，年工作</w:t>
            </w:r>
            <w:r>
              <w:rPr>
                <w:rFonts w:hint="default" w:ascii="Times New Roman" w:hAnsi="Times New Roman" w:eastAsia="新宋体" w:cs="Times New Roman"/>
                <w:lang w:val="en-US"/>
              </w:rPr>
              <w:t>300</w:t>
            </w:r>
            <w:r>
              <w:rPr>
                <w:rFonts w:hint="default" w:ascii="Times New Roman" w:hAnsi="Times New Roman" w:eastAsia="新宋体" w:cs="Times New Roman"/>
              </w:rPr>
              <w:t>天，生活用水主要为职工如厕、卫生清扫等，</w:t>
            </w:r>
            <w:r>
              <w:rPr>
                <w:rFonts w:hint="default" w:ascii="Times New Roman" w:hAnsi="Times New Roman" w:cs="Times New Roman"/>
              </w:rPr>
              <w:t>用水量按</w:t>
            </w:r>
            <w:r>
              <w:rPr>
                <w:rFonts w:hint="default" w:ascii="Times New Roman" w:hAnsi="Times New Roman" w:cs="Times New Roman"/>
                <w:lang w:val="en-US"/>
              </w:rPr>
              <w:t>80</w:t>
            </w:r>
            <w:r>
              <w:rPr>
                <w:rFonts w:hint="default" w:ascii="Times New Roman" w:hAnsi="Times New Roman" w:cs="Times New Roman"/>
              </w:rPr>
              <w:t>L/（d·人）计，则生活用水量约为</w:t>
            </w:r>
            <w:r>
              <w:rPr>
                <w:rFonts w:hint="default" w:ascii="Times New Roman" w:hAnsi="Times New Roman" w:cs="Times New Roman"/>
                <w:lang w:val="en-US"/>
              </w:rPr>
              <w:t>1200</w:t>
            </w:r>
            <w:r>
              <w:rPr>
                <w:rFonts w:hint="default" w:ascii="Times New Roman" w:hAnsi="Times New Roman" w:cs="Times New Roman"/>
              </w:rPr>
              <w:t>t/a</w:t>
            </w:r>
            <w:r>
              <w:rPr>
                <w:rFonts w:hint="default" w:ascii="Times New Roman" w:hAnsi="Times New Roman" w:eastAsia="新宋体" w:cs="Times New Roman"/>
              </w:rPr>
              <w:t>。</w:t>
            </w:r>
          </w:p>
          <w:p w14:paraId="12C9FD27">
            <w:pPr>
              <w:adjustRightInd w:val="0"/>
              <w:snapToGrid w:val="0"/>
              <w:spacing w:line="360" w:lineRule="auto"/>
              <w:ind w:firstLine="480" w:firstLineChars="200"/>
              <w:rPr>
                <w:sz w:val="24"/>
              </w:rPr>
            </w:pPr>
            <w:r>
              <w:rPr>
                <w:sz w:val="24"/>
              </w:rPr>
              <w:t>（</w:t>
            </w:r>
            <w:r>
              <w:rPr>
                <w:rFonts w:hint="eastAsia"/>
                <w:sz w:val="24"/>
              </w:rPr>
              <w:t>4</w:t>
            </w:r>
            <w:r>
              <w:rPr>
                <w:sz w:val="24"/>
              </w:rPr>
              <w:t>）排水工程</w:t>
            </w:r>
          </w:p>
          <w:p w14:paraId="5CBEFD08">
            <w:pPr>
              <w:pStyle w:val="83"/>
              <w:ind w:left="0" w:leftChars="0" w:right="0" w:rightChars="0"/>
            </w:pPr>
            <w:r>
              <w:t>项目废水排放采用雨污分流、清污分流制。雨水排入附近</w:t>
            </w:r>
            <w:r>
              <w:rPr>
                <w:rFonts w:hint="eastAsia"/>
              </w:rPr>
              <w:t>雨水管网。</w:t>
            </w:r>
          </w:p>
          <w:p w14:paraId="3B02990E">
            <w:pPr>
              <w:pStyle w:val="41"/>
              <w:ind w:firstLine="480"/>
              <w:rPr>
                <w:rFonts w:ascii="Times New Roman" w:cs="Times New Roman"/>
                <w:color w:val="auto"/>
              </w:rPr>
            </w:pPr>
            <w:r>
              <w:rPr>
                <w:rFonts w:ascii="Times New Roman" w:cs="Times New Roman"/>
                <w:color w:val="auto"/>
              </w:rPr>
              <w:t>项目水平衡图如下：</w:t>
            </w:r>
          </w:p>
          <w:p w14:paraId="633DB546">
            <w:pPr>
              <w:adjustRightInd w:val="0"/>
              <w:snapToGrid w:val="0"/>
              <w:spacing w:line="360" w:lineRule="auto"/>
              <w:rPr>
                <w:b/>
                <w:sz w:val="24"/>
              </w:rPr>
            </w:pPr>
            <w:r>
              <w:rPr>
                <w:color w:val="auto"/>
                <w:sz w:val="24"/>
              </w:rPr>
              <mc:AlternateContent>
                <mc:Choice Requires="wpc">
                  <w:drawing>
                    <wp:inline distT="0" distB="0" distL="114300" distR="114300">
                      <wp:extent cx="5829300" cy="2012950"/>
                      <wp:effectExtent l="0" t="0" r="0" b="5715"/>
                      <wp:docPr id="12" name="画布 80"/>
                      <wp:cNvGraphicFramePr/>
                      <a:graphic xmlns:a="http://schemas.openxmlformats.org/drawingml/2006/main">
                        <a:graphicData uri="http://schemas.microsoft.com/office/word/2010/wordprocessingCanvas">
                          <wpc:wpc>
                            <wpc:bg>
                              <a:noFill/>
                            </wpc:bg>
                            <wpc:whole>
                              <a:ln>
                                <a:noFill/>
                              </a:ln>
                            </wpc:whole>
                            <wps:wsp>
                              <wps:cNvPr id="47" name="矩形 47"/>
                              <wps:cNvSpPr/>
                              <wps:spPr>
                                <a:xfrm>
                                  <a:off x="64770" y="528321"/>
                                  <a:ext cx="593725" cy="476251"/>
                                </a:xfrm>
                                <a:prstGeom prst="rect">
                                  <a:avLst/>
                                </a:prstGeom>
                                <a:solidFill>
                                  <a:srgbClr val="FFFFFF"/>
                                </a:solidFill>
                                <a:ln w="6350" cap="flat" cmpd="sng">
                                  <a:solidFill>
                                    <a:srgbClr val="000000"/>
                                  </a:solidFill>
                                  <a:prstDash val="dash"/>
                                  <a:miter/>
                                  <a:headEnd type="none" w="med" len="med"/>
                                  <a:tailEnd type="none" w="med" len="med"/>
                                </a:ln>
                                <a:effectLst/>
                              </wps:spPr>
                              <wps:txbx>
                                <w:txbxContent>
                                  <w:p w14:paraId="5D0EE359">
                                    <w:pPr>
                                      <w:jc w:val="center"/>
                                      <w:rPr>
                                        <w:rFonts w:hint="eastAsia"/>
                                        <w:szCs w:val="21"/>
                                      </w:rPr>
                                    </w:pPr>
                                    <w:r>
                                      <w:rPr>
                                        <w:rFonts w:hint="eastAsia"/>
                                        <w:szCs w:val="21"/>
                                      </w:rPr>
                                      <w:t>新鲜水</w:t>
                                    </w:r>
                                  </w:p>
                                  <w:p w14:paraId="69C52377">
                                    <w:pPr>
                                      <w:jc w:val="center"/>
                                      <w:rPr>
                                        <w:rFonts w:hint="default" w:eastAsia="宋体"/>
                                        <w:lang w:val="en-US" w:eastAsia="zh-CN"/>
                                      </w:rPr>
                                    </w:pPr>
                                    <w:r>
                                      <w:rPr>
                                        <w:rFonts w:hint="eastAsia"/>
                                        <w:szCs w:val="21"/>
                                        <w:lang w:val="en-US" w:eastAsia="zh-CN"/>
                                      </w:rPr>
                                      <w:t>1240</w:t>
                                    </w:r>
                                  </w:p>
                                </w:txbxContent>
                              </wps:txbx>
                              <wps:bodyPr vert="horz" wrap="square" anchor="t" upright="1"/>
                            </wps:wsp>
                            <wps:wsp>
                              <wps:cNvPr id="62" name="直接箭头连接符 62"/>
                              <wps:cNvCnPr/>
                              <wps:spPr>
                                <a:xfrm flipV="1">
                                  <a:off x="1457960" y="202566"/>
                                  <a:ext cx="317500" cy="12700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3" name="文本框 63"/>
                              <wps:cNvSpPr txBox="1"/>
                              <wps:spPr>
                                <a:xfrm>
                                  <a:off x="1437005" y="341632"/>
                                  <a:ext cx="762635" cy="280037"/>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061D0E96">
                                    <w:r>
                                      <w:rPr>
                                        <w:rFonts w:hint="eastAsia"/>
                                      </w:rPr>
                                      <w:t>生活用水</w:t>
                                    </w:r>
                                  </w:p>
                                </w:txbxContent>
                              </wps:txbx>
                              <wps:bodyPr vert="horz" wrap="square" anchor="t" upright="1"/>
                            </wps:wsp>
                            <wps:wsp>
                              <wps:cNvPr id="64" name="直接箭头连接符 64"/>
                              <wps:cNvCnPr/>
                              <wps:spPr>
                                <a:xfrm flipV="1">
                                  <a:off x="2246630" y="461012"/>
                                  <a:ext cx="775335" cy="4445"/>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5" name="矩形 65"/>
                              <wps:cNvSpPr/>
                              <wps:spPr>
                                <a:xfrm>
                                  <a:off x="3056255" y="323217"/>
                                  <a:ext cx="910590" cy="334012"/>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387CAFD5">
                                    <w:pPr>
                                      <w:jc w:val="center"/>
                                      <w:rPr>
                                        <w:rFonts w:hint="eastAsia"/>
                                      </w:rPr>
                                    </w:pPr>
                                    <w:r>
                                      <w:rPr>
                                        <w:rFonts w:hint="eastAsia"/>
                                        <w:lang w:val="en-US" w:eastAsia="zh-CN"/>
                                      </w:rPr>
                                      <w:t>沉淀</w:t>
                                    </w:r>
                                    <w:r>
                                      <w:rPr>
                                        <w:rFonts w:hint="eastAsia"/>
                                      </w:rPr>
                                      <w:t>池</w:t>
                                    </w:r>
                                  </w:p>
                                </w:txbxContent>
                              </wps:txbx>
                              <wps:bodyPr vert="horz" wrap="square" anchor="t" upright="1"/>
                            </wps:wsp>
                            <wps:wsp>
                              <wps:cNvPr id="66" name="文本框 66"/>
                              <wps:cNvSpPr txBox="1"/>
                              <wps:spPr>
                                <a:xfrm>
                                  <a:off x="1728470" y="0"/>
                                  <a:ext cx="812800" cy="276227"/>
                                </a:xfrm>
                                <a:prstGeom prst="rect">
                                  <a:avLst/>
                                </a:prstGeom>
                                <a:noFill/>
                                <a:ln w="9525">
                                  <a:noFill/>
                                </a:ln>
                                <a:effectLst/>
                              </wps:spPr>
                              <wps:txbx>
                                <w:txbxContent>
                                  <w:p w14:paraId="6470200D">
                                    <w:pPr>
                                      <w:rPr>
                                        <w:rFonts w:hint="default" w:eastAsia="宋体"/>
                                        <w:lang w:val="en-US" w:eastAsia="zh-CN"/>
                                      </w:rPr>
                                    </w:pPr>
                                    <w:r>
                                      <w:rPr>
                                        <w:rFonts w:hint="eastAsia"/>
                                      </w:rPr>
                                      <w:t>损耗</w:t>
                                    </w:r>
                                    <w:r>
                                      <w:rPr>
                                        <w:rFonts w:hint="eastAsia"/>
                                        <w:lang w:val="en-US" w:eastAsia="zh-CN"/>
                                      </w:rPr>
                                      <w:t>240</w:t>
                                    </w:r>
                                  </w:p>
                                </w:txbxContent>
                              </wps:txbx>
                              <wps:bodyPr vert="horz" wrap="square" anchor="t" upright="1"/>
                            </wps:wsp>
                            <wps:wsp>
                              <wps:cNvPr id="67" name="直接箭头连接符 67"/>
                              <wps:cNvCnPr/>
                              <wps:spPr>
                                <a:xfrm>
                                  <a:off x="1002665" y="489587"/>
                                  <a:ext cx="437515" cy="4445"/>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68" name="文本框 68"/>
                              <wps:cNvSpPr txBox="1"/>
                              <wps:spPr>
                                <a:xfrm>
                                  <a:off x="2364740" y="221616"/>
                                  <a:ext cx="469900" cy="266701"/>
                                </a:xfrm>
                                <a:prstGeom prst="rect">
                                  <a:avLst/>
                                </a:prstGeom>
                                <a:noFill/>
                                <a:ln w="9525">
                                  <a:noFill/>
                                </a:ln>
                                <a:effectLst/>
                              </wps:spPr>
                              <wps:txbx>
                                <w:txbxContent>
                                  <w:p w14:paraId="40C19178">
                                    <w:pPr>
                                      <w:rPr>
                                        <w:rFonts w:hint="default" w:eastAsia="宋体"/>
                                        <w:lang w:val="en-US" w:eastAsia="zh-CN"/>
                                      </w:rPr>
                                    </w:pPr>
                                    <w:r>
                                      <w:rPr>
                                        <w:rFonts w:hint="eastAsia"/>
                                        <w:lang w:val="en-US" w:eastAsia="zh-CN"/>
                                      </w:rPr>
                                      <w:t>960</w:t>
                                    </w:r>
                                  </w:p>
                                </w:txbxContent>
                              </wps:txbx>
                              <wps:bodyPr vert="horz" wrap="square" anchor="t" upright="1"/>
                            </wps:wsp>
                            <wps:wsp>
                              <wps:cNvPr id="69" name="直接箭头连接符 69"/>
                              <wps:cNvCnPr/>
                              <wps:spPr>
                                <a:xfrm flipV="1">
                                  <a:off x="4008755" y="503556"/>
                                  <a:ext cx="546100" cy="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70" name="矩形 70"/>
                              <wps:cNvSpPr/>
                              <wps:spPr>
                                <a:xfrm>
                                  <a:off x="4532630" y="160655"/>
                                  <a:ext cx="1071245" cy="66230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776A1596">
                                    <w:pPr>
                                      <w:jc w:val="center"/>
                                      <w:rPr>
                                        <w:rFonts w:hint="eastAsia"/>
                                        <w:sz w:val="21"/>
                                        <w:szCs w:val="21"/>
                                        <w:lang w:eastAsia="zh-CN"/>
                                      </w:rPr>
                                    </w:pPr>
                                    <w:r>
                                      <w:rPr>
                                        <w:rFonts w:hint="eastAsia" w:cs="Times New Roman"/>
                                        <w:color w:val="auto"/>
                                        <w:sz w:val="21"/>
                                        <w:szCs w:val="21"/>
                                        <w:lang w:eastAsia="zh-CN"/>
                                      </w:rPr>
                                      <w:t>罐车定期抽</w:t>
                                    </w:r>
                                    <w:r>
                                      <w:rPr>
                                        <w:rFonts w:hint="eastAsia" w:ascii="Times New Roman" w:hAnsi="Times New Roman" w:cs="Times New Roman"/>
                                        <w:color w:val="auto"/>
                                        <w:sz w:val="21"/>
                                        <w:szCs w:val="21"/>
                                        <w:lang w:eastAsia="zh-CN"/>
                                      </w:rPr>
                                      <w:t>送至</w:t>
                                    </w:r>
                                    <w:r>
                                      <w:rPr>
                                        <w:rFonts w:hint="eastAsia" w:cs="Times New Roman"/>
                                        <w:color w:val="auto"/>
                                        <w:sz w:val="21"/>
                                        <w:szCs w:val="21"/>
                                        <w:lang w:eastAsia="zh-CN"/>
                                      </w:rPr>
                                      <w:t>威海</w:t>
                                    </w:r>
                                    <w:r>
                                      <w:rPr>
                                        <w:rFonts w:hint="eastAsia" w:cs="Times New Roman"/>
                                        <w:color w:val="auto"/>
                                        <w:sz w:val="21"/>
                                        <w:szCs w:val="21"/>
                                        <w:lang w:val="en-US" w:eastAsia="zh-CN"/>
                                      </w:rPr>
                                      <w:t>经区</w:t>
                                    </w:r>
                                    <w:r>
                                      <w:rPr>
                                        <w:rFonts w:hint="eastAsia" w:cs="Times New Roman"/>
                                        <w:color w:val="auto"/>
                                        <w:sz w:val="21"/>
                                        <w:szCs w:val="21"/>
                                        <w:lang w:eastAsia="zh-CN"/>
                                      </w:rPr>
                                      <w:t>污水处理厂</w:t>
                                    </w:r>
                                  </w:p>
                                </w:txbxContent>
                              </wps:txbx>
                              <wps:bodyPr vert="horz" wrap="square" anchor="t" upright="1"/>
                            </wps:wsp>
                            <wps:wsp>
                              <wps:cNvPr id="71" name="文本框 71"/>
                              <wps:cNvSpPr txBox="1"/>
                              <wps:spPr>
                                <a:xfrm>
                                  <a:off x="4029710" y="276861"/>
                                  <a:ext cx="469900" cy="266701"/>
                                </a:xfrm>
                                <a:prstGeom prst="rect">
                                  <a:avLst/>
                                </a:prstGeom>
                                <a:noFill/>
                                <a:ln w="9525">
                                  <a:noFill/>
                                </a:ln>
                                <a:effectLst/>
                              </wps:spPr>
                              <wps:txbx>
                                <w:txbxContent>
                                  <w:p w14:paraId="7107DE94">
                                    <w:pPr>
                                      <w:rPr>
                                        <w:rFonts w:hint="default" w:eastAsia="宋体"/>
                                        <w:lang w:val="en-US" w:eastAsia="zh-CN"/>
                                      </w:rPr>
                                    </w:pPr>
                                    <w:r>
                                      <w:rPr>
                                        <w:rFonts w:hint="eastAsia"/>
                                        <w:lang w:val="en-US" w:eastAsia="zh-CN"/>
                                      </w:rPr>
                                      <w:t>960</w:t>
                                    </w:r>
                                  </w:p>
                                </w:txbxContent>
                              </wps:txbx>
                              <wps:bodyPr vert="horz" wrap="square" anchor="t" upright="1"/>
                            </wps:wsp>
                            <wps:wsp>
                              <wps:cNvPr id="2" name="直接箭头连接符 72"/>
                              <wps:cNvCnPr/>
                              <wps:spPr>
                                <a:xfrm flipH="1">
                                  <a:off x="983615" y="492125"/>
                                  <a:ext cx="7620" cy="1326515"/>
                                </a:xfrm>
                                <a:prstGeom prst="straightConnector1">
                                  <a:avLst/>
                                </a:prstGeom>
                                <a:ln w="9525" cap="flat" cmpd="sng">
                                  <a:solidFill>
                                    <a:srgbClr val="000000"/>
                                  </a:solidFill>
                                  <a:prstDash val="dash"/>
                                  <a:headEnd type="none" w="med" len="med"/>
                                  <a:tailEnd type="none" w="med" len="med"/>
                                </a:ln>
                              </wps:spPr>
                              <wps:bodyPr/>
                            </wps:wsp>
                            <wps:wsp>
                              <wps:cNvPr id="73" name="直接箭头连接符 73"/>
                              <wps:cNvCnPr/>
                              <wps:spPr>
                                <a:xfrm>
                                  <a:off x="1009015" y="1148084"/>
                                  <a:ext cx="480060" cy="0"/>
                                </a:xfrm>
                                <a:prstGeom prst="straightConnector1">
                                  <a:avLst/>
                                </a:prstGeom>
                                <a:ln w="9525" cap="flat" cmpd="sng">
                                  <a:solidFill>
                                    <a:srgbClr val="000000"/>
                                  </a:solidFill>
                                  <a:prstDash val="dash"/>
                                  <a:round/>
                                  <a:headEnd type="none" w="med" len="med"/>
                                  <a:tailEnd type="triangle" w="med" len="med"/>
                                </a:ln>
                                <a:effectLst/>
                              </wps:spPr>
                              <wps:bodyPr/>
                            </wps:wsp>
                            <wps:wsp>
                              <wps:cNvPr id="74" name="文本框 74"/>
                              <wps:cNvSpPr txBox="1"/>
                              <wps:spPr>
                                <a:xfrm>
                                  <a:off x="1475105" y="1027432"/>
                                  <a:ext cx="762635" cy="280036"/>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135DD8E2">
                                    <w:r>
                                      <w:rPr>
                                        <w:rFonts w:hint="eastAsia"/>
                                        <w:lang w:val="en-US" w:eastAsia="zh-CN"/>
                                      </w:rPr>
                                      <w:t>磨杆补充水</w:t>
                                    </w:r>
                                  </w:p>
                                </w:txbxContent>
                              </wps:txbx>
                              <wps:bodyPr vert="horz" wrap="square" anchor="t" upright="1"/>
                            </wps:wsp>
                            <wps:wsp>
                              <wps:cNvPr id="75" name="文本框 75"/>
                              <wps:cNvSpPr txBox="1"/>
                              <wps:spPr>
                                <a:xfrm>
                                  <a:off x="1029335" y="915037"/>
                                  <a:ext cx="469900" cy="266701"/>
                                </a:xfrm>
                                <a:prstGeom prst="rect">
                                  <a:avLst/>
                                </a:prstGeom>
                                <a:noFill/>
                                <a:ln w="9525">
                                  <a:noFill/>
                                </a:ln>
                                <a:effectLst/>
                              </wps:spPr>
                              <wps:txbx>
                                <w:txbxContent>
                                  <w:p w14:paraId="51B864B9">
                                    <w:pPr>
                                      <w:rPr>
                                        <w:rFonts w:hint="default" w:eastAsia="宋体"/>
                                        <w:lang w:val="en-US" w:eastAsia="zh-CN"/>
                                      </w:rPr>
                                    </w:pPr>
                                    <w:r>
                                      <w:rPr>
                                        <w:rFonts w:hint="eastAsia"/>
                                        <w:lang w:val="en-US" w:eastAsia="zh-CN"/>
                                      </w:rPr>
                                      <w:t>20</w:t>
                                    </w:r>
                                  </w:p>
                                </w:txbxContent>
                              </wps:txbx>
                              <wps:bodyPr vert="horz" wrap="square" anchor="t" upright="1"/>
                            </wps:wsp>
                            <wps:wsp>
                              <wps:cNvPr id="76" name="直接箭头连接符 76"/>
                              <wps:cNvCnPr/>
                              <wps:spPr>
                                <a:xfrm flipV="1">
                                  <a:off x="1467485" y="916942"/>
                                  <a:ext cx="317500" cy="12700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77" name="文本框 77"/>
                              <wps:cNvSpPr txBox="1"/>
                              <wps:spPr>
                                <a:xfrm>
                                  <a:off x="1680845" y="666752"/>
                                  <a:ext cx="812800" cy="276226"/>
                                </a:xfrm>
                                <a:prstGeom prst="rect">
                                  <a:avLst/>
                                </a:prstGeom>
                                <a:noFill/>
                                <a:ln w="9525">
                                  <a:noFill/>
                                </a:ln>
                                <a:effectLst/>
                              </wps:spPr>
                              <wps:txbx>
                                <w:txbxContent>
                                  <w:p w14:paraId="5C37F249">
                                    <w:pPr>
                                      <w:rPr>
                                        <w:rFonts w:hint="default" w:eastAsia="宋体"/>
                                        <w:lang w:val="en-US" w:eastAsia="zh-CN"/>
                                      </w:rPr>
                                    </w:pPr>
                                    <w:r>
                                      <w:rPr>
                                        <w:rFonts w:hint="eastAsia"/>
                                        <w:lang w:val="en-US" w:eastAsia="zh-CN"/>
                                      </w:rPr>
                                      <w:t>损耗20</w:t>
                                    </w:r>
                                  </w:p>
                                </w:txbxContent>
                              </wps:txbx>
                              <wps:bodyPr vert="horz" wrap="square" anchor="t" upright="1"/>
                            </wps:wsp>
                            <wps:wsp>
                              <wps:cNvPr id="78" name="直接箭头连接符 78"/>
                              <wps:cNvCnPr/>
                              <wps:spPr>
                                <a:xfrm flipV="1">
                                  <a:off x="669290" y="815342"/>
                                  <a:ext cx="356870" cy="635"/>
                                </a:xfrm>
                                <a:prstGeom prst="straightConnector1">
                                  <a:avLst/>
                                </a:prstGeom>
                                <a:ln w="9525" cap="flat" cmpd="sng">
                                  <a:solidFill>
                                    <a:srgbClr val="000000"/>
                                  </a:solidFill>
                                  <a:prstDash val="dash"/>
                                  <a:round/>
                                  <a:headEnd type="none" w="med" len="med"/>
                                  <a:tailEnd type="triangle" w="med" len="med"/>
                                </a:ln>
                                <a:effectLst/>
                              </wps:spPr>
                              <wps:bodyPr/>
                            </wps:wsp>
                            <wps:wsp>
                              <wps:cNvPr id="79" name="文本框 79"/>
                              <wps:cNvSpPr txBox="1"/>
                              <wps:spPr>
                                <a:xfrm>
                                  <a:off x="1002665" y="269241"/>
                                  <a:ext cx="469900" cy="266701"/>
                                </a:xfrm>
                                <a:prstGeom prst="rect">
                                  <a:avLst/>
                                </a:prstGeom>
                                <a:noFill/>
                                <a:ln w="9525">
                                  <a:noFill/>
                                </a:ln>
                                <a:effectLst/>
                              </wps:spPr>
                              <wps:txbx>
                                <w:txbxContent>
                                  <w:p w14:paraId="58538320">
                                    <w:pPr>
                                      <w:rPr>
                                        <w:rFonts w:hint="default" w:eastAsia="宋体"/>
                                        <w:lang w:val="en-US" w:eastAsia="zh-CN"/>
                                      </w:rPr>
                                    </w:pPr>
                                    <w:r>
                                      <w:rPr>
                                        <w:rFonts w:hint="eastAsia"/>
                                        <w:lang w:val="en-US" w:eastAsia="zh-CN"/>
                                      </w:rPr>
                                      <w:t>1200</w:t>
                                    </w:r>
                                  </w:p>
                                </w:txbxContent>
                              </wps:txbx>
                              <wps:bodyPr vert="horz" wrap="square" anchor="t" upright="1"/>
                            </wps:wsp>
                            <wps:wsp>
                              <wps:cNvPr id="3" name="直接箭头连接符 73"/>
                              <wps:cNvCnPr/>
                              <wps:spPr>
                                <a:xfrm>
                                  <a:off x="1009015" y="1767205"/>
                                  <a:ext cx="480060" cy="0"/>
                                </a:xfrm>
                                <a:prstGeom prst="straightConnector1">
                                  <a:avLst/>
                                </a:prstGeom>
                                <a:ln w="9525" cap="flat" cmpd="sng">
                                  <a:solidFill>
                                    <a:srgbClr val="000000"/>
                                  </a:solidFill>
                                  <a:prstDash val="dash"/>
                                  <a:round/>
                                  <a:headEnd type="none" w="med" len="med"/>
                                  <a:tailEnd type="triangle" w="med" len="med"/>
                                </a:ln>
                                <a:effectLst/>
                              </wps:spPr>
                              <wps:bodyPr/>
                            </wps:wsp>
                            <wps:wsp>
                              <wps:cNvPr id="4" name="文本框 74"/>
                              <wps:cNvSpPr txBox="1"/>
                              <wps:spPr>
                                <a:xfrm>
                                  <a:off x="1456055" y="1646555"/>
                                  <a:ext cx="762635" cy="26098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0004D485">
                                    <w:pPr>
                                      <w:jc w:val="center"/>
                                    </w:pPr>
                                    <w:r>
                                      <w:rPr>
                                        <w:rFonts w:hint="eastAsia"/>
                                        <w:lang w:eastAsia="zh-CN"/>
                                      </w:rPr>
                                      <w:t>水喷淋补充</w:t>
                                    </w:r>
                                    <w:r>
                                      <w:rPr>
                                        <w:rFonts w:hint="eastAsia"/>
                                      </w:rPr>
                                      <w:t>水</w:t>
                                    </w:r>
                                  </w:p>
                                </w:txbxContent>
                              </wps:txbx>
                              <wps:bodyPr vert="horz" wrap="square" anchor="t" upright="1"/>
                            </wps:wsp>
                            <wps:wsp>
                              <wps:cNvPr id="5" name="文本框 77"/>
                              <wps:cNvSpPr txBox="1"/>
                              <wps:spPr>
                                <a:xfrm>
                                  <a:off x="1823720" y="1362075"/>
                                  <a:ext cx="812800" cy="276225"/>
                                </a:xfrm>
                                <a:prstGeom prst="rect">
                                  <a:avLst/>
                                </a:prstGeom>
                                <a:noFill/>
                                <a:ln w="9525">
                                  <a:noFill/>
                                </a:ln>
                                <a:effectLst/>
                              </wps:spPr>
                              <wps:txbx>
                                <w:txbxContent>
                                  <w:p w14:paraId="0DC53DBD">
                                    <w:pPr>
                                      <w:rPr>
                                        <w:rFonts w:hint="default" w:eastAsia="宋体"/>
                                        <w:lang w:val="en-US" w:eastAsia="zh-CN"/>
                                      </w:rPr>
                                    </w:pPr>
                                    <w:r>
                                      <w:rPr>
                                        <w:rFonts w:hint="eastAsia"/>
                                      </w:rPr>
                                      <w:t>损耗</w:t>
                                    </w:r>
                                    <w:r>
                                      <w:rPr>
                                        <w:rFonts w:hint="eastAsia"/>
                                        <w:lang w:val="en-US" w:eastAsia="zh-CN"/>
                                      </w:rPr>
                                      <w:t>18</w:t>
                                    </w:r>
                                  </w:p>
                                </w:txbxContent>
                              </wps:txbx>
                              <wps:bodyPr vert="horz" wrap="square" anchor="t" upright="1"/>
                            </wps:wsp>
                            <wps:wsp>
                              <wps:cNvPr id="6" name="直接箭头连接符 76"/>
                              <wps:cNvCnPr/>
                              <wps:spPr>
                                <a:xfrm flipV="1">
                                  <a:off x="1524635" y="1497965"/>
                                  <a:ext cx="317500" cy="12700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s:wsp>
                              <wps:cNvPr id="8" name="文本框 75"/>
                              <wps:cNvSpPr txBox="1"/>
                              <wps:spPr>
                                <a:xfrm>
                                  <a:off x="991235" y="1543685"/>
                                  <a:ext cx="469900" cy="266700"/>
                                </a:xfrm>
                                <a:prstGeom prst="rect">
                                  <a:avLst/>
                                </a:prstGeom>
                                <a:noFill/>
                                <a:ln w="9525">
                                  <a:noFill/>
                                </a:ln>
                                <a:effectLst/>
                              </wps:spPr>
                              <wps:txbx>
                                <w:txbxContent>
                                  <w:p w14:paraId="6F8AA199">
                                    <w:pPr>
                                      <w:rPr>
                                        <w:rFonts w:hint="default" w:eastAsia="宋体"/>
                                        <w:lang w:val="en-US" w:eastAsia="zh-CN"/>
                                      </w:rPr>
                                    </w:pPr>
                                    <w:r>
                                      <w:rPr>
                                        <w:rFonts w:hint="eastAsia"/>
                                        <w:lang w:val="en-US" w:eastAsia="zh-CN"/>
                                      </w:rPr>
                                      <w:t>20</w:t>
                                    </w:r>
                                  </w:p>
                                </w:txbxContent>
                              </wps:txbx>
                              <wps:bodyPr vert="horz" wrap="square" anchor="t" upright="1"/>
                            </wps:wsp>
                            <wps:wsp>
                              <wps:cNvPr id="9" name="矩形 70"/>
                              <wps:cNvSpPr/>
                              <wps:spPr>
                                <a:xfrm>
                                  <a:off x="2827655" y="1332230"/>
                                  <a:ext cx="833120" cy="662305"/>
                                </a:xfrm>
                                <a:prstGeom prst="rect">
                                  <a:avLst/>
                                </a:prstGeom>
                                <a:solidFill>
                                  <a:srgbClr val="FFFFFF"/>
                                </a:solidFill>
                                <a:ln w="9525" cap="flat" cmpd="sng">
                                  <a:solidFill>
                                    <a:srgbClr val="000000"/>
                                  </a:solidFill>
                                  <a:prstDash val="dash"/>
                                  <a:miter/>
                                  <a:headEnd type="none" w="med" len="med"/>
                                  <a:tailEnd type="none" w="med" len="med"/>
                                </a:ln>
                                <a:effectLst/>
                              </wps:spPr>
                              <wps:txbx>
                                <w:txbxContent>
                                  <w:p w14:paraId="0C65F24D">
                                    <w:pPr>
                                      <w:jc w:val="center"/>
                                      <w:rPr>
                                        <w:rFonts w:hint="eastAsia"/>
                                        <w:sz w:val="21"/>
                                        <w:szCs w:val="21"/>
                                        <w:lang w:eastAsia="zh-CN"/>
                                      </w:rPr>
                                    </w:pPr>
                                    <w:r>
                                      <w:rPr>
                                        <w:rFonts w:hint="eastAsia" w:cs="Times New Roman"/>
                                        <w:color w:val="auto"/>
                                        <w:sz w:val="21"/>
                                        <w:szCs w:val="21"/>
                                        <w:lang w:eastAsia="zh-CN"/>
                                      </w:rPr>
                                      <w:t>委托有危废处置资质处置</w:t>
                                    </w:r>
                                  </w:p>
                                </w:txbxContent>
                              </wps:txbx>
                              <wps:bodyPr vert="horz" wrap="square" anchor="t" upright="1"/>
                            </wps:wsp>
                            <wps:wsp>
                              <wps:cNvPr id="10" name="文本框 71"/>
                              <wps:cNvSpPr txBox="1"/>
                              <wps:spPr>
                                <a:xfrm>
                                  <a:off x="2343785" y="1562735"/>
                                  <a:ext cx="469900" cy="266700"/>
                                </a:xfrm>
                                <a:prstGeom prst="rect">
                                  <a:avLst/>
                                </a:prstGeom>
                                <a:noFill/>
                                <a:ln w="9525">
                                  <a:noFill/>
                                </a:ln>
                                <a:effectLst/>
                              </wps:spPr>
                              <wps:txbx>
                                <w:txbxContent>
                                  <w:p w14:paraId="0C05AEA5">
                                    <w:pPr>
                                      <w:rPr>
                                        <w:rFonts w:hint="default" w:eastAsia="宋体"/>
                                        <w:lang w:val="en-US" w:eastAsia="zh-CN"/>
                                      </w:rPr>
                                    </w:pPr>
                                    <w:r>
                                      <w:rPr>
                                        <w:rFonts w:hint="eastAsia"/>
                                        <w:lang w:val="en-US" w:eastAsia="zh-CN"/>
                                      </w:rPr>
                                      <w:t>2</w:t>
                                    </w:r>
                                  </w:p>
                                </w:txbxContent>
                              </wps:txbx>
                              <wps:bodyPr vert="horz" wrap="square" anchor="t" upright="1"/>
                            </wps:wsp>
                            <wps:wsp>
                              <wps:cNvPr id="11" name="直接箭头连接符 69"/>
                              <wps:cNvCnPr/>
                              <wps:spPr>
                                <a:xfrm flipV="1">
                                  <a:off x="2237105" y="1779905"/>
                                  <a:ext cx="546100" cy="0"/>
                                </a:xfrm>
                                <a:prstGeom prst="straightConnector1">
                                  <a:avLst/>
                                </a:prstGeom>
                                <a:ln w="9525" cap="flat" cmpd="sng">
                                  <a:solidFill>
                                    <a:srgbClr val="000000"/>
                                  </a:solidFill>
                                  <a:prstDash val="dash"/>
                                  <a:headEnd type="none" w="med" len="med"/>
                                  <a:tailEnd type="triangle" w="med" len="med"/>
                                </a:ln>
                                <a:effectLst/>
                              </wps:spPr>
                              <wps:bodyPr vert="horz" wrap="square" anchor="t" upright="1"/>
                            </wps:wsp>
                          </wpc:wpc>
                        </a:graphicData>
                      </a:graphic>
                    </wp:inline>
                  </w:drawing>
                </mc:Choice>
                <mc:Fallback>
                  <w:pict>
                    <v:group id="画布 80" o:spid="_x0000_s1026" o:spt="203" style="height:158.5pt;width:459pt;" coordsize="5829300,2012950" editas="canvas" o:gfxdata="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">
                      <o:lock v:ext="edit" aspectratio="f"/>
                      <v:shape id="画布 80" o:spid="_x0000_s1026" style="position:absolute;left:0;top:0;height:2012950;width:5829300;" filled="f" stroked="f" coordsize="21600,21600" o:gfxdata="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">
                        <v:fill on="f" focussize="0,0"/>
                        <v:stroke on="f"/>
                        <v:imagedata o:title=""/>
                        <o:lock v:ext="edit" aspectratio="f"/>
                      </v:shape>
                      <v:rect id="_x0000_s1026" o:spid="_x0000_s1026" o:spt="1" style="position:absolute;left:64770;top:528321;height:476251;width:593725;" fillcolor="#FFFFFF" filled="t" stroked="t" coordsize="21600,21600" o:gfxdata="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4hw37NIAAAAFAQAADwAAAAAAAAABACAAAAAiAAAAZHJzL2Rvd25yZXYueG1sUEsBAhQAFAAAAAgA&#10;h07iQPYwlYgrAgAAZQQAAA4AAAAAAAAAAQAgAAAAIQEAAGRycy9lMm9Eb2MueG1sUEsFBgAAAAAG&#10;AAYAWQEAAL4FAAAAAA==&#10;">
                        <v:fill on="t" focussize="0,0"/>
                        <v:stroke weight="0.5pt" color="#000000" joinstyle="miter" dashstyle="dash"/>
                        <v:imagedata o:title=""/>
                        <o:lock v:ext="edit" aspectratio="f"/>
                        <v:textbox>
                          <w:txbxContent>
                            <w:p w14:paraId="5D0EE359">
                              <w:pPr>
                                <w:jc w:val="center"/>
                                <w:rPr>
                                  <w:rFonts w:hint="eastAsia"/>
                                  <w:szCs w:val="21"/>
                                </w:rPr>
                              </w:pPr>
                              <w:r>
                                <w:rPr>
                                  <w:rFonts w:hint="eastAsia"/>
                                  <w:szCs w:val="21"/>
                                </w:rPr>
                                <w:t>新鲜水</w:t>
                              </w:r>
                            </w:p>
                            <w:p w14:paraId="69C52377">
                              <w:pPr>
                                <w:jc w:val="center"/>
                                <w:rPr>
                                  <w:rFonts w:hint="default" w:eastAsia="宋体"/>
                                  <w:lang w:val="en-US" w:eastAsia="zh-CN"/>
                                </w:rPr>
                              </w:pPr>
                              <w:r>
                                <w:rPr>
                                  <w:rFonts w:hint="eastAsia"/>
                                  <w:szCs w:val="21"/>
                                  <w:lang w:val="en-US" w:eastAsia="zh-CN"/>
                                </w:rPr>
                                <w:t>1240</w:t>
                              </w:r>
                            </w:p>
                          </w:txbxContent>
                        </v:textbox>
                      </v:rect>
                      <v:shape id="_x0000_s1026" o:spid="_x0000_s1026" o:spt="32" type="#_x0000_t32" style="position:absolute;left:1457960;top:202566;flip:y;height:127000;width:317500;" filled="f" stroked="t" coordsize="21600,21600" o:gfxdata="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APj9VJ0QAAAAUBAAAPAAAAAAAAAAEAIAAAACIAAABkcnMvZG93&#10;bnJldi54bWxQSwECFAAUAAAACACHTuJAdTeaX0ACAABJBAAADgAAAAAAAAABACAAAAAgAQAAZHJz&#10;L2Uyb0RvYy54bWxQSwUGAAAAAAYABgBZAQAA0gUAAAAA&#10;">
                        <v:fill on="f" focussize="0,0"/>
                        <v:stroke color="#000000" joinstyle="round" dashstyle="dash" endarrow="block"/>
                        <v:imagedata o:title=""/>
                        <o:lock v:ext="edit" aspectratio="f"/>
                      </v:shape>
                      <v:shape id="_x0000_s1026" o:spid="_x0000_s1026" o:spt="202" type="#_x0000_t202" style="position:absolute;left:1437005;top:341632;height:280037;width:762635;" fillcolor="#FFFFFF" filled="t" stroked="t" coordsize="21600,21600" o:gfxdata="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gbdkh0wAAAAUBAAAPAAAAAAAAAAEAIAAAACIAAABkcnMvZG93bnJldi54bWxQ&#10;SwECFAAUAAAACACHTuJA89TTVzUCAAB0BAAADgAAAAAAAAABACAAAAAiAQAAZHJzL2Uyb0RvYy54&#10;bWxQSwUGAAAAAAYABgBZAQAAyQUAAAAA&#10;">
                        <v:fill on="t" focussize="0,0"/>
                        <v:stroke color="#000000" joinstyle="miter" dashstyle="dash"/>
                        <v:imagedata o:title=""/>
                        <o:lock v:ext="edit" aspectratio="f"/>
                        <v:textbox>
                          <w:txbxContent>
                            <w:p w14:paraId="061D0E96">
                              <w:r>
                                <w:rPr>
                                  <w:rFonts w:hint="eastAsia"/>
                                </w:rPr>
                                <w:t>生活用水</w:t>
                              </w:r>
                            </w:p>
                          </w:txbxContent>
                        </v:textbox>
                      </v:shape>
                      <v:shape id="_x0000_s1026" o:spid="_x0000_s1026" o:spt="32" type="#_x0000_t32" style="position:absolute;left:2246630;top:461012;flip:y;height:4445;width:775335;" filled="f" stroked="t" coordsize="21600,21600" o:gfxdata="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A+P1UnRAAAABQEAAA8AAAAAAAAAAQAgAAAAIgAAAGRycy9kb3du&#10;cmV2LnhtbFBLAQIUABQAAAAIAIdO4kD4aYjbPwIAAEcEAAAOAAAAAAAAAAEAIAAAACABAABkcnMv&#10;ZTJvRG9jLnhtbFBLBQYAAAAABgAGAFkBAADRBQAAAAA=&#10;">
                        <v:fill on="f" focussize="0,0"/>
                        <v:stroke color="#000000" joinstyle="round" dashstyle="dash" endarrow="block"/>
                        <v:imagedata o:title=""/>
                        <o:lock v:ext="edit" aspectratio="f"/>
                      </v:shape>
                      <v:rect id="_x0000_s1026" o:spid="_x0000_s1026" o:spt="1" style="position:absolute;left:3056255;top:323217;height:334012;width:910590;" fillcolor="#FFFFFF" filled="t" stroked="t" coordsize="21600,21600" o:gfxdata="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FAI01tUAAAAFAQAADwAAAAAAAAABACAAAAAiAAAAZHJzL2Rvd25yZXYueG1sUEsBAhQAFAAAAAgA&#10;h07iQONhWJAoAgAAZwQAAA4AAAAAAAAAAQAgAAAAJAEAAGRycy9lMm9Eb2MueG1sUEsFBgAAAAAG&#10;AAYAWQEAAL4FAAAAAA==&#10;">
                        <v:fill on="t" focussize="0,0"/>
                        <v:stroke color="#000000" joinstyle="miter" dashstyle="dash"/>
                        <v:imagedata o:title=""/>
                        <o:lock v:ext="edit" aspectratio="f"/>
                        <v:textbox>
                          <w:txbxContent>
                            <w:p w14:paraId="387CAFD5">
                              <w:pPr>
                                <w:jc w:val="center"/>
                                <w:rPr>
                                  <w:rFonts w:hint="eastAsia"/>
                                </w:rPr>
                              </w:pPr>
                              <w:r>
                                <w:rPr>
                                  <w:rFonts w:hint="eastAsia"/>
                                  <w:lang w:val="en-US" w:eastAsia="zh-CN"/>
                                </w:rPr>
                                <w:t>沉淀</w:t>
                              </w:r>
                              <w:r>
                                <w:rPr>
                                  <w:rFonts w:hint="eastAsia"/>
                                </w:rPr>
                                <w:t>池</w:t>
                              </w:r>
                            </w:p>
                          </w:txbxContent>
                        </v:textbox>
                      </v:rect>
                      <v:shape id="_x0000_s1026" o:spid="_x0000_s1026" o:spt="202" type="#_x0000_t202" style="position:absolute;left:1728470;top:0;height:276227;width:8128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PBSh30wAAAAUBAAAPAAAAAAAAAAEAIAAA&#10;ACIAAABkcnMvZG93bnJldi54bWxQSwECFAAUAAAACACHTuJAHTIQItgBAACRAwAADgAAAAAAAAAB&#10;ACAAAAAiAQAAZHJzL2Uyb0RvYy54bWxQSwUGAAAAAAYABgBZAQAAbAUAAAAA&#10;">
                        <v:fill on="f" focussize="0,0"/>
                        <v:stroke on="f"/>
                        <v:imagedata o:title=""/>
                        <o:lock v:ext="edit" aspectratio="f"/>
                        <v:textbox>
                          <w:txbxContent>
                            <w:p w14:paraId="6470200D">
                              <w:pPr>
                                <w:rPr>
                                  <w:rFonts w:hint="default" w:eastAsia="宋体"/>
                                  <w:lang w:val="en-US" w:eastAsia="zh-CN"/>
                                </w:rPr>
                              </w:pPr>
                              <w:r>
                                <w:rPr>
                                  <w:rFonts w:hint="eastAsia"/>
                                </w:rPr>
                                <w:t>损耗</w:t>
                              </w:r>
                              <w:r>
                                <w:rPr>
                                  <w:rFonts w:hint="eastAsia"/>
                                  <w:lang w:val="en-US" w:eastAsia="zh-CN"/>
                                </w:rPr>
                                <w:t>240</w:t>
                              </w:r>
                            </w:p>
                          </w:txbxContent>
                        </v:textbox>
                      </v:shape>
                      <v:shape id="_x0000_s1026" o:spid="_x0000_s1026" o:spt="32" type="#_x0000_t32" style="position:absolute;left:1002665;top:489587;height:4445;width:437515;" filled="f" stroked="t" coordsize="21600,21600" o:gfxdata="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ExmFK9IAAAAFAQAADwAAAAAAAAABACAAAAAiAAAAZHJzL2Rvd25yZXYueG1s&#10;UEsBAhQAFAAAAAgAh07iQH1BXmA3AgAAPQQAAA4AAAAAAAAAAQAgAAAAIQEAAGRycy9lMm9Eb2Mu&#10;eG1sUEsFBgAAAAAGAAYAWQEAAMoFAAAAAA==&#10;">
                        <v:fill on="f" focussize="0,0"/>
                        <v:stroke color="#000000" joinstyle="round" dashstyle="dash" endarrow="block"/>
                        <v:imagedata o:title=""/>
                        <o:lock v:ext="edit" aspectratio="f"/>
                      </v:shape>
                      <v:shape id="_x0000_s1026" o:spid="_x0000_s1026" o:spt="202" type="#_x0000_t202" style="position:absolute;left:2364740;top:221616;height:266701;width:4699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8FKHfTAAAABQEAAA8AAAAAAAAA&#10;AQAgAAAAIgAAAGRycy9kb3ducmV2LnhtbFBLAQIUABQAAAAIAIdO4kCLGkW93QEAAJYDAAAOAAAA&#10;AAAAAAEAIAAAACIBAABkcnMvZTJvRG9jLnhtbFBLBQYAAAAABgAGAFkBAABxBQAAAAA=&#10;">
                        <v:fill on="f" focussize="0,0"/>
                        <v:stroke on="f"/>
                        <v:imagedata o:title=""/>
                        <o:lock v:ext="edit" aspectratio="f"/>
                        <v:textbox>
                          <w:txbxContent>
                            <w:p w14:paraId="40C19178">
                              <w:pPr>
                                <w:rPr>
                                  <w:rFonts w:hint="default" w:eastAsia="宋体"/>
                                  <w:lang w:val="en-US" w:eastAsia="zh-CN"/>
                                </w:rPr>
                              </w:pPr>
                              <w:r>
                                <w:rPr>
                                  <w:rFonts w:hint="eastAsia"/>
                                  <w:lang w:val="en-US" w:eastAsia="zh-CN"/>
                                </w:rPr>
                                <w:t>960</w:t>
                              </w:r>
                            </w:p>
                          </w:txbxContent>
                        </v:textbox>
                      </v:shape>
                      <v:shape id="_x0000_s1026" o:spid="_x0000_s1026" o:spt="32" type="#_x0000_t32" style="position:absolute;left:4008755;top:503556;flip:y;height:0;width:546100;" filled="f" stroked="t" coordsize="21600,21600" o:gfxdata="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A+P1UnRAAAABQEAAA8AAAAAAAAAAQAgAAAAIgAAAGRycy9kb3du&#10;cmV2LnhtbFBLAQIUABQAAAAIAIdO4kA+GpaBPwIAAEQEAAAOAAAAAAAAAAEAIAAAACABAABkcnMv&#10;ZTJvRG9jLnhtbFBLBQYAAAAABgAGAFkBAADRBQAAAAA=&#10;">
                        <v:fill on="f" focussize="0,0"/>
                        <v:stroke color="#000000" joinstyle="round" dashstyle="dash" endarrow="block"/>
                        <v:imagedata o:title=""/>
                        <o:lock v:ext="edit" aspectratio="f"/>
                      </v:shape>
                      <v:rect id="_x0000_s1026" o:spid="_x0000_s1026" o:spt="1" style="position:absolute;left:4532630;top:160655;height:662305;width:1071245;" fillcolor="#FFFFFF" filled="t" stroked="t" coordsize="21600,21600" o:gfxdata="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FAI01tUAAAAFAQAADwAAAAAAAAABACAAAAAiAAAAZHJzL2Rvd25yZXYueG1sUEsBAhQA&#10;FAAAAAgAh07iQDQbJREuAgAAaAQAAA4AAAAAAAAAAQAgAAAAJAEAAGRycy9lMm9Eb2MueG1sUEsF&#10;BgAAAAAGAAYAWQEAAMQFAAAAAA==&#10;">
                        <v:fill on="t" focussize="0,0"/>
                        <v:stroke color="#000000" joinstyle="miter" dashstyle="dash"/>
                        <v:imagedata o:title=""/>
                        <o:lock v:ext="edit" aspectratio="f"/>
                        <v:textbox>
                          <w:txbxContent>
                            <w:p w14:paraId="776A1596">
                              <w:pPr>
                                <w:jc w:val="center"/>
                                <w:rPr>
                                  <w:rFonts w:hint="eastAsia"/>
                                  <w:sz w:val="21"/>
                                  <w:szCs w:val="21"/>
                                  <w:lang w:eastAsia="zh-CN"/>
                                </w:rPr>
                              </w:pPr>
                              <w:r>
                                <w:rPr>
                                  <w:rFonts w:hint="eastAsia" w:cs="Times New Roman"/>
                                  <w:color w:val="auto"/>
                                  <w:sz w:val="21"/>
                                  <w:szCs w:val="21"/>
                                  <w:lang w:eastAsia="zh-CN"/>
                                </w:rPr>
                                <w:t>罐车定期抽</w:t>
                              </w:r>
                              <w:r>
                                <w:rPr>
                                  <w:rFonts w:hint="eastAsia" w:ascii="Times New Roman" w:hAnsi="Times New Roman" w:cs="Times New Roman"/>
                                  <w:color w:val="auto"/>
                                  <w:sz w:val="21"/>
                                  <w:szCs w:val="21"/>
                                  <w:lang w:eastAsia="zh-CN"/>
                                </w:rPr>
                                <w:t>送至</w:t>
                              </w:r>
                              <w:r>
                                <w:rPr>
                                  <w:rFonts w:hint="eastAsia" w:cs="Times New Roman"/>
                                  <w:color w:val="auto"/>
                                  <w:sz w:val="21"/>
                                  <w:szCs w:val="21"/>
                                  <w:lang w:eastAsia="zh-CN"/>
                                </w:rPr>
                                <w:t>威海</w:t>
                              </w:r>
                              <w:r>
                                <w:rPr>
                                  <w:rFonts w:hint="eastAsia" w:cs="Times New Roman"/>
                                  <w:color w:val="auto"/>
                                  <w:sz w:val="21"/>
                                  <w:szCs w:val="21"/>
                                  <w:lang w:val="en-US" w:eastAsia="zh-CN"/>
                                </w:rPr>
                                <w:t>经区</w:t>
                              </w:r>
                              <w:r>
                                <w:rPr>
                                  <w:rFonts w:hint="eastAsia" w:cs="Times New Roman"/>
                                  <w:color w:val="auto"/>
                                  <w:sz w:val="21"/>
                                  <w:szCs w:val="21"/>
                                  <w:lang w:eastAsia="zh-CN"/>
                                </w:rPr>
                                <w:t>污水处理厂</w:t>
                              </w:r>
                            </w:p>
                          </w:txbxContent>
                        </v:textbox>
                      </v:rect>
                      <v:shape id="_x0000_s1026" o:spid="_x0000_s1026" o:spt="202" type="#_x0000_t202" style="position:absolute;left:4029710;top:276861;height:266701;width:4699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8FKHfTAAAABQEAAA8AAAAAAAAA&#10;AQAgAAAAIgAAAGRycy9kb3ducmV2LnhtbFBLAQIUABQAAAAIAIdO4kDESNIr3QEAAJYDAAAOAAAA&#10;AAAAAAEAIAAAACIBAABkcnMvZTJvRG9jLnhtbFBLBQYAAAAABgAGAFkBAABxBQAAAAA=&#10;">
                        <v:fill on="f" focussize="0,0"/>
                        <v:stroke on="f"/>
                        <v:imagedata o:title=""/>
                        <o:lock v:ext="edit" aspectratio="f"/>
                        <v:textbox>
                          <w:txbxContent>
                            <w:p w14:paraId="7107DE94">
                              <w:pPr>
                                <w:rPr>
                                  <w:rFonts w:hint="default" w:eastAsia="宋体"/>
                                  <w:lang w:val="en-US" w:eastAsia="zh-CN"/>
                                </w:rPr>
                              </w:pPr>
                              <w:r>
                                <w:rPr>
                                  <w:rFonts w:hint="eastAsia"/>
                                  <w:lang w:val="en-US" w:eastAsia="zh-CN"/>
                                </w:rPr>
                                <w:t>960</w:t>
                              </w:r>
                            </w:p>
                          </w:txbxContent>
                        </v:textbox>
                      </v:shape>
                      <v:shape id="直接箭头连接符 72" o:spid="_x0000_s1026" o:spt="32" type="#_x0000_t32" style="position:absolute;left:983615;top:492125;flip:x;height:1326515;width:7620;" filled="f" stroked="t" coordsize="21600,21600" o:gfxdata="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i7QKqNQAAAAFAQAADwAAAAAAAAAB&#10;ACAAAAAiAAAAZHJzL2Rvd25yZXYueG1sUEsBAhQAFAAAAAgAh07iQF6PpaIUAgAAAwQAAA4AAAAA&#10;AAAAAQAgAAAAIwEAAGRycy9lMm9Eb2MueG1sUEsFBgAAAAAGAAYAWQEAAKkFAAAAAA==&#10;">
                        <v:fill on="f" focussize="0,0"/>
                        <v:stroke color="#000000" joinstyle="round" dashstyle="dash"/>
                        <v:imagedata o:title=""/>
                        <o:lock v:ext="edit" aspectratio="f"/>
                      </v:shape>
                      <v:shape id="_x0000_s1026" o:spid="_x0000_s1026" o:spt="32" type="#_x0000_t32" style="position:absolute;left:1009015;top:1148084;height:0;width:480060;" filled="f" stroked="t" coordsize="21600,21600" o:gfxdata="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TGYUr0gAAAAUBAAAP&#10;AAAAAAAAAAEAIAAAACIAAABkcnMvZG93bnJldi54bWxQSwECFAAUAAAACACHTuJA06bwKB4CAAAU&#10;BAAADgAAAAAAAAABACAAAAAhAQAAZHJzL2Uyb0RvYy54bWxQSwUGAAAAAAYABgBZAQAAsQUAAAAA&#10;">
                        <v:fill on="f" focussize="0,0"/>
                        <v:stroke color="#000000" joinstyle="round" dashstyle="dash" endarrow="block"/>
                        <v:imagedata o:title=""/>
                        <o:lock v:ext="edit" aspectratio="f"/>
                      </v:shape>
                      <v:shape id="_x0000_s1026" o:spid="_x0000_s1026" o:spt="202" type="#_x0000_t202" style="position:absolute;left:1475105;top:1027432;height:280036;width:762635;" fillcolor="#FFFFFF" filled="t" stroked="t" coordsize="21600,21600" o:gfxdata="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gbdkh0wAAAAUBAAAPAAAAAAAAAAEAIAAAACIAAABkcnMvZG93bnJldi54bWxQ&#10;SwECFAAUAAAACACHTuJAv1wStTUCAAB1BAAADgAAAAAAAAABACAAAAAiAQAAZHJzL2Uyb0RvYy54&#10;bWxQSwUGAAAAAAYABgBZAQAAyQUAAAAA&#10;">
                        <v:fill on="t" focussize="0,0"/>
                        <v:stroke color="#000000" joinstyle="miter" dashstyle="dash"/>
                        <v:imagedata o:title=""/>
                        <o:lock v:ext="edit" aspectratio="f"/>
                        <v:textbox>
                          <w:txbxContent>
                            <w:p w14:paraId="135DD8E2">
                              <w:r>
                                <w:rPr>
                                  <w:rFonts w:hint="eastAsia"/>
                                  <w:lang w:val="en-US" w:eastAsia="zh-CN"/>
                                </w:rPr>
                                <w:t>磨杆补充水</w:t>
                              </w:r>
                            </w:p>
                          </w:txbxContent>
                        </v:textbox>
                      </v:shape>
                      <v:shape id="_x0000_s1026" o:spid="_x0000_s1026" o:spt="202" type="#_x0000_t202" style="position:absolute;left:1029335;top:915037;height:266701;width:4699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PBSh30wAAAAUBAAAPAAAAAAAA&#10;AAEAIAAAACIAAABkcnMvZG93bnJldi54bWxQSwECFAAUAAAACACHTuJAVPKmbt4BAACWAwAADgAA&#10;AAAAAAABACAAAAAiAQAAZHJzL2Uyb0RvYy54bWxQSwUGAAAAAAYABgBZAQAAcgUAAAAA&#10;">
                        <v:fill on="f" focussize="0,0"/>
                        <v:stroke on="f"/>
                        <v:imagedata o:title=""/>
                        <o:lock v:ext="edit" aspectratio="f"/>
                        <v:textbox>
                          <w:txbxContent>
                            <w:p w14:paraId="51B864B9">
                              <w:pPr>
                                <w:rPr>
                                  <w:rFonts w:hint="default" w:eastAsia="宋体"/>
                                  <w:lang w:val="en-US" w:eastAsia="zh-CN"/>
                                </w:rPr>
                              </w:pPr>
                              <w:r>
                                <w:rPr>
                                  <w:rFonts w:hint="eastAsia"/>
                                  <w:lang w:val="en-US" w:eastAsia="zh-CN"/>
                                </w:rPr>
                                <w:t>20</w:t>
                              </w:r>
                            </w:p>
                          </w:txbxContent>
                        </v:textbox>
                      </v:shape>
                      <v:shape id="_x0000_s1026" o:spid="_x0000_s1026" o:spt="32" type="#_x0000_t32" style="position:absolute;left:1467485;top:916942;flip:y;height:127000;width:317500;" filled="f" stroked="t" coordsize="21600,21600" o:gfxdata="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4/VSdEAAAAFAQAADwAAAAAAAAABACAAAAAiAAAAZHJzL2Rv&#10;d25yZXYueG1sUEsBAhQAFAAAAAgAh07iQHgMvlhBAgAASQQAAA4AAAAAAAAAAQAgAAAAIAEAAGRy&#10;cy9lMm9Eb2MueG1sUEsFBgAAAAAGAAYAWQEAANMFAAAAAA==&#10;">
                        <v:fill on="f" focussize="0,0"/>
                        <v:stroke color="#000000" joinstyle="round" dashstyle="dash" endarrow="block"/>
                        <v:imagedata o:title=""/>
                        <o:lock v:ext="edit" aspectratio="f"/>
                      </v:shape>
                      <v:shape id="_x0000_s1026" o:spid="_x0000_s1026" o:spt="202" type="#_x0000_t202" style="position:absolute;left:1680845;top:666752;height:276226;width:8128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PBSh30wAAAAUBAAAPAAAAAAAA&#10;AAEAIAAAACIAAABkcnMvZG93bnJldi54bWxQSwECFAAUAAAACACHTuJAZfUOtt4BAACWAwAADgAA&#10;AAAAAAABACAAAAAiAQAAZHJzL2Uyb0RvYy54bWxQSwUGAAAAAAYABgBZAQAAcgUAAAAA&#10;">
                        <v:fill on="f" focussize="0,0"/>
                        <v:stroke on="f"/>
                        <v:imagedata o:title=""/>
                        <o:lock v:ext="edit" aspectratio="f"/>
                        <v:textbox>
                          <w:txbxContent>
                            <w:p w14:paraId="5C37F249">
                              <w:pPr>
                                <w:rPr>
                                  <w:rFonts w:hint="default" w:eastAsia="宋体"/>
                                  <w:lang w:val="en-US" w:eastAsia="zh-CN"/>
                                </w:rPr>
                              </w:pPr>
                              <w:r>
                                <w:rPr>
                                  <w:rFonts w:hint="eastAsia"/>
                                  <w:lang w:val="en-US" w:eastAsia="zh-CN"/>
                                </w:rPr>
                                <w:t>损耗20</w:t>
                              </w:r>
                            </w:p>
                          </w:txbxContent>
                        </v:textbox>
                      </v:shape>
                      <v:shape id="_x0000_s1026" o:spid="_x0000_s1026" o:spt="32" type="#_x0000_t32" style="position:absolute;left:669290;top:815342;flip:y;height:635;width:356870;" filled="f" stroked="t" coordsize="21600,21600" o:gfxdata="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Pj9VJ0QAA&#10;AAUBAAAPAAAAAAAAAAEAIAAAACIAAABkcnMvZG93bnJldi54bWxQSwECFAAUAAAACACHTuJAJ+2b&#10;BiUCAAAeBAAADgAAAAAAAAABACAAAAAgAQAAZHJzL2Uyb0RvYy54bWxQSwUGAAAAAAYABgBZAQAA&#10;twUAAAAA&#10;">
                        <v:fill on="f" focussize="0,0"/>
                        <v:stroke color="#000000" joinstyle="round" dashstyle="dash" endarrow="block"/>
                        <v:imagedata o:title=""/>
                        <o:lock v:ext="edit" aspectratio="f"/>
                      </v:shape>
                      <v:shape id="_x0000_s1026" o:spid="_x0000_s1026" o:spt="202" type="#_x0000_t202" style="position:absolute;left:1002665;top:269241;height:266701;width:4699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8FKHfTAAAABQEAAA8AAAAAAAAA&#10;AQAgAAAAIgAAAGRycy9kb3ducmV2LnhtbFBLAQIUABQAAAAIAIdO4kDTB0jn3QEAAJYDAAAOAAAA&#10;AAAAAAEAIAAAACIBAABkcnMvZTJvRG9jLnhtbFBLBQYAAAAABgAGAFkBAABxBQAAAAA=&#10;">
                        <v:fill on="f" focussize="0,0"/>
                        <v:stroke on="f"/>
                        <v:imagedata o:title=""/>
                        <o:lock v:ext="edit" aspectratio="f"/>
                        <v:textbox>
                          <w:txbxContent>
                            <w:p w14:paraId="58538320">
                              <w:pPr>
                                <w:rPr>
                                  <w:rFonts w:hint="default" w:eastAsia="宋体"/>
                                  <w:lang w:val="en-US" w:eastAsia="zh-CN"/>
                                </w:rPr>
                              </w:pPr>
                              <w:r>
                                <w:rPr>
                                  <w:rFonts w:hint="eastAsia"/>
                                  <w:lang w:val="en-US" w:eastAsia="zh-CN"/>
                                </w:rPr>
                                <w:t>1200</w:t>
                              </w:r>
                            </w:p>
                          </w:txbxContent>
                        </v:textbox>
                      </v:shape>
                      <v:shape id="直接箭头连接符 73" o:spid="_x0000_s1026" o:spt="32" type="#_x0000_t32" style="position:absolute;left:1009015;top:1767205;height:0;width:480060;" filled="f" stroked="t" coordsize="21600,21600" o:gfxdata="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TGYUr0gAAAAUBAAAP&#10;AAAAAAAAAAEAIAAAACIAAABkcnMvZG93bnJldi54bWxQSwECFAAUAAAACACHTuJAwX19bh4CAAAT&#10;BAAADgAAAAAAAAABACAAAAAhAQAAZHJzL2Uyb0RvYy54bWxQSwUGAAAAAAYABgBZAQAAsQUAAAAA&#10;">
                        <v:fill on="f" focussize="0,0"/>
                        <v:stroke color="#000000" joinstyle="round" dashstyle="dash" endarrow="block"/>
                        <v:imagedata o:title=""/>
                        <o:lock v:ext="edit" aspectratio="f"/>
                      </v:shape>
                      <v:shape id="文本框 74" o:spid="_x0000_s1026" o:spt="202" type="#_x0000_t202" style="position:absolute;left:1456055;top:1646555;height:260985;width:762635;" fillcolor="#FFFFFF" filled="t" stroked="t" coordsize="21600,21600" o:gfxdata="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gbdkh0wAAAAUBAAAPAAAAAAAAAAEAIAAAACIAAABkcnMvZG93bnJldi54bWxQ&#10;SwECFAAUAAAACACHTuJARJWNYjUCAAB0BAAADgAAAAAAAAABACAAAAAiAQAAZHJzL2Uyb0RvYy54&#10;bWxQSwUGAAAAAAYABgBZAQAAyQUAAAAA&#10;">
                        <v:fill on="t" focussize="0,0"/>
                        <v:stroke color="#000000" joinstyle="miter" dashstyle="dash"/>
                        <v:imagedata o:title=""/>
                        <o:lock v:ext="edit" aspectratio="f"/>
                        <v:textbox>
                          <w:txbxContent>
                            <w:p w14:paraId="0004D485">
                              <w:pPr>
                                <w:jc w:val="center"/>
                              </w:pPr>
                              <w:r>
                                <w:rPr>
                                  <w:rFonts w:hint="eastAsia"/>
                                  <w:lang w:eastAsia="zh-CN"/>
                                </w:rPr>
                                <w:t>水喷淋补充</w:t>
                              </w:r>
                              <w:r>
                                <w:rPr>
                                  <w:rFonts w:hint="eastAsia"/>
                                </w:rPr>
                                <w:t>水</w:t>
                              </w:r>
                            </w:p>
                          </w:txbxContent>
                        </v:textbox>
                      </v:shape>
                      <v:shape id="文本框 77" o:spid="_x0000_s1026" o:spt="202" type="#_x0000_t202" style="position:absolute;left:1823720;top:1362075;height:276225;width:8128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wUod9MAAAAFAQAADwAAAAAAAAAB&#10;ACAAAAAiAAAAZHJzL2Rvd25yZXYueG1sUEsBAhQAFAAAAAgAh07iQNkFoHzcAQAAlgMAAA4AAAAA&#10;AAAAAQAgAAAAIgEAAGRycy9lMm9Eb2MueG1sUEsFBgAAAAAGAAYAWQEAAHAFAAAAAA==&#10;">
                        <v:fill on="f" focussize="0,0"/>
                        <v:stroke on="f"/>
                        <v:imagedata o:title=""/>
                        <o:lock v:ext="edit" aspectratio="f"/>
                        <v:textbox>
                          <w:txbxContent>
                            <w:p w14:paraId="0DC53DBD">
                              <w:pPr>
                                <w:rPr>
                                  <w:rFonts w:hint="default" w:eastAsia="宋体"/>
                                  <w:lang w:val="en-US" w:eastAsia="zh-CN"/>
                                </w:rPr>
                              </w:pPr>
                              <w:r>
                                <w:rPr>
                                  <w:rFonts w:hint="eastAsia"/>
                                </w:rPr>
                                <w:t>损耗</w:t>
                              </w:r>
                              <w:r>
                                <w:rPr>
                                  <w:rFonts w:hint="eastAsia"/>
                                  <w:lang w:val="en-US" w:eastAsia="zh-CN"/>
                                </w:rPr>
                                <w:t>18</w:t>
                              </w:r>
                            </w:p>
                          </w:txbxContent>
                        </v:textbox>
                      </v:shape>
                      <v:shape id="直接箭头连接符 76" o:spid="_x0000_s1026" o:spt="32" type="#_x0000_t32" style="position:absolute;left:1524635;top:1497965;flip:y;height:127000;width:317500;" filled="f" stroked="t" coordsize="21600,21600" o:gfxdata="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4/VSdEAAAAFAQAADwAAAAAAAAABACAAAAAiAAAAZHJzL2Rv&#10;d25yZXYueG1sUEsBAhQAFAAAAAgAh07iQF4QSdpBAgAASQQAAA4AAAAAAAAAAQAgAAAAIAEAAGRy&#10;cy9lMm9Eb2MueG1sUEsFBgAAAAAGAAYAWQEAANMFAAAAAA==&#10;">
                        <v:fill on="f" focussize="0,0"/>
                        <v:stroke color="#000000" joinstyle="round" dashstyle="dash" endarrow="block"/>
                        <v:imagedata o:title=""/>
                        <o:lock v:ext="edit" aspectratio="f"/>
                      </v:shape>
                      <v:shape id="文本框 75" o:spid="_x0000_s1026" o:spt="202" type="#_x0000_t202" style="position:absolute;left:991235;top:1543685;height:266700;width:4699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wUod9MAAAAFAQAADwAAAAAA&#10;AAABACAAAAAiAAAAZHJzL2Rvd25yZXYueG1sUEsBAhQAFAAAAAgAh07iQD05xLrfAQAAlQMAAA4A&#10;AAAAAAAAAQAgAAAAIgEAAGRycy9lMm9Eb2MueG1sUEsFBgAAAAAGAAYAWQEAAHMFAAAAAA==&#10;">
                        <v:fill on="f" focussize="0,0"/>
                        <v:stroke on="f"/>
                        <v:imagedata o:title=""/>
                        <o:lock v:ext="edit" aspectratio="f"/>
                        <v:textbox>
                          <w:txbxContent>
                            <w:p w14:paraId="6F8AA199">
                              <w:pPr>
                                <w:rPr>
                                  <w:rFonts w:hint="default" w:eastAsia="宋体"/>
                                  <w:lang w:val="en-US" w:eastAsia="zh-CN"/>
                                </w:rPr>
                              </w:pPr>
                              <w:r>
                                <w:rPr>
                                  <w:rFonts w:hint="eastAsia"/>
                                  <w:lang w:val="en-US" w:eastAsia="zh-CN"/>
                                </w:rPr>
                                <w:t>20</w:t>
                              </w:r>
                            </w:p>
                          </w:txbxContent>
                        </v:textbox>
                      </v:shape>
                      <v:rect id="矩形 70" o:spid="_x0000_s1026" o:spt="1" style="position:absolute;left:2827655;top:1332230;height:662305;width:833120;" fillcolor="#FFFFFF" filled="t" stroked="t" coordsize="21600,21600" o:gfxdata="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FAI01tUAAAAFAQAADwAAAAAAAAABACAAAAAiAAAAZHJzL2Rvd25yZXYueG1sUEsBAhQAFAAAAAgA&#10;h07iQEFGlVAoAgAAZwQAAA4AAAAAAAAAAQAgAAAAJAEAAGRycy9lMm9Eb2MueG1sUEsFBgAAAAAG&#10;AAYAWQEAAL4FAAAAAA==&#10;">
                        <v:fill on="t" focussize="0,0"/>
                        <v:stroke color="#000000" joinstyle="miter" dashstyle="dash"/>
                        <v:imagedata o:title=""/>
                        <o:lock v:ext="edit" aspectratio="f"/>
                        <v:textbox>
                          <w:txbxContent>
                            <w:p w14:paraId="0C65F24D">
                              <w:pPr>
                                <w:jc w:val="center"/>
                                <w:rPr>
                                  <w:rFonts w:hint="eastAsia"/>
                                  <w:sz w:val="21"/>
                                  <w:szCs w:val="21"/>
                                  <w:lang w:eastAsia="zh-CN"/>
                                </w:rPr>
                              </w:pPr>
                              <w:r>
                                <w:rPr>
                                  <w:rFonts w:hint="eastAsia" w:cs="Times New Roman"/>
                                  <w:color w:val="auto"/>
                                  <w:sz w:val="21"/>
                                  <w:szCs w:val="21"/>
                                  <w:lang w:eastAsia="zh-CN"/>
                                </w:rPr>
                                <w:t>委托有危废处置资质处置</w:t>
                              </w:r>
                            </w:p>
                          </w:txbxContent>
                        </v:textbox>
                      </v:rect>
                      <v:shape id="文本框 71" o:spid="_x0000_s1026" o:spt="202" type="#_x0000_t202" style="position:absolute;left:2343785;top:1562735;height:266700;width:469900;" filled="f" stroked="f" coordsize="21600,21600" o:gfxdata="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wUod9MAAAAFAQAADwAAAAAA&#10;AAABACAAAAAiAAAAZHJzL2Rvd25yZXYueG1sUEsBAhQAFAAAAAgAh07iQGvc/8vfAQAAlwMAAA4A&#10;AAAAAAAAAQAgAAAAIgEAAGRycy9lMm9Eb2MueG1sUEsFBgAAAAAGAAYAWQEAAHMFAAAAAA==&#10;">
                        <v:fill on="f" focussize="0,0"/>
                        <v:stroke on="f"/>
                        <v:imagedata o:title=""/>
                        <o:lock v:ext="edit" aspectratio="f"/>
                        <v:textbox>
                          <w:txbxContent>
                            <w:p w14:paraId="0C05AEA5">
                              <w:pPr>
                                <w:rPr>
                                  <w:rFonts w:hint="default" w:eastAsia="宋体"/>
                                  <w:lang w:val="en-US" w:eastAsia="zh-CN"/>
                                </w:rPr>
                              </w:pPr>
                              <w:r>
                                <w:rPr>
                                  <w:rFonts w:hint="eastAsia"/>
                                  <w:lang w:val="en-US" w:eastAsia="zh-CN"/>
                                </w:rPr>
                                <w:t>2</w:t>
                              </w:r>
                            </w:p>
                          </w:txbxContent>
                        </v:textbox>
                      </v:shape>
                      <v:shape id="直接箭头连接符 69" o:spid="_x0000_s1026" o:spt="32" type="#_x0000_t32" style="position:absolute;left:2237105;top:1779905;flip:y;height:0;width:546100;" filled="f" stroked="t" coordsize="21600,21600" o:gfxdata="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D4/VSdEAAAAFAQAADwAAAAAAAAABACAAAAAiAAAAZHJzL2Rvd25y&#10;ZXYueG1sUEsBAhQAFAAAAAgAh07iQCMHkr4+AgAARQQAAA4AAAAAAAAAAQAgAAAAIAEAAGRycy9l&#10;Mm9Eb2MueG1sUEsFBgAAAAAGAAYAWQEAANAFAAAAAA==&#10;">
                        <v:fill on="f" focussize="0,0"/>
                        <v:stroke color="#000000" joinstyle="round" dashstyle="dash" endarrow="block"/>
                        <v:imagedata o:title=""/>
                        <o:lock v:ext="edit" aspectratio="f"/>
                      </v:shape>
                      <w10:wrap type="none"/>
                      <w10:anchorlock/>
                    </v:group>
                  </w:pict>
                </mc:Fallback>
              </mc:AlternateContent>
            </w:r>
          </w:p>
          <w:p w14:paraId="284D95B4">
            <w:pPr>
              <w:spacing w:line="360" w:lineRule="auto"/>
              <w:jc w:val="center"/>
              <w:rPr>
                <w:sz w:val="24"/>
              </w:rPr>
            </w:pPr>
            <w:r>
              <w:rPr>
                <w:b/>
                <w:sz w:val="24"/>
              </w:rPr>
              <w:t>图1-</w:t>
            </w:r>
            <w:r>
              <w:rPr>
                <w:rFonts w:hint="eastAsia"/>
                <w:b/>
                <w:sz w:val="24"/>
              </w:rPr>
              <w:t>1</w:t>
            </w:r>
            <w:r>
              <w:rPr>
                <w:b/>
                <w:sz w:val="24"/>
              </w:rPr>
              <w:t xml:space="preserve"> 项目水量平衡图（t/a）</w:t>
            </w:r>
          </w:p>
          <w:p w14:paraId="6D094F86">
            <w:pPr>
              <w:bidi w:val="0"/>
              <w:spacing w:line="360" w:lineRule="auto"/>
              <w:ind w:firstLine="480" w:firstLineChars="200"/>
              <w:jc w:val="left"/>
              <w:rPr>
                <w:rFonts w:hint="default" w:ascii="Times New Roman" w:hAnsi="Times New Roman" w:eastAsia="宋体" w:cs="Times New Roman"/>
                <w:color w:val="auto"/>
                <w:sz w:val="24"/>
                <w:szCs w:val="24"/>
                <w:lang w:val="en-US" w:eastAsia="zh-CN"/>
              </w:rPr>
            </w:pPr>
            <w:r>
              <w:rPr>
                <w:sz w:val="24"/>
                <w:szCs w:val="24"/>
              </w:rPr>
              <w:t>项目生产过程</w:t>
            </w:r>
            <w:r>
              <w:rPr>
                <w:rFonts w:eastAsia="新宋体"/>
                <w:sz w:val="24"/>
                <w:szCs w:val="24"/>
              </w:rPr>
              <w:t>水喷淋装置</w:t>
            </w:r>
            <w:r>
              <w:rPr>
                <w:sz w:val="24"/>
                <w:szCs w:val="24"/>
              </w:rPr>
              <w:t>废水经沉淀分离漆渣后循环使用，</w:t>
            </w:r>
            <w:r>
              <w:rPr>
                <w:rFonts w:hint="eastAsia"/>
                <w:sz w:val="24"/>
                <w:szCs w:val="24"/>
              </w:rPr>
              <w:t>定期补充</w:t>
            </w:r>
            <w:r>
              <w:rPr>
                <w:sz w:val="24"/>
                <w:szCs w:val="24"/>
              </w:rPr>
              <w:t>，</w:t>
            </w:r>
            <w:r>
              <w:rPr>
                <w:rFonts w:hint="eastAsia"/>
                <w:sz w:val="24"/>
                <w:szCs w:val="24"/>
              </w:rPr>
              <w:t>定期更换产生的少量废液委托有危废处置资质的单位处置，根据建设单位提供的资料，废液产生量约为</w:t>
            </w:r>
            <w:r>
              <w:rPr>
                <w:rFonts w:hint="eastAsia"/>
                <w:sz w:val="24"/>
                <w:szCs w:val="24"/>
                <w:lang w:val="en-US"/>
              </w:rPr>
              <w:t>2t/a</w:t>
            </w:r>
            <w:r>
              <w:rPr>
                <w:sz w:val="24"/>
                <w:szCs w:val="24"/>
              </w:rPr>
              <w:t>；磨杆工序废水经沉淀后循环使用，不外排，磨杆工序补充用水全部消耗</w:t>
            </w:r>
            <w:r>
              <w:rPr>
                <w:rFonts w:hint="eastAsia"/>
                <w:sz w:val="24"/>
                <w:szCs w:val="24"/>
                <w:lang w:val="en-US"/>
              </w:rPr>
              <w:t>；</w:t>
            </w:r>
            <w:r>
              <w:rPr>
                <w:sz w:val="24"/>
                <w:szCs w:val="24"/>
              </w:rPr>
              <w:t>项目</w:t>
            </w:r>
            <w:r>
              <w:rPr>
                <w:rFonts w:hint="eastAsia"/>
                <w:sz w:val="24"/>
                <w:szCs w:val="24"/>
              </w:rPr>
              <w:t>外排</w:t>
            </w:r>
            <w:r>
              <w:rPr>
                <w:sz w:val="24"/>
                <w:szCs w:val="24"/>
              </w:rPr>
              <w:t>废水主要为生活污水，生活用水量约为</w:t>
            </w:r>
            <w:r>
              <w:rPr>
                <w:rFonts w:hint="eastAsia"/>
                <w:sz w:val="24"/>
                <w:szCs w:val="24"/>
                <w:lang w:val="en-US"/>
              </w:rPr>
              <w:t>1200</w:t>
            </w:r>
            <w:r>
              <w:rPr>
                <w:sz w:val="24"/>
                <w:szCs w:val="24"/>
              </w:rPr>
              <w:t>t/a，排污系数按0.8计，则生活污水产生量约为</w:t>
            </w:r>
            <w:r>
              <w:rPr>
                <w:rFonts w:hint="eastAsia"/>
                <w:sz w:val="24"/>
                <w:szCs w:val="24"/>
                <w:lang w:val="en-US"/>
              </w:rPr>
              <w:t>960</w:t>
            </w:r>
            <w:r>
              <w:rPr>
                <w:sz w:val="24"/>
                <w:szCs w:val="24"/>
              </w:rPr>
              <w:t>t/a，主要污染物为</w:t>
            </w:r>
            <w:r>
              <w:rPr>
                <w:sz w:val="24"/>
                <w:szCs w:val="24"/>
                <w:lang w:val="en-US"/>
              </w:rPr>
              <w:t>COD</w:t>
            </w:r>
            <w:r>
              <w:rPr>
                <w:sz w:val="24"/>
                <w:szCs w:val="24"/>
                <w:vertAlign w:val="subscript"/>
                <w:lang w:val="en-US"/>
              </w:rPr>
              <w:t>cr</w:t>
            </w:r>
            <w:r>
              <w:rPr>
                <w:sz w:val="24"/>
                <w:szCs w:val="24"/>
                <w:lang w:val="en-US"/>
              </w:rPr>
              <w:t>、氨氮等</w:t>
            </w:r>
            <w:r>
              <w:rPr>
                <w:sz w:val="24"/>
                <w:szCs w:val="24"/>
              </w:rPr>
              <w:t>。</w:t>
            </w:r>
            <w:r>
              <w:rPr>
                <w:rFonts w:hint="default" w:ascii="Times New Roman" w:hAnsi="Times New Roman" w:cs="Times New Roman"/>
                <w:color w:val="auto"/>
                <w:sz w:val="24"/>
                <w:szCs w:val="24"/>
                <w:lang w:eastAsia="zh-CN"/>
              </w:rPr>
              <w:t>生活污水</w:t>
            </w:r>
            <w:r>
              <w:rPr>
                <w:rFonts w:hint="eastAsia" w:ascii="Times New Roman" w:hAnsi="Times New Roman" w:cs="Times New Roman"/>
                <w:color w:val="auto"/>
                <w:sz w:val="24"/>
                <w:szCs w:val="24"/>
                <w:lang w:eastAsia="zh-CN"/>
              </w:rPr>
              <w:t>经化粪池预处理后</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eastAsia="zh-CN"/>
              </w:rPr>
              <w:t>由</w:t>
            </w:r>
            <w:r>
              <w:rPr>
                <w:rFonts w:hint="eastAsia" w:cs="Times New Roman"/>
                <w:color w:val="auto"/>
                <w:sz w:val="24"/>
                <w:szCs w:val="24"/>
                <w:lang w:eastAsia="zh-CN"/>
              </w:rPr>
              <w:t>罐车定期抽</w:t>
            </w:r>
            <w:r>
              <w:rPr>
                <w:rFonts w:hint="eastAsia" w:ascii="Times New Roman" w:hAnsi="Times New Roman" w:cs="Times New Roman"/>
                <w:color w:val="auto"/>
                <w:sz w:val="24"/>
                <w:szCs w:val="24"/>
                <w:lang w:eastAsia="zh-CN"/>
              </w:rPr>
              <w:t>送至</w:t>
            </w:r>
            <w:r>
              <w:rPr>
                <w:rFonts w:hint="eastAsia" w:cs="Times New Roman"/>
                <w:color w:val="auto"/>
                <w:sz w:val="24"/>
                <w:szCs w:val="24"/>
                <w:lang w:eastAsia="zh-CN"/>
              </w:rPr>
              <w:t>威海经区污水处理厂</w:t>
            </w:r>
            <w:r>
              <w:rPr>
                <w:rFonts w:hint="default" w:ascii="Times New Roman" w:hAnsi="Times New Roman" w:cs="Times New Roman"/>
                <w:color w:val="auto"/>
                <w:sz w:val="24"/>
                <w:szCs w:val="24"/>
                <w:lang w:eastAsia="zh-CN"/>
              </w:rPr>
              <w:t>集中处理</w:t>
            </w:r>
            <w:r>
              <w:rPr>
                <w:rFonts w:hint="eastAsia" w:ascii="Times New Roman" w:hAnsi="Times New Roman" w:cs="Times New Roman"/>
                <w:color w:val="auto"/>
                <w:sz w:val="24"/>
                <w:szCs w:val="24"/>
                <w:lang w:eastAsia="zh-CN"/>
              </w:rPr>
              <w:t>，</w:t>
            </w:r>
            <w:r>
              <w:rPr>
                <w:rFonts w:hint="eastAsia" w:eastAsiaTheme="minorEastAsia"/>
                <w:sz w:val="24"/>
                <w:szCs w:val="24"/>
                <w:lang w:val="en-US" w:eastAsia="zh-CN"/>
              </w:rPr>
              <w:t>待项目</w:t>
            </w:r>
            <w:r>
              <w:rPr>
                <w:rFonts w:eastAsiaTheme="minorEastAsia"/>
                <w:sz w:val="24"/>
                <w:szCs w:val="24"/>
              </w:rPr>
              <w:t>区域污水管网铺设完善</w:t>
            </w:r>
            <w:r>
              <w:rPr>
                <w:rFonts w:hint="eastAsia" w:eastAsiaTheme="minorEastAsia"/>
                <w:sz w:val="24"/>
                <w:szCs w:val="24"/>
                <w:lang w:val="en-US" w:eastAsia="zh-CN"/>
              </w:rPr>
              <w:t>后项目应及时并入市政污水管网</w:t>
            </w:r>
            <w:r>
              <w:rPr>
                <w:rFonts w:hint="eastAsia" w:eastAsiaTheme="minorEastAsia"/>
                <w:sz w:val="24"/>
                <w:szCs w:val="24"/>
                <w:lang w:eastAsia="zh-CN"/>
              </w:rPr>
              <w:t>。</w:t>
            </w:r>
          </w:p>
          <w:p w14:paraId="2012C3EB">
            <w:pPr>
              <w:pStyle w:val="83"/>
              <w:ind w:left="0" w:leftChars="0" w:right="0" w:rightChars="0"/>
              <w:rPr>
                <w:lang w:val="en-US"/>
              </w:rPr>
            </w:pPr>
            <w:r>
              <w:rPr>
                <w:lang w:val="en-US"/>
              </w:rPr>
              <w:t>4、项目建设合理性分析</w:t>
            </w:r>
          </w:p>
          <w:p w14:paraId="6C8773AA">
            <w:pPr>
              <w:pStyle w:val="83"/>
              <w:ind w:left="0" w:leftChars="0" w:right="0" w:rightChars="0"/>
            </w:pPr>
            <w:r>
              <w:t>（</w:t>
            </w:r>
            <w:r>
              <w:rPr>
                <w:lang w:val="en-US"/>
              </w:rPr>
              <w:t>1</w:t>
            </w:r>
            <w:r>
              <w:t>）产业政策符合性</w:t>
            </w:r>
          </w:p>
          <w:p w14:paraId="5B0325C0">
            <w:pPr>
              <w:spacing w:line="360" w:lineRule="auto"/>
              <w:ind w:firstLine="482"/>
              <w:rPr>
                <w:sz w:val="24"/>
              </w:rPr>
            </w:pPr>
            <w:r>
              <w:rPr>
                <w:sz w:val="24"/>
              </w:rPr>
              <w:t>《产业结构调整指导目录（2019年本）》（中华人民共和国国家发展和改革委员会令第29号）分为鼓励类、限制类和淘汰类产业名录。本项目不属于这三种名录之列，且符合国家相关法律、法规及政策的规定，属于允许类建设项目。</w:t>
            </w:r>
          </w:p>
          <w:p w14:paraId="78A0F719">
            <w:pPr>
              <w:spacing w:line="360" w:lineRule="auto"/>
              <w:ind w:firstLine="480" w:firstLineChars="200"/>
              <w:jc w:val="left"/>
              <w:rPr>
                <w:sz w:val="24"/>
                <w:szCs w:val="24"/>
              </w:rPr>
            </w:pPr>
            <w:r>
              <w:rPr>
                <w:sz w:val="24"/>
                <w:szCs w:val="24"/>
              </w:rPr>
              <w:t>本项目所选设备也未列入工信部《部分工业行业淘汰落后生产工艺装备和产品指导目录（2010年本）》（工产业[2010]第122号），也未列入《产业结构调整指导目录（2019年本）》第三类“淘汰类”第一条“落后生产工艺装备”中所列淘汰设备。</w:t>
            </w:r>
          </w:p>
          <w:p w14:paraId="45756151">
            <w:pPr>
              <w:pStyle w:val="83"/>
              <w:ind w:left="0" w:leftChars="0" w:right="0" w:rightChars="0"/>
              <w:rPr>
                <w:bCs/>
                <w:lang w:val="en-US"/>
              </w:rPr>
            </w:pPr>
            <w:r>
              <w:rPr>
                <w:szCs w:val="24"/>
                <w:lang w:val="en-US"/>
              </w:rPr>
              <w:t>因此，本项目的建设符合国家产业政策</w:t>
            </w:r>
            <w:r>
              <w:rPr>
                <w:bCs/>
                <w:lang w:val="en-US"/>
              </w:rPr>
              <w:t>。</w:t>
            </w:r>
          </w:p>
          <w:p w14:paraId="082939CA">
            <w:pPr>
              <w:pStyle w:val="83"/>
              <w:ind w:left="0" w:leftChars="0" w:right="0" w:rightChars="0"/>
              <w:rPr>
                <w:bCs/>
                <w:lang w:val="en-US"/>
              </w:rPr>
            </w:pPr>
            <w:r>
              <w:rPr>
                <w:bCs/>
                <w:lang w:val="en-US"/>
              </w:rPr>
              <w:t>（2）选址合理性分析</w:t>
            </w:r>
          </w:p>
          <w:p w14:paraId="4F60ACBD">
            <w:pPr>
              <w:pStyle w:val="83"/>
              <w:ind w:left="0" w:leftChars="0" w:right="0" w:rightChars="0"/>
            </w:pPr>
            <w:r>
              <w:rPr>
                <w:bCs/>
                <w:lang w:val="en-US"/>
              </w:rPr>
              <w:t>本项目位于</w:t>
            </w:r>
            <w:r>
              <w:rPr>
                <w:rFonts w:hint="eastAsia"/>
              </w:rPr>
              <w:t>威海市环翠区温泉镇刘家台村南</w:t>
            </w:r>
            <w:r>
              <w:t>，</w:t>
            </w:r>
            <w:r>
              <w:rPr>
                <w:rFonts w:hint="eastAsia"/>
                <w:szCs w:val="24"/>
                <w:lang w:val="en-US"/>
              </w:rPr>
              <w:t>租赁威海市温泉镇刘家台村村委已建</w:t>
            </w:r>
            <w:r>
              <w:rPr>
                <w:szCs w:val="24"/>
                <w:lang w:val="en-US"/>
              </w:rPr>
              <w:t>厂房</w:t>
            </w:r>
            <w:r>
              <w:rPr>
                <w:szCs w:val="24"/>
              </w:rPr>
              <w:t>进行生产加工</w:t>
            </w:r>
            <w:r>
              <w:rPr>
                <w:rFonts w:hint="eastAsia"/>
                <w:szCs w:val="24"/>
              </w:rPr>
              <w:t>。根据关于协助查询威海市浩永渔具有限公司宗地土地有关情况的函的复函知该项目符合土地利用总体规划（详见附件）</w:t>
            </w:r>
            <w:r>
              <w:rPr>
                <w:rFonts w:hint="eastAsia"/>
                <w:lang w:val="en-US"/>
              </w:rPr>
              <w:t>。</w:t>
            </w:r>
            <w:r>
              <w:rPr>
                <w:lang w:val="en-US"/>
              </w:rPr>
              <w:t>根</w:t>
            </w:r>
            <w:r>
              <w:rPr>
                <w:szCs w:val="24"/>
              </w:rPr>
              <w:t>据国土资源部、国家发展和改革委员会关于发布实施《限制用地项目目录（2012年本》和《禁止用地项目目录（2012年本）》相关规定，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w:t>
            </w:r>
            <w:r>
              <w:t>在规划的用地范围之内。</w:t>
            </w:r>
          </w:p>
          <w:p w14:paraId="6BEBBA9F">
            <w:pPr>
              <w:pStyle w:val="83"/>
              <w:ind w:left="0" w:leftChars="0" w:right="0" w:rightChars="0"/>
              <w:rPr>
                <w:szCs w:val="24"/>
              </w:rPr>
            </w:pPr>
            <w:r>
              <w:rPr>
                <w:lang w:val="en-US"/>
              </w:rPr>
              <w:t>项目</w:t>
            </w:r>
            <w:r>
              <w:rPr>
                <w:rFonts w:hint="eastAsia"/>
                <w:szCs w:val="24"/>
              </w:rPr>
              <w:t>符合</w:t>
            </w:r>
            <w:r>
              <w:rPr>
                <w:szCs w:val="24"/>
              </w:rPr>
              <w:t>《威海市城市总体规划（20</w:t>
            </w:r>
            <w:r>
              <w:rPr>
                <w:rFonts w:hint="eastAsia"/>
                <w:szCs w:val="24"/>
                <w:lang w:val="en-US"/>
              </w:rPr>
              <w:t>11</w:t>
            </w:r>
            <w:r>
              <w:rPr>
                <w:szCs w:val="24"/>
              </w:rPr>
              <w:t>－2020）》</w:t>
            </w:r>
            <w:r>
              <w:rPr>
                <w:rFonts w:hint="eastAsia"/>
                <w:szCs w:val="24"/>
              </w:rPr>
              <w:t>（见附图三）要求</w:t>
            </w:r>
            <w:r>
              <w:rPr>
                <w:szCs w:val="24"/>
              </w:rPr>
              <w:t>，无自然保护区、风景名胜区、文物保护单位，亦无需特殊保护的野生动植物，环境承载能力较强，厂址所在地地质情况较好，无不良工程地质现象，建设条件良好。项目</w:t>
            </w:r>
            <w:r>
              <w:rPr>
                <w:lang w:val="en-US"/>
              </w:rPr>
              <w:t>所在地地理位置优越，交通便利，排水通畅，水、电、暖供应满足工程要求，选址合理。</w:t>
            </w:r>
          </w:p>
          <w:p w14:paraId="377E1553">
            <w:pPr>
              <w:pStyle w:val="83"/>
              <w:ind w:left="0" w:leftChars="0" w:right="0" w:rightChars="0"/>
              <w:rPr>
                <w:szCs w:val="24"/>
              </w:rPr>
            </w:pPr>
            <w:r>
              <w:rPr>
                <w:szCs w:val="24"/>
              </w:rPr>
              <w:t>（</w:t>
            </w:r>
            <w:r>
              <w:rPr>
                <w:szCs w:val="24"/>
                <w:lang w:val="en-US"/>
              </w:rPr>
              <w:t>3</w:t>
            </w:r>
            <w:r>
              <w:rPr>
                <w:szCs w:val="24"/>
              </w:rPr>
              <w:t>）项目与“三线一单”符合性分析</w:t>
            </w:r>
          </w:p>
          <w:p w14:paraId="60DC3D03">
            <w:pPr>
              <w:pStyle w:val="83"/>
              <w:ind w:left="0" w:leftChars="0" w:right="0" w:rightChars="0" w:firstLine="0" w:firstLineChars="0"/>
              <w:jc w:val="center"/>
              <w:rPr>
                <w:b/>
                <w:smallCaps/>
                <w:szCs w:val="24"/>
              </w:rPr>
            </w:pPr>
            <w:r>
              <w:rPr>
                <w:b/>
                <w:szCs w:val="24"/>
              </w:rPr>
              <w:t>表1-</w:t>
            </w:r>
            <w:r>
              <w:rPr>
                <w:b/>
                <w:szCs w:val="24"/>
                <w:lang w:val="en-US"/>
              </w:rPr>
              <w:t>5 项目与</w:t>
            </w:r>
            <w:r>
              <w:rPr>
                <w:b/>
                <w:smallCaps/>
                <w:szCs w:val="24"/>
              </w:rPr>
              <w:t>“三线一单”符合性分析</w:t>
            </w:r>
          </w:p>
          <w:tbl>
            <w:tblPr>
              <w:tblStyle w:val="27"/>
              <w:tblW w:w="907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19"/>
              <w:gridCol w:w="1116"/>
              <w:gridCol w:w="5832"/>
              <w:gridCol w:w="1504"/>
            </w:tblGrid>
            <w:tr w14:paraId="426BD1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5" w:hRule="atLeast"/>
                <w:tblHeader/>
                <w:jc w:val="center"/>
              </w:trPr>
              <w:tc>
                <w:tcPr>
                  <w:tcW w:w="619" w:type="dxa"/>
                  <w:vAlign w:val="center"/>
                </w:tcPr>
                <w:p w14:paraId="5C40A6EA">
                  <w:pPr>
                    <w:jc w:val="center"/>
                    <w:rPr>
                      <w:bCs/>
                      <w:szCs w:val="21"/>
                    </w:rPr>
                  </w:pPr>
                  <w:bookmarkStart w:id="0" w:name="_Hlk496773778"/>
                  <w:r>
                    <w:rPr>
                      <w:bCs/>
                      <w:szCs w:val="21"/>
                    </w:rPr>
                    <w:t>序号</w:t>
                  </w:r>
                </w:p>
              </w:tc>
              <w:tc>
                <w:tcPr>
                  <w:tcW w:w="1116" w:type="dxa"/>
                  <w:vAlign w:val="center"/>
                </w:tcPr>
                <w:p w14:paraId="63E269CF">
                  <w:pPr>
                    <w:jc w:val="center"/>
                    <w:rPr>
                      <w:bCs/>
                      <w:szCs w:val="21"/>
                    </w:rPr>
                  </w:pPr>
                  <w:r>
                    <w:rPr>
                      <w:bCs/>
                      <w:szCs w:val="21"/>
                    </w:rPr>
                    <w:t>判断类型</w:t>
                  </w:r>
                </w:p>
              </w:tc>
              <w:tc>
                <w:tcPr>
                  <w:tcW w:w="5832" w:type="dxa"/>
                  <w:vAlign w:val="center"/>
                </w:tcPr>
                <w:p w14:paraId="2E891625">
                  <w:pPr>
                    <w:jc w:val="center"/>
                    <w:rPr>
                      <w:bCs/>
                      <w:szCs w:val="21"/>
                    </w:rPr>
                  </w:pPr>
                  <w:r>
                    <w:rPr>
                      <w:bCs/>
                      <w:szCs w:val="21"/>
                    </w:rPr>
                    <w:t>对照简析</w:t>
                  </w:r>
                </w:p>
              </w:tc>
              <w:tc>
                <w:tcPr>
                  <w:tcW w:w="1504" w:type="dxa"/>
                  <w:vAlign w:val="center"/>
                </w:tcPr>
                <w:p w14:paraId="57C5E500">
                  <w:pPr>
                    <w:jc w:val="center"/>
                    <w:rPr>
                      <w:bCs/>
                      <w:szCs w:val="21"/>
                    </w:rPr>
                  </w:pPr>
                  <w:r>
                    <w:rPr>
                      <w:bCs/>
                      <w:szCs w:val="21"/>
                    </w:rPr>
                    <w:t>本项目建设是否满足要求</w:t>
                  </w:r>
                </w:p>
              </w:tc>
            </w:tr>
            <w:tr w14:paraId="1324A1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65" w:hRule="atLeast"/>
                <w:jc w:val="center"/>
              </w:trPr>
              <w:tc>
                <w:tcPr>
                  <w:tcW w:w="619" w:type="dxa"/>
                  <w:vAlign w:val="center"/>
                </w:tcPr>
                <w:p w14:paraId="56D9C197">
                  <w:pPr>
                    <w:jc w:val="center"/>
                    <w:rPr>
                      <w:bCs/>
                      <w:szCs w:val="21"/>
                    </w:rPr>
                  </w:pPr>
                  <w:r>
                    <w:rPr>
                      <w:bCs/>
                      <w:szCs w:val="21"/>
                    </w:rPr>
                    <w:t>1</w:t>
                  </w:r>
                </w:p>
              </w:tc>
              <w:tc>
                <w:tcPr>
                  <w:tcW w:w="1116" w:type="dxa"/>
                  <w:vAlign w:val="center"/>
                </w:tcPr>
                <w:p w14:paraId="0E1FA301">
                  <w:pPr>
                    <w:jc w:val="center"/>
                    <w:rPr>
                      <w:bCs/>
                      <w:szCs w:val="21"/>
                    </w:rPr>
                  </w:pPr>
                  <w:r>
                    <w:rPr>
                      <w:bCs/>
                      <w:szCs w:val="21"/>
                    </w:rPr>
                    <w:t>生态红线区域保护规划</w:t>
                  </w:r>
                </w:p>
              </w:tc>
              <w:tc>
                <w:tcPr>
                  <w:tcW w:w="5832" w:type="dxa"/>
                  <w:vAlign w:val="center"/>
                </w:tcPr>
                <w:p w14:paraId="46BDA690">
                  <w:pPr>
                    <w:ind w:right="-78" w:rightChars="-37"/>
                    <w:jc w:val="left"/>
                    <w:rPr>
                      <w:bCs/>
                      <w:szCs w:val="21"/>
                    </w:rPr>
                  </w:pPr>
                  <w:r>
                    <w:rPr>
                      <w:szCs w:val="21"/>
                    </w:rPr>
                    <w:t>威海市生态保护红线区分一级管控区、二级管控区两个级别。一级管控区是禁止开发区域，二级管控区为限制开发区域，本项目位于</w:t>
                  </w:r>
                  <w:r>
                    <w:rPr>
                      <w:rFonts w:hint="eastAsia"/>
                      <w:szCs w:val="21"/>
                    </w:rPr>
                    <w:t>威海市环翠区温泉镇刘家台村南</w:t>
                  </w:r>
                  <w:r>
                    <w:rPr>
                      <w:szCs w:val="21"/>
                    </w:rPr>
                    <w:t>，不在《威海市环境总体规划（2014-2030年）》划定的“生态保护红线管控区”范围之内。项目位置与威海市生态保护红线管控图见</w:t>
                  </w:r>
                  <w:r>
                    <w:rPr>
                      <w:rFonts w:hint="eastAsia"/>
                      <w:szCs w:val="21"/>
                    </w:rPr>
                    <w:t>附</w:t>
                  </w:r>
                  <w:r>
                    <w:rPr>
                      <w:szCs w:val="21"/>
                    </w:rPr>
                    <w:t>图</w:t>
                  </w:r>
                  <w:r>
                    <w:rPr>
                      <w:rFonts w:hint="eastAsia"/>
                      <w:szCs w:val="21"/>
                    </w:rPr>
                    <w:t>四</w:t>
                  </w:r>
                  <w:r>
                    <w:rPr>
                      <w:bCs/>
                      <w:szCs w:val="21"/>
                    </w:rPr>
                    <w:t>。</w:t>
                  </w:r>
                </w:p>
              </w:tc>
              <w:tc>
                <w:tcPr>
                  <w:tcW w:w="1504" w:type="dxa"/>
                  <w:vAlign w:val="center"/>
                </w:tcPr>
                <w:p w14:paraId="6DCDB308">
                  <w:pPr>
                    <w:jc w:val="center"/>
                    <w:rPr>
                      <w:bCs/>
                      <w:szCs w:val="21"/>
                    </w:rPr>
                  </w:pPr>
                  <w:r>
                    <w:rPr>
                      <w:bCs/>
                      <w:szCs w:val="21"/>
                    </w:rPr>
                    <w:t>是</w:t>
                  </w:r>
                </w:p>
              </w:tc>
            </w:tr>
            <w:tr w14:paraId="5D72352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04" w:hRule="atLeast"/>
                <w:jc w:val="center"/>
              </w:trPr>
              <w:tc>
                <w:tcPr>
                  <w:tcW w:w="619" w:type="dxa"/>
                  <w:vAlign w:val="center"/>
                </w:tcPr>
                <w:p w14:paraId="453B8F1C">
                  <w:pPr>
                    <w:jc w:val="center"/>
                    <w:rPr>
                      <w:bCs/>
                      <w:szCs w:val="21"/>
                    </w:rPr>
                  </w:pPr>
                  <w:r>
                    <w:rPr>
                      <w:bCs/>
                      <w:szCs w:val="21"/>
                    </w:rPr>
                    <w:t>2</w:t>
                  </w:r>
                </w:p>
              </w:tc>
              <w:tc>
                <w:tcPr>
                  <w:tcW w:w="1116" w:type="dxa"/>
                  <w:vAlign w:val="center"/>
                </w:tcPr>
                <w:p w14:paraId="34C920C6">
                  <w:pPr>
                    <w:jc w:val="center"/>
                    <w:rPr>
                      <w:bCs/>
                      <w:szCs w:val="21"/>
                    </w:rPr>
                  </w:pPr>
                  <w:r>
                    <w:rPr>
                      <w:bCs/>
                      <w:szCs w:val="21"/>
                    </w:rPr>
                    <w:t>环境质量底线</w:t>
                  </w:r>
                </w:p>
              </w:tc>
              <w:tc>
                <w:tcPr>
                  <w:tcW w:w="5832" w:type="dxa"/>
                  <w:vAlign w:val="center"/>
                </w:tcPr>
                <w:p w14:paraId="5D641BC1">
                  <w:pPr>
                    <w:jc w:val="left"/>
                    <w:rPr>
                      <w:bCs/>
                      <w:szCs w:val="21"/>
                    </w:rPr>
                  </w:pPr>
                  <w:r>
                    <w:rPr>
                      <w:szCs w:val="21"/>
                    </w:rPr>
                    <w:t>根据《威海市环境质量报告书（二0一八年度）》，项目所在地的大气、水、声环境质量良好。本项目废水、废气、固废均得到合理处置，噪声对周边影响较小，不会突破项目所在地的环境质量底线。因此采取本环评提出的相关防治措施后，本项目排放的污染物不会对区域环境质量底线造成冲击</w:t>
                  </w:r>
                  <w:r>
                    <w:rPr>
                      <w:kern w:val="0"/>
                      <w:szCs w:val="21"/>
                    </w:rPr>
                    <w:t>。</w:t>
                  </w:r>
                </w:p>
              </w:tc>
              <w:tc>
                <w:tcPr>
                  <w:tcW w:w="1504" w:type="dxa"/>
                  <w:vAlign w:val="center"/>
                </w:tcPr>
                <w:p w14:paraId="040E5B71">
                  <w:pPr>
                    <w:jc w:val="center"/>
                    <w:rPr>
                      <w:bCs/>
                      <w:szCs w:val="21"/>
                    </w:rPr>
                  </w:pPr>
                  <w:r>
                    <w:rPr>
                      <w:bCs/>
                      <w:szCs w:val="21"/>
                    </w:rPr>
                    <w:t>是</w:t>
                  </w:r>
                </w:p>
              </w:tc>
            </w:tr>
            <w:tr w14:paraId="4D747C9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3" w:hRule="atLeast"/>
                <w:jc w:val="center"/>
              </w:trPr>
              <w:tc>
                <w:tcPr>
                  <w:tcW w:w="619" w:type="dxa"/>
                  <w:vAlign w:val="center"/>
                </w:tcPr>
                <w:p w14:paraId="0BE6EBEB">
                  <w:pPr>
                    <w:jc w:val="center"/>
                    <w:rPr>
                      <w:bCs/>
                      <w:szCs w:val="21"/>
                    </w:rPr>
                  </w:pPr>
                  <w:r>
                    <w:rPr>
                      <w:bCs/>
                      <w:szCs w:val="21"/>
                    </w:rPr>
                    <w:t>3</w:t>
                  </w:r>
                </w:p>
              </w:tc>
              <w:tc>
                <w:tcPr>
                  <w:tcW w:w="1116" w:type="dxa"/>
                  <w:vAlign w:val="center"/>
                </w:tcPr>
                <w:p w14:paraId="6390C427">
                  <w:pPr>
                    <w:jc w:val="center"/>
                    <w:rPr>
                      <w:bCs/>
                      <w:szCs w:val="21"/>
                    </w:rPr>
                  </w:pPr>
                  <w:r>
                    <w:rPr>
                      <w:bCs/>
                      <w:szCs w:val="21"/>
                    </w:rPr>
                    <w:t>资源能源消耗</w:t>
                  </w:r>
                </w:p>
              </w:tc>
              <w:tc>
                <w:tcPr>
                  <w:tcW w:w="5832" w:type="dxa"/>
                  <w:vAlign w:val="center"/>
                </w:tcPr>
                <w:p w14:paraId="43907FB4">
                  <w:pPr>
                    <w:jc w:val="left"/>
                    <w:rPr>
                      <w:bCs/>
                      <w:szCs w:val="21"/>
                    </w:rPr>
                  </w:pPr>
                  <w:r>
                    <w:rPr>
                      <w:szCs w:val="21"/>
                    </w:rPr>
                    <w:t>本项目建设过程中所利用的资源主要为水、电，均为清洁能源，项目建成后用水量和用电量均较小；项目占地也符合当地规划的要求，均不会突破区域的资源利用上线</w:t>
                  </w:r>
                  <w:r>
                    <w:rPr>
                      <w:bCs/>
                      <w:szCs w:val="21"/>
                    </w:rPr>
                    <w:t>。</w:t>
                  </w:r>
                </w:p>
              </w:tc>
              <w:tc>
                <w:tcPr>
                  <w:tcW w:w="1504" w:type="dxa"/>
                  <w:vAlign w:val="center"/>
                </w:tcPr>
                <w:p w14:paraId="2153C504">
                  <w:pPr>
                    <w:jc w:val="center"/>
                    <w:rPr>
                      <w:bCs/>
                      <w:szCs w:val="21"/>
                    </w:rPr>
                  </w:pPr>
                  <w:r>
                    <w:rPr>
                      <w:bCs/>
                      <w:szCs w:val="21"/>
                    </w:rPr>
                    <w:t>是</w:t>
                  </w:r>
                </w:p>
              </w:tc>
            </w:tr>
            <w:tr w14:paraId="047F33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619" w:type="dxa"/>
                  <w:vAlign w:val="center"/>
                </w:tcPr>
                <w:p w14:paraId="6495DF13">
                  <w:pPr>
                    <w:jc w:val="center"/>
                    <w:rPr>
                      <w:bCs/>
                      <w:szCs w:val="21"/>
                    </w:rPr>
                  </w:pPr>
                  <w:r>
                    <w:rPr>
                      <w:bCs/>
                      <w:szCs w:val="21"/>
                    </w:rPr>
                    <w:t>4</w:t>
                  </w:r>
                </w:p>
              </w:tc>
              <w:tc>
                <w:tcPr>
                  <w:tcW w:w="1116" w:type="dxa"/>
                  <w:vAlign w:val="center"/>
                </w:tcPr>
                <w:p w14:paraId="3AD1CF75">
                  <w:pPr>
                    <w:jc w:val="center"/>
                    <w:rPr>
                      <w:bCs/>
                      <w:szCs w:val="21"/>
                    </w:rPr>
                  </w:pPr>
                  <w:r>
                    <w:rPr>
                      <w:rFonts w:hint="eastAsia"/>
                      <w:bCs/>
                      <w:szCs w:val="21"/>
                    </w:rPr>
                    <w:t>生态环境准入</w:t>
                  </w:r>
                  <w:r>
                    <w:rPr>
                      <w:bCs/>
                      <w:szCs w:val="21"/>
                    </w:rPr>
                    <w:t>清单</w:t>
                  </w:r>
                </w:p>
              </w:tc>
              <w:tc>
                <w:tcPr>
                  <w:tcW w:w="5832" w:type="dxa"/>
                  <w:vAlign w:val="center"/>
                </w:tcPr>
                <w:p w14:paraId="44B1E206">
                  <w:pPr>
                    <w:jc w:val="left"/>
                    <w:rPr>
                      <w:bCs/>
                      <w:szCs w:val="21"/>
                    </w:rPr>
                  </w:pPr>
                  <w:r>
                    <w:rPr>
                      <w:kern w:val="0"/>
                      <w:szCs w:val="21"/>
                    </w:rPr>
                    <w:t>目前威海市尚未发布</w:t>
                  </w:r>
                  <w:r>
                    <w:rPr>
                      <w:rFonts w:hint="eastAsia"/>
                      <w:kern w:val="0"/>
                      <w:szCs w:val="21"/>
                    </w:rPr>
                    <w:t>生态环境准入清单</w:t>
                  </w:r>
                  <w:r>
                    <w:rPr>
                      <w:bCs/>
                      <w:szCs w:val="21"/>
                    </w:rPr>
                    <w:t>。</w:t>
                  </w:r>
                </w:p>
              </w:tc>
              <w:tc>
                <w:tcPr>
                  <w:tcW w:w="1504" w:type="dxa"/>
                  <w:vAlign w:val="center"/>
                </w:tcPr>
                <w:p w14:paraId="7D5F086F">
                  <w:pPr>
                    <w:jc w:val="center"/>
                    <w:rPr>
                      <w:bCs/>
                      <w:szCs w:val="21"/>
                    </w:rPr>
                  </w:pPr>
                  <w:r>
                    <w:rPr>
                      <w:bCs/>
                      <w:szCs w:val="21"/>
                    </w:rPr>
                    <w:t>是</w:t>
                  </w:r>
                </w:p>
              </w:tc>
            </w:tr>
            <w:bookmarkEnd w:id="0"/>
          </w:tbl>
          <w:p w14:paraId="7CEA1D24">
            <w:pPr>
              <w:pStyle w:val="83"/>
              <w:spacing w:beforeLines="50"/>
            </w:pPr>
            <w:r>
              <w:rPr>
                <w:szCs w:val="24"/>
              </w:rPr>
              <w:t>由上述分析可知，本项目建设符合“三线一单”的要求</w:t>
            </w:r>
            <w:r>
              <w:t>。</w:t>
            </w:r>
          </w:p>
          <w:p w14:paraId="20A80BBA">
            <w:pPr>
              <w:numPr>
                <w:ilvl w:val="0"/>
                <w:numId w:val="5"/>
              </w:numPr>
              <w:spacing w:line="360" w:lineRule="auto"/>
              <w:ind w:firstLine="480" w:firstLineChars="200"/>
              <w:rPr>
                <w:bCs/>
                <w:kern w:val="0"/>
                <w:sz w:val="24"/>
              </w:rPr>
            </w:pPr>
            <w:r>
              <w:rPr>
                <w:bCs/>
                <w:kern w:val="0"/>
                <w:sz w:val="24"/>
              </w:rPr>
              <w:t>项目与《重点行业挥发性有机物综合治理方案》（环大气[2019]53号）符合性分析</w:t>
            </w:r>
          </w:p>
          <w:p w14:paraId="5E98A51D">
            <w:pPr>
              <w:spacing w:line="360" w:lineRule="auto"/>
              <w:ind w:right="-153" w:rightChars="-73"/>
              <w:jc w:val="center"/>
              <w:rPr>
                <w:b/>
                <w:sz w:val="24"/>
                <w:szCs w:val="24"/>
              </w:rPr>
            </w:pPr>
            <w:r>
              <w:rPr>
                <w:b/>
                <w:sz w:val="24"/>
                <w:szCs w:val="24"/>
              </w:rPr>
              <w:t>表1-6 本项目与</w:t>
            </w:r>
            <w:r>
              <w:rPr>
                <w:b/>
                <w:kern w:val="0"/>
                <w:sz w:val="24"/>
              </w:rPr>
              <w:t>环大气[2019]53号</w:t>
            </w:r>
            <w:r>
              <w:rPr>
                <w:b/>
                <w:sz w:val="24"/>
                <w:szCs w:val="24"/>
              </w:rPr>
              <w:t>文符合性一览表</w:t>
            </w:r>
          </w:p>
          <w:tbl>
            <w:tblPr>
              <w:tblStyle w:val="27"/>
              <w:tblW w:w="91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115"/>
              <w:gridCol w:w="3169"/>
              <w:gridCol w:w="876"/>
            </w:tblGrid>
            <w:tr w14:paraId="2FDEA1D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15" w:type="dxa"/>
                  <w:tcBorders>
                    <w:tl2br w:val="nil"/>
                    <w:tr2bl w:val="nil"/>
                  </w:tcBorders>
                  <w:vAlign w:val="center"/>
                </w:tcPr>
                <w:p w14:paraId="21A023B5">
                  <w:pPr>
                    <w:adjustRightInd w:val="0"/>
                    <w:snapToGrid w:val="0"/>
                    <w:jc w:val="center"/>
                    <w:rPr>
                      <w:bCs/>
                      <w:szCs w:val="21"/>
                    </w:rPr>
                  </w:pPr>
                  <w:r>
                    <w:rPr>
                      <w:szCs w:val="21"/>
                    </w:rPr>
                    <w:t>环大气[2019]53号</w:t>
                  </w:r>
                  <w:r>
                    <w:rPr>
                      <w:szCs w:val="21"/>
                      <w:lang w:val="zh-CN"/>
                    </w:rPr>
                    <w:t>要求</w:t>
                  </w:r>
                </w:p>
              </w:tc>
              <w:tc>
                <w:tcPr>
                  <w:tcW w:w="3169" w:type="dxa"/>
                  <w:tcBorders>
                    <w:tl2br w:val="nil"/>
                    <w:tr2bl w:val="nil"/>
                  </w:tcBorders>
                  <w:vAlign w:val="center"/>
                </w:tcPr>
                <w:p w14:paraId="56ED3686">
                  <w:pPr>
                    <w:adjustRightInd w:val="0"/>
                    <w:snapToGrid w:val="0"/>
                    <w:jc w:val="center"/>
                    <w:rPr>
                      <w:bCs/>
                      <w:szCs w:val="21"/>
                    </w:rPr>
                  </w:pPr>
                  <w:r>
                    <w:rPr>
                      <w:bCs/>
                      <w:szCs w:val="21"/>
                    </w:rPr>
                    <w:t>拟建项目情况</w:t>
                  </w:r>
                </w:p>
              </w:tc>
              <w:tc>
                <w:tcPr>
                  <w:tcW w:w="876" w:type="dxa"/>
                  <w:tcBorders>
                    <w:tl2br w:val="nil"/>
                    <w:tr2bl w:val="nil"/>
                  </w:tcBorders>
                  <w:vAlign w:val="center"/>
                </w:tcPr>
                <w:p w14:paraId="7830AF48">
                  <w:pPr>
                    <w:adjustRightInd w:val="0"/>
                    <w:snapToGrid w:val="0"/>
                    <w:jc w:val="center"/>
                    <w:rPr>
                      <w:bCs/>
                      <w:szCs w:val="21"/>
                    </w:rPr>
                  </w:pPr>
                  <w:r>
                    <w:rPr>
                      <w:bCs/>
                      <w:szCs w:val="21"/>
                    </w:rPr>
                    <w:t>符合性</w:t>
                  </w:r>
                </w:p>
              </w:tc>
            </w:tr>
            <w:tr w14:paraId="2E38BFE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48" w:hRule="atLeast"/>
                <w:jc w:val="center"/>
              </w:trPr>
              <w:tc>
                <w:tcPr>
                  <w:tcW w:w="5115" w:type="dxa"/>
                  <w:tcBorders>
                    <w:tl2br w:val="nil"/>
                    <w:tr2bl w:val="nil"/>
                  </w:tcBorders>
                  <w:vAlign w:val="center"/>
                </w:tcPr>
                <w:p w14:paraId="58B90E3C">
                  <w:pPr>
                    <w:adjustRightInd w:val="0"/>
                    <w:snapToGrid w:val="0"/>
                    <w:spacing w:line="340" w:lineRule="exact"/>
                    <w:rPr>
                      <w:szCs w:val="21"/>
                    </w:rPr>
                  </w:pPr>
                  <w:r>
                    <w:rPr>
                      <w:bCs/>
                      <w:kern w:val="0"/>
                      <w:szCs w:val="21"/>
                    </w:rPr>
                    <w:t>1、</w:t>
                  </w:r>
                  <w:r>
                    <w:rPr>
                      <w:rFonts w:hint="eastAsia"/>
                      <w:bCs/>
                      <w:kern w:val="0"/>
                      <w:szCs w:val="21"/>
                    </w:rPr>
                    <w:t>大力推进源头替代</w:t>
                  </w:r>
                  <w:r>
                    <w:rPr>
                      <w:bCs/>
                      <w:kern w:val="0"/>
                      <w:szCs w:val="21"/>
                    </w:rPr>
                    <w:t>。加快使用粉末、水性、高固体分、辐射固化等低VOCs含量的涂料替代溶剂型涂料，从源头减少VOCs的产生。</w:t>
                  </w:r>
                </w:p>
              </w:tc>
              <w:tc>
                <w:tcPr>
                  <w:tcW w:w="3169" w:type="dxa"/>
                  <w:tcBorders>
                    <w:tl2br w:val="nil"/>
                    <w:tr2bl w:val="nil"/>
                  </w:tcBorders>
                  <w:vAlign w:val="center"/>
                </w:tcPr>
                <w:p w14:paraId="48809D64">
                  <w:pPr>
                    <w:adjustRightInd w:val="0"/>
                    <w:snapToGrid w:val="0"/>
                    <w:spacing w:line="340" w:lineRule="exact"/>
                    <w:rPr>
                      <w:bCs/>
                      <w:szCs w:val="21"/>
                    </w:rPr>
                  </w:pPr>
                  <w:r>
                    <w:rPr>
                      <w:szCs w:val="21"/>
                    </w:rPr>
                    <w:t>项目所用油漆为聚氨酯漆，根据原辅材料理化性质，油漆中固体成分比例为75％</w:t>
                  </w:r>
                  <w:r>
                    <w:rPr>
                      <w:rFonts w:hint="eastAsia"/>
                      <w:szCs w:val="21"/>
                    </w:rPr>
                    <w:t>；</w:t>
                  </w:r>
                  <w:r>
                    <w:rPr>
                      <w:szCs w:val="21"/>
                    </w:rPr>
                    <w:t>环氧树脂胶固化成分90%以上</w:t>
                  </w:r>
                  <w:r>
                    <w:rPr>
                      <w:rFonts w:hint="eastAsia"/>
                      <w:bCs/>
                      <w:szCs w:val="21"/>
                    </w:rPr>
                    <w:t>；</w:t>
                  </w:r>
                  <w:r>
                    <w:rPr>
                      <w:szCs w:val="21"/>
                    </w:rPr>
                    <w:t>尽量使用高固体分、低VOCs含量的原料，</w:t>
                  </w:r>
                  <w:r>
                    <w:rPr>
                      <w:bCs/>
                      <w:szCs w:val="21"/>
                    </w:rPr>
                    <w:t>从源头减少VOCs产生。</w:t>
                  </w:r>
                </w:p>
              </w:tc>
              <w:tc>
                <w:tcPr>
                  <w:tcW w:w="876" w:type="dxa"/>
                  <w:tcBorders>
                    <w:tl2br w:val="nil"/>
                    <w:tr2bl w:val="nil"/>
                  </w:tcBorders>
                  <w:vAlign w:val="center"/>
                </w:tcPr>
                <w:p w14:paraId="6A4F1710">
                  <w:pPr>
                    <w:adjustRightInd w:val="0"/>
                    <w:snapToGrid w:val="0"/>
                    <w:jc w:val="center"/>
                    <w:rPr>
                      <w:bCs/>
                      <w:szCs w:val="21"/>
                    </w:rPr>
                  </w:pPr>
                  <w:r>
                    <w:rPr>
                      <w:rFonts w:hint="eastAsia"/>
                      <w:bCs/>
                      <w:szCs w:val="21"/>
                    </w:rPr>
                    <w:t>符合</w:t>
                  </w:r>
                </w:p>
              </w:tc>
            </w:tr>
            <w:tr w14:paraId="0263172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45" w:hRule="atLeast"/>
                <w:jc w:val="center"/>
              </w:trPr>
              <w:tc>
                <w:tcPr>
                  <w:tcW w:w="5115" w:type="dxa"/>
                  <w:tcBorders>
                    <w:tl2br w:val="nil"/>
                    <w:tr2bl w:val="nil"/>
                  </w:tcBorders>
                  <w:vAlign w:val="center"/>
                </w:tcPr>
                <w:p w14:paraId="63F3100B">
                  <w:pPr>
                    <w:rPr>
                      <w:szCs w:val="21"/>
                    </w:rPr>
                  </w:pPr>
                  <w:r>
                    <w:rPr>
                      <w:rFonts w:eastAsiaTheme="minorEastAsia"/>
                    </w:rPr>
                    <w:t>2、全面加强无组织排放控制。重点对含VOCs物料（包括含VOCs原辅材料、含VOCs产品、含VOCs废料以及有机聚合物材料等）储存、转移和输送、设备与管线组件泄漏、敞开液面逸散以及工艺过程等五类排放源实施管控，通过采取设备与场所密闭、工艺改进、废气有效收集等措施，削减VOCs无组织排放。</w:t>
                  </w:r>
                </w:p>
              </w:tc>
              <w:tc>
                <w:tcPr>
                  <w:tcW w:w="3169" w:type="dxa"/>
                  <w:tcBorders>
                    <w:tl2br w:val="nil"/>
                    <w:tr2bl w:val="nil"/>
                  </w:tcBorders>
                  <w:vAlign w:val="center"/>
                </w:tcPr>
                <w:p w14:paraId="321E1937">
                  <w:pPr>
                    <w:rPr>
                      <w:bCs/>
                      <w:szCs w:val="21"/>
                    </w:rPr>
                  </w:pPr>
                  <w:r>
                    <w:rPr>
                      <w:rFonts w:eastAsiaTheme="minorEastAsia"/>
                    </w:rPr>
                    <w:t>项目含VOCs物料存于密闭容器、封闭式存储车间内，含VOCs物料使用过程在密闭空间中操作，产生的废气由密闭、负压收集系统收集，经催化燃烧废气处理装置处理后由1根15m高排气筒达标排放。</w:t>
                  </w:r>
                </w:p>
              </w:tc>
              <w:tc>
                <w:tcPr>
                  <w:tcW w:w="876" w:type="dxa"/>
                  <w:tcBorders>
                    <w:tl2br w:val="nil"/>
                    <w:tr2bl w:val="nil"/>
                  </w:tcBorders>
                  <w:vAlign w:val="center"/>
                </w:tcPr>
                <w:p w14:paraId="3AE2A690">
                  <w:pPr>
                    <w:adjustRightInd w:val="0"/>
                    <w:snapToGrid w:val="0"/>
                    <w:jc w:val="center"/>
                    <w:rPr>
                      <w:bCs/>
                      <w:szCs w:val="21"/>
                    </w:rPr>
                  </w:pPr>
                  <w:r>
                    <w:rPr>
                      <w:bCs/>
                      <w:szCs w:val="21"/>
                    </w:rPr>
                    <w:t>符合</w:t>
                  </w:r>
                </w:p>
              </w:tc>
            </w:tr>
            <w:tr w14:paraId="6A0883A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5115" w:type="dxa"/>
                  <w:tcBorders>
                    <w:tl2br w:val="nil"/>
                    <w:tr2bl w:val="nil"/>
                  </w:tcBorders>
                  <w:vAlign w:val="center"/>
                </w:tcPr>
                <w:p w14:paraId="4410B538">
                  <w:r>
                    <w:t>3、</w:t>
                  </w:r>
                  <w:r>
                    <w:rPr>
                      <w:rFonts w:hint="eastAsia"/>
                    </w:rPr>
                    <w:t>提高废气收集率。遵循“应收尽收、分质收集”的原则，科学设计废气收集系统，将无组织排放转变为有组织排放进行控制。采用全密闭集气罩或密闭空间的，除行业有特殊要求外，应保持微负压状态，并根据相关规范合理设置通风量。采用局部集气罩的，距集气罩开口面最远处的VOCs无组织排放位置，控制风速应不低于0.3米/秒，有行业要求的按相关规定执行</w:t>
                  </w:r>
                  <w:r>
                    <w:t>。</w:t>
                  </w:r>
                </w:p>
              </w:tc>
              <w:tc>
                <w:tcPr>
                  <w:tcW w:w="3169" w:type="dxa"/>
                  <w:tcBorders>
                    <w:tl2br w:val="nil"/>
                    <w:tr2bl w:val="nil"/>
                  </w:tcBorders>
                  <w:vAlign w:val="center"/>
                </w:tcPr>
                <w:p w14:paraId="7659489A">
                  <w:pPr>
                    <w:adjustRightInd w:val="0"/>
                    <w:snapToGrid w:val="0"/>
                    <w:spacing w:line="340" w:lineRule="exact"/>
                    <w:rPr>
                      <w:bCs/>
                      <w:szCs w:val="21"/>
                    </w:rPr>
                  </w:pPr>
                  <w:r>
                    <w:rPr>
                      <w:szCs w:val="21"/>
                    </w:rPr>
                    <w:t>项目</w:t>
                  </w:r>
                  <w:r>
                    <w:rPr>
                      <w:rFonts w:hint="eastAsia"/>
                      <w:szCs w:val="21"/>
                    </w:rPr>
                    <w:t>生产过程</w:t>
                  </w:r>
                  <w:r>
                    <w:rPr>
                      <w:szCs w:val="21"/>
                    </w:rPr>
                    <w:t>产生的废气</w:t>
                  </w:r>
                  <w:r>
                    <w:rPr>
                      <w:rFonts w:hint="eastAsia"/>
                      <w:szCs w:val="21"/>
                    </w:rPr>
                    <w:t>由密闭、负压收集</w:t>
                  </w:r>
                  <w:r>
                    <w:rPr>
                      <w:szCs w:val="21"/>
                    </w:rPr>
                    <w:t>系统集气，经催化燃烧</w:t>
                  </w:r>
                  <w:r>
                    <w:rPr>
                      <w:rFonts w:hint="eastAsia"/>
                      <w:szCs w:val="21"/>
                    </w:rPr>
                    <w:t>废气处理装置</w:t>
                  </w:r>
                  <w:r>
                    <w:rPr>
                      <w:szCs w:val="21"/>
                    </w:rPr>
                    <w:t>处理后由1根15m高排气筒达标排放。有机废气收集效率为95%，处理效率为90%。</w:t>
                  </w:r>
                </w:p>
              </w:tc>
              <w:tc>
                <w:tcPr>
                  <w:tcW w:w="876" w:type="dxa"/>
                  <w:tcBorders>
                    <w:tl2br w:val="nil"/>
                    <w:tr2bl w:val="nil"/>
                  </w:tcBorders>
                  <w:vAlign w:val="center"/>
                </w:tcPr>
                <w:p w14:paraId="752F303A">
                  <w:pPr>
                    <w:adjustRightInd w:val="0"/>
                    <w:snapToGrid w:val="0"/>
                    <w:jc w:val="center"/>
                    <w:rPr>
                      <w:bCs/>
                      <w:szCs w:val="21"/>
                    </w:rPr>
                  </w:pPr>
                  <w:r>
                    <w:rPr>
                      <w:rFonts w:hint="eastAsia"/>
                      <w:bCs/>
                      <w:szCs w:val="21"/>
                    </w:rPr>
                    <w:t>符合</w:t>
                  </w:r>
                </w:p>
              </w:tc>
            </w:tr>
            <w:tr w14:paraId="760A75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01" w:hRule="atLeast"/>
                <w:jc w:val="center"/>
              </w:trPr>
              <w:tc>
                <w:tcPr>
                  <w:tcW w:w="5115" w:type="dxa"/>
                  <w:tcBorders>
                    <w:tl2br w:val="nil"/>
                    <w:tr2bl w:val="nil"/>
                  </w:tcBorders>
                  <w:vAlign w:val="center"/>
                </w:tcPr>
                <w:p w14:paraId="5CB8BEC3">
                  <w:pPr>
                    <w:adjustRightInd w:val="0"/>
                    <w:snapToGrid w:val="0"/>
                    <w:spacing w:line="340" w:lineRule="exact"/>
                    <w:rPr>
                      <w:szCs w:val="21"/>
                    </w:rPr>
                  </w:pPr>
                  <w:r>
                    <w:rPr>
                      <w:bCs/>
                      <w:kern w:val="0"/>
                      <w:szCs w:val="21"/>
                    </w:rPr>
                    <w:t>4、加强监测监控。石化、化工、包装印刷、工业涂装等VOCs排放重点源，纳入重点排污单位名录，主要排污口安装自动监控设施，并与生态环境部门联网，重点区域2019年年底前基本完成，全国2020年年底前基本完成。鼓励重点区域对无组织排放突出的企业，在主要排放工序安装视频监控设施。鼓励企业配备便携式VOCs监测仪器，及时了解掌握排污状况。</w:t>
                  </w:r>
                </w:p>
              </w:tc>
              <w:tc>
                <w:tcPr>
                  <w:tcW w:w="3169" w:type="dxa"/>
                  <w:tcBorders>
                    <w:tl2br w:val="nil"/>
                    <w:tr2bl w:val="nil"/>
                  </w:tcBorders>
                  <w:vAlign w:val="center"/>
                </w:tcPr>
                <w:p w14:paraId="21EF5CC7">
                  <w:pPr>
                    <w:adjustRightInd w:val="0"/>
                    <w:snapToGrid w:val="0"/>
                    <w:spacing w:line="340" w:lineRule="exact"/>
                    <w:rPr>
                      <w:szCs w:val="21"/>
                    </w:rPr>
                  </w:pPr>
                  <w:r>
                    <w:rPr>
                      <w:szCs w:val="21"/>
                    </w:rPr>
                    <w:t>项目</w:t>
                  </w:r>
                  <w:r>
                    <w:rPr>
                      <w:rFonts w:hint="eastAsia"/>
                      <w:szCs w:val="21"/>
                    </w:rPr>
                    <w:t>生产过程有机废气采用</w:t>
                  </w:r>
                  <w:r>
                    <w:rPr>
                      <w:szCs w:val="21"/>
                    </w:rPr>
                    <w:t>催化燃烧</w:t>
                  </w:r>
                  <w:r>
                    <w:rPr>
                      <w:rFonts w:hint="eastAsia"/>
                      <w:szCs w:val="21"/>
                    </w:rPr>
                    <w:t>废气处理装置</w:t>
                  </w:r>
                  <w:r>
                    <w:rPr>
                      <w:szCs w:val="21"/>
                    </w:rPr>
                    <w:t>处理。</w:t>
                  </w:r>
                  <w:r>
                    <w:rPr>
                      <w:rFonts w:hint="eastAsia"/>
                      <w:szCs w:val="21"/>
                    </w:rPr>
                    <w:t>该装置采用</w:t>
                  </w:r>
                  <w:r>
                    <w:rPr>
                      <w:szCs w:val="21"/>
                    </w:rPr>
                    <w:t xml:space="preserve"> PLC 全自动化控制方式，特设电脑触摸屏实时监控、记录</w:t>
                  </w:r>
                  <w:r>
                    <w:rPr>
                      <w:rFonts w:hint="eastAsia"/>
                      <w:szCs w:val="21"/>
                    </w:rPr>
                    <w:t>环保设施运行情况</w:t>
                  </w:r>
                  <w:r>
                    <w:rPr>
                      <w:szCs w:val="21"/>
                    </w:rPr>
                    <w:t>，</w:t>
                  </w:r>
                  <w:r>
                    <w:rPr>
                      <w:rFonts w:hint="eastAsia"/>
                      <w:szCs w:val="21"/>
                    </w:rPr>
                    <w:t>系统设有活性炭压力差自动控制系统，活性炭吸附饱和后，系统自动进行脱附-催化燃烧处理，达到吸附、脱附循环使用</w:t>
                  </w:r>
                  <w:r>
                    <w:rPr>
                      <w:szCs w:val="21"/>
                    </w:rPr>
                    <w:t xml:space="preserve">。 </w:t>
                  </w:r>
                </w:p>
              </w:tc>
              <w:tc>
                <w:tcPr>
                  <w:tcW w:w="876" w:type="dxa"/>
                  <w:tcBorders>
                    <w:tl2br w:val="nil"/>
                    <w:tr2bl w:val="nil"/>
                  </w:tcBorders>
                  <w:vAlign w:val="center"/>
                </w:tcPr>
                <w:p w14:paraId="235D043E">
                  <w:pPr>
                    <w:adjustRightInd w:val="0"/>
                    <w:snapToGrid w:val="0"/>
                    <w:jc w:val="center"/>
                    <w:rPr>
                      <w:bCs/>
                      <w:szCs w:val="21"/>
                    </w:rPr>
                  </w:pPr>
                  <w:r>
                    <w:rPr>
                      <w:bCs/>
                      <w:szCs w:val="21"/>
                    </w:rPr>
                    <w:t>符合</w:t>
                  </w:r>
                </w:p>
              </w:tc>
            </w:tr>
          </w:tbl>
          <w:p w14:paraId="619BCE93">
            <w:pPr>
              <w:pStyle w:val="83"/>
              <w:spacing w:beforeLines="50"/>
            </w:pPr>
            <w:r>
              <w:t>综上，本项目符合</w:t>
            </w:r>
            <w:r>
              <w:rPr>
                <w:kern w:val="0"/>
                <w:lang w:val="en-US"/>
              </w:rPr>
              <w:t>环大气[2019]53号</w:t>
            </w:r>
            <w:r>
              <w:rPr>
                <w:szCs w:val="24"/>
              </w:rPr>
              <w:t>文件要求</w:t>
            </w:r>
            <w:r>
              <w:t>。</w:t>
            </w:r>
          </w:p>
          <w:p w14:paraId="781817CB">
            <w:pPr>
              <w:spacing w:line="360" w:lineRule="auto"/>
              <w:ind w:firstLine="480" w:firstLineChars="200"/>
              <w:jc w:val="left"/>
              <w:outlineLvl w:val="2"/>
              <w:rPr>
                <w:rFonts w:eastAsiaTheme="minorEastAsia"/>
                <w:sz w:val="24"/>
                <w:szCs w:val="24"/>
              </w:rPr>
            </w:pPr>
            <w:r>
              <w:rPr>
                <w:rFonts w:eastAsiaTheme="minorEastAsia"/>
                <w:sz w:val="24"/>
                <w:szCs w:val="24"/>
              </w:rPr>
              <w:t>（5）与鲁环发[2019]132号文、威环函[2020]8号文符合性分析</w:t>
            </w:r>
          </w:p>
          <w:p w14:paraId="1295FDBC">
            <w:pPr>
              <w:spacing w:line="360" w:lineRule="auto"/>
              <w:jc w:val="center"/>
              <w:rPr>
                <w:rFonts w:eastAsia="黑体"/>
                <w:b/>
                <w:bCs/>
                <w:szCs w:val="24"/>
              </w:rPr>
            </w:pPr>
            <w:r>
              <w:rPr>
                <w:rFonts w:eastAsiaTheme="minorEastAsia"/>
                <w:b/>
                <w:bCs/>
                <w:sz w:val="24"/>
                <w:szCs w:val="24"/>
              </w:rPr>
              <w:t>表1-7 本项目与鲁环发[2019]132号文、威环函[2020]8号文的符合情况</w:t>
            </w:r>
          </w:p>
          <w:tbl>
            <w:tblPr>
              <w:tblStyle w:val="27"/>
              <w:tblW w:w="907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83"/>
              <w:gridCol w:w="2575"/>
              <w:gridCol w:w="721"/>
            </w:tblGrid>
            <w:tr w14:paraId="227CD93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783" w:type="dxa"/>
                  <w:tcBorders>
                    <w:tl2br w:val="nil"/>
                    <w:tr2bl w:val="nil"/>
                  </w:tcBorders>
                  <w:vAlign w:val="center"/>
                </w:tcPr>
                <w:p w14:paraId="2176F785">
                  <w:pPr>
                    <w:adjustRightInd w:val="0"/>
                    <w:snapToGrid w:val="0"/>
                    <w:spacing w:line="340" w:lineRule="exact"/>
                    <w:jc w:val="center"/>
                    <w:rPr>
                      <w:rFonts w:eastAsiaTheme="minorEastAsia"/>
                      <w:szCs w:val="21"/>
                    </w:rPr>
                  </w:pPr>
                  <w:r>
                    <w:rPr>
                      <w:rFonts w:eastAsiaTheme="minorEastAsia"/>
                      <w:szCs w:val="21"/>
                    </w:rPr>
                    <w:t>鲁环发[2019]132号文要求</w:t>
                  </w:r>
                </w:p>
              </w:tc>
              <w:tc>
                <w:tcPr>
                  <w:tcW w:w="2575" w:type="dxa"/>
                  <w:tcBorders>
                    <w:tl2br w:val="nil"/>
                    <w:tr2bl w:val="nil"/>
                  </w:tcBorders>
                  <w:vAlign w:val="center"/>
                </w:tcPr>
                <w:p w14:paraId="681B2D13">
                  <w:pPr>
                    <w:adjustRightInd w:val="0"/>
                    <w:snapToGrid w:val="0"/>
                    <w:spacing w:line="340" w:lineRule="exact"/>
                    <w:jc w:val="center"/>
                    <w:rPr>
                      <w:rFonts w:eastAsiaTheme="minorEastAsia"/>
                      <w:szCs w:val="21"/>
                    </w:rPr>
                  </w:pPr>
                  <w:r>
                    <w:rPr>
                      <w:rFonts w:eastAsiaTheme="minorEastAsia"/>
                      <w:szCs w:val="21"/>
                    </w:rPr>
                    <w:t>项目情况</w:t>
                  </w:r>
                </w:p>
              </w:tc>
              <w:tc>
                <w:tcPr>
                  <w:tcW w:w="721" w:type="dxa"/>
                  <w:tcBorders>
                    <w:tl2br w:val="nil"/>
                    <w:tr2bl w:val="nil"/>
                  </w:tcBorders>
                  <w:vAlign w:val="center"/>
                </w:tcPr>
                <w:p w14:paraId="14B6F135">
                  <w:pPr>
                    <w:adjustRightInd w:val="0"/>
                    <w:snapToGrid w:val="0"/>
                    <w:spacing w:line="340" w:lineRule="exact"/>
                    <w:jc w:val="center"/>
                    <w:rPr>
                      <w:rFonts w:eastAsiaTheme="minorEastAsia"/>
                      <w:szCs w:val="21"/>
                    </w:rPr>
                  </w:pPr>
                  <w:r>
                    <w:rPr>
                      <w:rFonts w:eastAsiaTheme="minorEastAsia"/>
                      <w:szCs w:val="21"/>
                    </w:rPr>
                    <w:t>结论</w:t>
                  </w:r>
                </w:p>
              </w:tc>
            </w:tr>
            <w:tr w14:paraId="47313E1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5783" w:type="dxa"/>
                  <w:tcBorders>
                    <w:tl2br w:val="nil"/>
                    <w:tr2bl w:val="nil"/>
                  </w:tcBorders>
                  <w:vAlign w:val="center"/>
                </w:tcPr>
                <w:p w14:paraId="7DBA3786">
                  <w:pPr>
                    <w:adjustRightInd w:val="0"/>
                    <w:snapToGrid w:val="0"/>
                    <w:spacing w:line="340" w:lineRule="exact"/>
                    <w:ind w:firstLine="420" w:firstLineChars="200"/>
                    <w:rPr>
                      <w:rFonts w:eastAsiaTheme="minorEastAsia"/>
                      <w:kern w:val="0"/>
                      <w:szCs w:val="21"/>
                    </w:rPr>
                  </w:pPr>
                  <w:r>
                    <w:rPr>
                      <w:rFonts w:eastAsiaTheme="minorEastAsia"/>
                      <w:kern w:val="0"/>
                      <w:szCs w:val="21"/>
                    </w:rPr>
                    <w:t>二、指标来源</w:t>
                  </w:r>
                </w:p>
                <w:p w14:paraId="6CFB4FF7">
                  <w:pPr>
                    <w:adjustRightInd w:val="0"/>
                    <w:snapToGrid w:val="0"/>
                    <w:spacing w:line="340" w:lineRule="exact"/>
                    <w:ind w:firstLine="420" w:firstLineChars="200"/>
                    <w:rPr>
                      <w:rFonts w:eastAsiaTheme="minorEastAsia"/>
                      <w:kern w:val="0"/>
                      <w:szCs w:val="21"/>
                    </w:rPr>
                  </w:pPr>
                  <w:r>
                    <w:rPr>
                      <w:rFonts w:eastAsiaTheme="minorEastAsia"/>
                      <w:kern w:val="0"/>
                      <w:szCs w:val="21"/>
                    </w:rPr>
                    <w:t>“可替代总量指标”核算基准年为2017年。建设项目污染物排放总量替代指标应来源于2017年1月1日以后，企事业单位采取减排措施后正常工况下或者关停可形成的年排放削减量，或者从拟替代关停的现有企业、设施或者治理项目可形成的污染物削减量中预支。</w:t>
                  </w:r>
                </w:p>
              </w:tc>
              <w:tc>
                <w:tcPr>
                  <w:tcW w:w="2575" w:type="dxa"/>
                  <w:tcBorders>
                    <w:tl2br w:val="nil"/>
                    <w:tr2bl w:val="nil"/>
                  </w:tcBorders>
                  <w:vAlign w:val="center"/>
                </w:tcPr>
                <w:p w14:paraId="47D25C9A">
                  <w:pPr>
                    <w:adjustRightInd w:val="0"/>
                    <w:snapToGrid w:val="0"/>
                    <w:spacing w:line="340" w:lineRule="exact"/>
                    <w:rPr>
                      <w:rFonts w:eastAsiaTheme="minorEastAsia"/>
                      <w:szCs w:val="21"/>
                    </w:rPr>
                  </w:pPr>
                  <w:r>
                    <w:rPr>
                      <w:rFonts w:eastAsiaTheme="minorEastAsia"/>
                      <w:szCs w:val="21"/>
                    </w:rPr>
                    <w:t>项目VOCs来源于威海昱成塑料包装有限公司减排量，该厂于20</w:t>
                  </w:r>
                  <w:r>
                    <w:rPr>
                      <w:rFonts w:hint="eastAsia" w:eastAsiaTheme="minorEastAsia"/>
                      <w:szCs w:val="21"/>
                    </w:rPr>
                    <w:t>20</w:t>
                  </w:r>
                  <w:r>
                    <w:rPr>
                      <w:rFonts w:eastAsiaTheme="minorEastAsia"/>
                      <w:szCs w:val="21"/>
                    </w:rPr>
                    <w:t>年</w:t>
                  </w:r>
                  <w:r>
                    <w:rPr>
                      <w:rFonts w:hint="eastAsia" w:eastAsiaTheme="minorEastAsia"/>
                      <w:szCs w:val="21"/>
                    </w:rPr>
                    <w:t>11</w:t>
                  </w:r>
                  <w:r>
                    <w:rPr>
                      <w:rFonts w:eastAsiaTheme="minorEastAsia"/>
                      <w:szCs w:val="21"/>
                    </w:rPr>
                    <w:t>月份停产</w:t>
                  </w:r>
                  <w:r>
                    <w:rPr>
                      <w:rFonts w:hint="eastAsia" w:eastAsiaTheme="minorEastAsia"/>
                      <w:szCs w:val="21"/>
                    </w:rPr>
                    <w:t>不在运营</w:t>
                  </w:r>
                  <w:r>
                    <w:rPr>
                      <w:rFonts w:eastAsiaTheme="minorEastAsia"/>
                      <w:szCs w:val="21"/>
                    </w:rPr>
                    <w:t>，能够满足替代要求。</w:t>
                  </w:r>
                </w:p>
              </w:tc>
              <w:tc>
                <w:tcPr>
                  <w:tcW w:w="721" w:type="dxa"/>
                  <w:tcBorders>
                    <w:tl2br w:val="nil"/>
                    <w:tr2bl w:val="nil"/>
                  </w:tcBorders>
                  <w:vAlign w:val="center"/>
                </w:tcPr>
                <w:p w14:paraId="084D6DFC">
                  <w:pPr>
                    <w:adjustRightInd w:val="0"/>
                    <w:snapToGrid w:val="0"/>
                    <w:spacing w:line="340" w:lineRule="exact"/>
                    <w:jc w:val="center"/>
                    <w:rPr>
                      <w:rFonts w:eastAsiaTheme="minorEastAsia"/>
                      <w:szCs w:val="21"/>
                    </w:rPr>
                  </w:pPr>
                  <w:r>
                    <w:rPr>
                      <w:rFonts w:eastAsiaTheme="minorEastAsia"/>
                      <w:szCs w:val="21"/>
                    </w:rPr>
                    <w:t>符合</w:t>
                  </w:r>
                </w:p>
              </w:tc>
            </w:tr>
            <w:tr w14:paraId="5F7CE9E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5783" w:type="dxa"/>
                  <w:tcBorders>
                    <w:tl2br w:val="nil"/>
                    <w:tr2bl w:val="nil"/>
                  </w:tcBorders>
                  <w:vAlign w:val="center"/>
                </w:tcPr>
                <w:p w14:paraId="61B4B9A8">
                  <w:pPr>
                    <w:adjustRightInd w:val="0"/>
                    <w:snapToGrid w:val="0"/>
                    <w:spacing w:line="340" w:lineRule="exact"/>
                    <w:ind w:firstLine="420" w:firstLineChars="200"/>
                    <w:rPr>
                      <w:rFonts w:eastAsiaTheme="minorEastAsia"/>
                      <w:kern w:val="0"/>
                      <w:szCs w:val="21"/>
                    </w:rPr>
                  </w:pPr>
                  <w:r>
                    <w:rPr>
                      <w:rFonts w:eastAsiaTheme="minorEastAsia"/>
                      <w:kern w:val="0"/>
                      <w:szCs w:val="21"/>
                    </w:rPr>
                    <w:t>四、指标审核</w:t>
                  </w:r>
                </w:p>
                <w:p w14:paraId="2B0018F1">
                  <w:pPr>
                    <w:adjustRightInd w:val="0"/>
                    <w:snapToGrid w:val="0"/>
                    <w:spacing w:line="340" w:lineRule="exact"/>
                    <w:ind w:firstLine="420" w:firstLineChars="200"/>
                    <w:rPr>
                      <w:rFonts w:eastAsiaTheme="minorEastAsia"/>
                      <w:kern w:val="0"/>
                      <w:szCs w:val="21"/>
                    </w:rPr>
                  </w:pPr>
                  <w:r>
                    <w:rPr>
                      <w:rFonts w:eastAsiaTheme="minorEastAsia"/>
                      <w:kern w:val="0"/>
                      <w:szCs w:val="21"/>
                    </w:rPr>
                    <w:t>用于建设项目的“可替代总量指标”不得低于建设项目所需替代的主要污染物排放总量指标。上一年度环境空气质量年平均浓度达标的城市，相关污染物进行等量替代。上一年度环境空气质量年平均浓度不达标的城市，相关污染物应按照建设项目所需替代的污染物排放总量指标的2倍进行削减替代（燃煤发电机组大气污染物排放浓度达到超低排放标准的进行等量替代）。上一年度细颗粒物年平均浓度超标的设区的市，实行二氧化硫、氮氧化物、烟粉尘、挥发性有机物四项污染物排放总量指标2倍削减替代。各设区的市有更严格倍量替代要求的，按照有关规定执行。</w:t>
                  </w:r>
                </w:p>
              </w:tc>
              <w:tc>
                <w:tcPr>
                  <w:tcW w:w="2575" w:type="dxa"/>
                  <w:tcBorders>
                    <w:tl2br w:val="nil"/>
                    <w:tr2bl w:val="nil"/>
                  </w:tcBorders>
                  <w:vAlign w:val="center"/>
                </w:tcPr>
                <w:p w14:paraId="1D67604A">
                  <w:pPr>
                    <w:adjustRightInd w:val="0"/>
                    <w:snapToGrid w:val="0"/>
                    <w:spacing w:line="340" w:lineRule="exact"/>
                    <w:rPr>
                      <w:rFonts w:eastAsiaTheme="minorEastAsia"/>
                      <w:szCs w:val="21"/>
                    </w:rPr>
                  </w:pPr>
                  <w:r>
                    <w:rPr>
                      <w:rFonts w:eastAsiaTheme="minorEastAsia"/>
                      <w:szCs w:val="21"/>
                    </w:rPr>
                    <w:t>项目VOCs排放量为</w:t>
                  </w:r>
                  <w:r>
                    <w:rPr>
                      <w:rFonts w:hint="eastAsia" w:eastAsiaTheme="minorEastAsia"/>
                      <w:szCs w:val="21"/>
                    </w:rPr>
                    <w:t>0.197</w:t>
                  </w:r>
                  <w:r>
                    <w:rPr>
                      <w:rFonts w:eastAsiaTheme="minorEastAsia"/>
                      <w:szCs w:val="21"/>
                    </w:rPr>
                    <w:t>t/a，可从威海昱成塑料包装有限公司的VOCs减排量中进行替代，减排量为</w:t>
                  </w:r>
                  <w:r>
                    <w:rPr>
                      <w:rFonts w:hint="eastAsia" w:eastAsiaTheme="minorEastAsia"/>
                      <w:szCs w:val="21"/>
                    </w:rPr>
                    <w:t>0.42</w:t>
                  </w:r>
                  <w:r>
                    <w:rPr>
                      <w:rFonts w:eastAsiaTheme="minorEastAsia"/>
                      <w:szCs w:val="21"/>
                    </w:rPr>
                    <w:t>t，目前剩余量为</w:t>
                  </w:r>
                  <w:r>
                    <w:rPr>
                      <w:rFonts w:hint="eastAsia" w:eastAsiaTheme="minorEastAsia"/>
                      <w:szCs w:val="21"/>
                    </w:rPr>
                    <w:t>0.42</w:t>
                  </w:r>
                  <w:r>
                    <w:rPr>
                      <w:rFonts w:eastAsiaTheme="minorEastAsia"/>
                      <w:szCs w:val="21"/>
                    </w:rPr>
                    <w:t>t，能够满足等量替代的要求，项目VOCs替代源具体说明见附件。</w:t>
                  </w:r>
                </w:p>
              </w:tc>
              <w:tc>
                <w:tcPr>
                  <w:tcW w:w="721" w:type="dxa"/>
                  <w:tcBorders>
                    <w:tl2br w:val="nil"/>
                    <w:tr2bl w:val="nil"/>
                  </w:tcBorders>
                  <w:vAlign w:val="center"/>
                </w:tcPr>
                <w:p w14:paraId="1C721B5E">
                  <w:pPr>
                    <w:adjustRightInd w:val="0"/>
                    <w:snapToGrid w:val="0"/>
                    <w:spacing w:line="340" w:lineRule="exact"/>
                    <w:jc w:val="center"/>
                    <w:rPr>
                      <w:rFonts w:eastAsiaTheme="minorEastAsia"/>
                      <w:szCs w:val="21"/>
                    </w:rPr>
                  </w:pPr>
                  <w:r>
                    <w:rPr>
                      <w:rFonts w:eastAsiaTheme="minorEastAsia"/>
                      <w:szCs w:val="21"/>
                    </w:rPr>
                    <w:t>符合</w:t>
                  </w:r>
                </w:p>
              </w:tc>
            </w:tr>
          </w:tbl>
          <w:p w14:paraId="40C9331B">
            <w:pPr>
              <w:spacing w:line="360" w:lineRule="auto"/>
              <w:ind w:firstLine="480" w:firstLineChars="200"/>
              <w:jc w:val="left"/>
              <w:outlineLvl w:val="2"/>
              <w:rPr>
                <w:rFonts w:eastAsiaTheme="minorEastAsia"/>
                <w:sz w:val="24"/>
                <w:szCs w:val="24"/>
              </w:rPr>
            </w:pPr>
            <w:r>
              <w:rPr>
                <w:rFonts w:eastAsiaTheme="minorEastAsia"/>
                <w:sz w:val="24"/>
                <w:szCs w:val="24"/>
              </w:rPr>
              <w:t>综上所述，本项目符合鲁环发[2019]132号文、威环函[2020]8号文的相关要求。</w:t>
            </w:r>
          </w:p>
          <w:p w14:paraId="21A6ED35">
            <w:pPr>
              <w:spacing w:line="360" w:lineRule="auto"/>
              <w:ind w:firstLine="480" w:firstLineChars="200"/>
              <w:jc w:val="left"/>
              <w:outlineLvl w:val="2"/>
              <w:rPr>
                <w:rFonts w:eastAsiaTheme="minorEastAsia"/>
                <w:sz w:val="24"/>
                <w:szCs w:val="24"/>
              </w:rPr>
            </w:pPr>
            <w:r>
              <w:rPr>
                <w:rFonts w:eastAsiaTheme="minorEastAsia"/>
                <w:sz w:val="24"/>
                <w:szCs w:val="24"/>
              </w:rPr>
              <w:t>（6）与威环发[2018]85号文符合性分析</w:t>
            </w:r>
          </w:p>
          <w:p w14:paraId="6BF3ED6B">
            <w:pPr>
              <w:spacing w:line="360" w:lineRule="auto"/>
              <w:jc w:val="center"/>
              <w:rPr>
                <w:rFonts w:eastAsiaTheme="minorEastAsia"/>
                <w:b/>
                <w:bCs/>
                <w:sz w:val="24"/>
                <w:szCs w:val="24"/>
              </w:rPr>
            </w:pPr>
            <w:r>
              <w:rPr>
                <w:rFonts w:eastAsiaTheme="minorEastAsia"/>
                <w:b/>
                <w:bCs/>
                <w:sz w:val="24"/>
                <w:szCs w:val="24"/>
              </w:rPr>
              <w:t>表1-8 本项目与威环发[2018]85号文的符合情况</w:t>
            </w:r>
          </w:p>
          <w:tbl>
            <w:tblPr>
              <w:tblStyle w:val="27"/>
              <w:tblW w:w="907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022"/>
              <w:gridCol w:w="4336"/>
              <w:gridCol w:w="721"/>
            </w:tblGrid>
            <w:tr w14:paraId="461A3B1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4022" w:type="dxa"/>
                  <w:tcBorders>
                    <w:tl2br w:val="nil"/>
                    <w:tr2bl w:val="nil"/>
                  </w:tcBorders>
                  <w:vAlign w:val="center"/>
                </w:tcPr>
                <w:p w14:paraId="1D7E6156">
                  <w:pPr>
                    <w:adjustRightInd w:val="0"/>
                    <w:snapToGrid w:val="0"/>
                    <w:spacing w:line="340" w:lineRule="exact"/>
                    <w:jc w:val="center"/>
                    <w:rPr>
                      <w:rFonts w:eastAsiaTheme="minorEastAsia"/>
                      <w:szCs w:val="21"/>
                    </w:rPr>
                  </w:pPr>
                  <w:r>
                    <w:rPr>
                      <w:rFonts w:eastAsiaTheme="minorEastAsia"/>
                      <w:szCs w:val="21"/>
                    </w:rPr>
                    <w:t>威环发[2018]85号文要求</w:t>
                  </w:r>
                </w:p>
              </w:tc>
              <w:tc>
                <w:tcPr>
                  <w:tcW w:w="4336" w:type="dxa"/>
                  <w:tcBorders>
                    <w:tl2br w:val="nil"/>
                    <w:tr2bl w:val="nil"/>
                  </w:tcBorders>
                  <w:vAlign w:val="center"/>
                </w:tcPr>
                <w:p w14:paraId="641B5F9C">
                  <w:pPr>
                    <w:adjustRightInd w:val="0"/>
                    <w:snapToGrid w:val="0"/>
                    <w:spacing w:line="340" w:lineRule="exact"/>
                    <w:jc w:val="center"/>
                    <w:rPr>
                      <w:rFonts w:eastAsiaTheme="minorEastAsia"/>
                      <w:szCs w:val="21"/>
                    </w:rPr>
                  </w:pPr>
                  <w:r>
                    <w:rPr>
                      <w:rFonts w:eastAsiaTheme="minorEastAsia"/>
                      <w:szCs w:val="21"/>
                    </w:rPr>
                    <w:t>项目情况</w:t>
                  </w:r>
                </w:p>
              </w:tc>
              <w:tc>
                <w:tcPr>
                  <w:tcW w:w="721" w:type="dxa"/>
                  <w:tcBorders>
                    <w:tl2br w:val="nil"/>
                    <w:tr2bl w:val="nil"/>
                  </w:tcBorders>
                  <w:vAlign w:val="center"/>
                </w:tcPr>
                <w:p w14:paraId="4F5FB2E6">
                  <w:pPr>
                    <w:adjustRightInd w:val="0"/>
                    <w:snapToGrid w:val="0"/>
                    <w:spacing w:line="340" w:lineRule="exact"/>
                    <w:jc w:val="center"/>
                    <w:rPr>
                      <w:rFonts w:eastAsiaTheme="minorEastAsia"/>
                      <w:szCs w:val="21"/>
                    </w:rPr>
                  </w:pPr>
                  <w:r>
                    <w:rPr>
                      <w:rFonts w:eastAsiaTheme="minorEastAsia"/>
                      <w:szCs w:val="21"/>
                    </w:rPr>
                    <w:t>结论</w:t>
                  </w:r>
                </w:p>
              </w:tc>
            </w:tr>
            <w:tr w14:paraId="6A346A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4022" w:type="dxa"/>
                  <w:tcBorders>
                    <w:tl2br w:val="nil"/>
                    <w:tr2bl w:val="nil"/>
                  </w:tcBorders>
                  <w:vAlign w:val="center"/>
                </w:tcPr>
                <w:p w14:paraId="63211BB9">
                  <w:pPr>
                    <w:adjustRightInd w:val="0"/>
                    <w:snapToGrid w:val="0"/>
                    <w:spacing w:line="340" w:lineRule="exact"/>
                    <w:ind w:firstLine="420" w:firstLineChars="200"/>
                    <w:rPr>
                      <w:rFonts w:eastAsiaTheme="minorEastAsia"/>
                      <w:szCs w:val="21"/>
                    </w:rPr>
                  </w:pPr>
                  <w:r>
                    <w:rPr>
                      <w:rFonts w:eastAsiaTheme="minorEastAsia"/>
                      <w:bCs/>
                      <w:kern w:val="0"/>
                      <w:szCs w:val="21"/>
                    </w:rPr>
                    <w:t>1、加快推进“散乱污”企业综合整治。针对涉VOCs排放的“散乱污”企业，在落实《威海市2017年环境保护突出问题综合整治攻坚方案》等要求的基础上，坚持边整治、边摸排，对新排查出的“散乱污”企业，坚持“先停后治”的原则，建立管理台账，实施分类处置。</w:t>
                  </w:r>
                </w:p>
              </w:tc>
              <w:tc>
                <w:tcPr>
                  <w:tcW w:w="4336" w:type="dxa"/>
                  <w:tcBorders>
                    <w:tl2br w:val="nil"/>
                    <w:tr2bl w:val="nil"/>
                  </w:tcBorders>
                  <w:vAlign w:val="center"/>
                </w:tcPr>
                <w:p w14:paraId="12729669">
                  <w:pPr>
                    <w:adjustRightInd w:val="0"/>
                    <w:snapToGrid w:val="0"/>
                    <w:spacing w:line="340" w:lineRule="exact"/>
                    <w:ind w:firstLine="420" w:firstLineChars="200"/>
                    <w:rPr>
                      <w:rFonts w:eastAsiaTheme="minorEastAsia"/>
                      <w:szCs w:val="21"/>
                    </w:rPr>
                  </w:pPr>
                  <w:r>
                    <w:rPr>
                      <w:rFonts w:eastAsiaTheme="minorEastAsia"/>
                      <w:szCs w:val="21"/>
                    </w:rPr>
                    <w:t>本项目属于新建项目，不存在涉VOCs排放的“散乱污”现象。</w:t>
                  </w:r>
                </w:p>
              </w:tc>
              <w:tc>
                <w:tcPr>
                  <w:tcW w:w="721" w:type="dxa"/>
                  <w:tcBorders>
                    <w:tl2br w:val="nil"/>
                    <w:tr2bl w:val="nil"/>
                  </w:tcBorders>
                  <w:vAlign w:val="center"/>
                </w:tcPr>
                <w:p w14:paraId="57BB0AB4">
                  <w:pPr>
                    <w:adjustRightInd w:val="0"/>
                    <w:snapToGrid w:val="0"/>
                    <w:spacing w:line="340" w:lineRule="exact"/>
                    <w:jc w:val="center"/>
                    <w:rPr>
                      <w:rFonts w:eastAsiaTheme="minorEastAsia"/>
                      <w:szCs w:val="21"/>
                    </w:rPr>
                  </w:pPr>
                  <w:r>
                    <w:rPr>
                      <w:rFonts w:eastAsiaTheme="minorEastAsia"/>
                      <w:szCs w:val="21"/>
                    </w:rPr>
                    <w:t>符合</w:t>
                  </w:r>
                </w:p>
              </w:tc>
            </w:tr>
            <w:tr w14:paraId="017EBC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4022" w:type="dxa"/>
                  <w:tcBorders>
                    <w:tl2br w:val="nil"/>
                    <w:tr2bl w:val="nil"/>
                  </w:tcBorders>
                  <w:vAlign w:val="center"/>
                </w:tcPr>
                <w:p w14:paraId="43E922F4">
                  <w:pPr>
                    <w:adjustRightInd w:val="0"/>
                    <w:snapToGrid w:val="0"/>
                    <w:spacing w:line="340" w:lineRule="exact"/>
                    <w:ind w:firstLine="420" w:firstLineChars="200"/>
                    <w:rPr>
                      <w:rFonts w:eastAsiaTheme="minorEastAsia"/>
                      <w:b/>
                      <w:kern w:val="0"/>
                      <w:szCs w:val="21"/>
                    </w:rPr>
                  </w:pPr>
                  <w:r>
                    <w:rPr>
                      <w:rFonts w:eastAsiaTheme="minorEastAsia"/>
                      <w:bCs/>
                      <w:kern w:val="0"/>
                      <w:szCs w:val="21"/>
                    </w:rPr>
                    <w:t>2、严格建设项目环境准入。严格涉VOCs建设项目环境影响评价，实行区域内VOCs排放等量或倍量削减替代，并将替代方案落实到企业排污许可证中，纳入环境执法管理。新、改、扩建涉VOCs排放项目，应从源头加强控制，使用低（无）VOCs含量的原辅材料，加强废气收集，安装高效治理设施。</w:t>
                  </w:r>
                </w:p>
              </w:tc>
              <w:tc>
                <w:tcPr>
                  <w:tcW w:w="4336" w:type="dxa"/>
                  <w:tcBorders>
                    <w:tl2br w:val="nil"/>
                    <w:tr2bl w:val="nil"/>
                  </w:tcBorders>
                  <w:vAlign w:val="center"/>
                </w:tcPr>
                <w:p w14:paraId="2AC783B3">
                  <w:pPr>
                    <w:adjustRightInd w:val="0"/>
                    <w:snapToGrid w:val="0"/>
                    <w:spacing w:line="340" w:lineRule="exact"/>
                    <w:ind w:firstLine="420" w:firstLineChars="200"/>
                    <w:rPr>
                      <w:rFonts w:eastAsiaTheme="minorEastAsia"/>
                      <w:szCs w:val="21"/>
                    </w:rPr>
                  </w:pPr>
                  <w:r>
                    <w:rPr>
                      <w:rFonts w:eastAsiaTheme="minorEastAsia"/>
                      <w:szCs w:val="21"/>
                    </w:rPr>
                    <w:t>本项目位于</w:t>
                  </w:r>
                  <w:r>
                    <w:rPr>
                      <w:rFonts w:hint="eastAsia"/>
                      <w:szCs w:val="21"/>
                    </w:rPr>
                    <w:t>威海市环翠区温泉镇刘家台村南</w:t>
                  </w:r>
                  <w:r>
                    <w:rPr>
                      <w:rFonts w:eastAsiaTheme="minorEastAsia"/>
                      <w:szCs w:val="21"/>
                    </w:rPr>
                    <w:t>。项目生产过程产生的有机废气由密闭、负压抽风系统集气，</w:t>
                  </w:r>
                  <w:r>
                    <w:rPr>
                      <w:szCs w:val="21"/>
                    </w:rPr>
                    <w:t>经催化燃烧废气处理装置处理后由1根15m高排气筒达标排放</w:t>
                  </w:r>
                  <w:r>
                    <w:rPr>
                      <w:rFonts w:eastAsiaTheme="minorEastAsia"/>
                      <w:szCs w:val="21"/>
                    </w:rPr>
                    <w:t>。</w:t>
                  </w:r>
                </w:p>
                <w:p w14:paraId="1A535862">
                  <w:pPr>
                    <w:adjustRightInd w:val="0"/>
                    <w:snapToGrid w:val="0"/>
                    <w:spacing w:line="340" w:lineRule="exact"/>
                    <w:ind w:firstLine="420" w:firstLineChars="200"/>
                    <w:rPr>
                      <w:rFonts w:eastAsiaTheme="minorEastAsia"/>
                      <w:szCs w:val="21"/>
                    </w:rPr>
                  </w:pPr>
                  <w:r>
                    <w:rPr>
                      <w:rFonts w:eastAsiaTheme="minorEastAsia"/>
                      <w:szCs w:val="21"/>
                    </w:rPr>
                    <w:t>项目VOCs排放量为</w:t>
                  </w:r>
                  <w:r>
                    <w:rPr>
                      <w:rFonts w:hint="eastAsia" w:eastAsiaTheme="minorEastAsia"/>
                      <w:szCs w:val="21"/>
                    </w:rPr>
                    <w:t>0.197</w:t>
                  </w:r>
                  <w:r>
                    <w:rPr>
                      <w:rFonts w:eastAsiaTheme="minorEastAsia"/>
                      <w:szCs w:val="21"/>
                    </w:rPr>
                    <w:t>t/a，可从威海昱成塑料包装有限公司的VOCs减排量中进行替代，减排量为</w:t>
                  </w:r>
                  <w:r>
                    <w:rPr>
                      <w:rFonts w:hint="eastAsia" w:eastAsiaTheme="minorEastAsia"/>
                      <w:szCs w:val="21"/>
                    </w:rPr>
                    <w:t>0.42</w:t>
                  </w:r>
                  <w:r>
                    <w:rPr>
                      <w:rFonts w:eastAsiaTheme="minorEastAsia"/>
                      <w:szCs w:val="21"/>
                    </w:rPr>
                    <w:t>t，目前剩余量为</w:t>
                  </w:r>
                  <w:r>
                    <w:rPr>
                      <w:rFonts w:hint="eastAsia" w:eastAsiaTheme="minorEastAsia"/>
                      <w:szCs w:val="21"/>
                    </w:rPr>
                    <w:t>0.42</w:t>
                  </w:r>
                  <w:r>
                    <w:rPr>
                      <w:rFonts w:eastAsiaTheme="minorEastAsia"/>
                      <w:szCs w:val="21"/>
                    </w:rPr>
                    <w:t>t，能够满足等量替代的要求，项目VOCs替代源具体说明见附件。</w:t>
                  </w:r>
                </w:p>
              </w:tc>
              <w:tc>
                <w:tcPr>
                  <w:tcW w:w="721" w:type="dxa"/>
                  <w:tcBorders>
                    <w:tl2br w:val="nil"/>
                    <w:tr2bl w:val="nil"/>
                  </w:tcBorders>
                  <w:vAlign w:val="center"/>
                </w:tcPr>
                <w:p w14:paraId="5BFA361D">
                  <w:pPr>
                    <w:adjustRightInd w:val="0"/>
                    <w:snapToGrid w:val="0"/>
                    <w:spacing w:line="340" w:lineRule="exact"/>
                    <w:jc w:val="center"/>
                    <w:rPr>
                      <w:rFonts w:eastAsiaTheme="minorEastAsia"/>
                      <w:szCs w:val="21"/>
                    </w:rPr>
                  </w:pPr>
                  <w:r>
                    <w:rPr>
                      <w:rFonts w:eastAsiaTheme="minorEastAsia"/>
                      <w:szCs w:val="21"/>
                    </w:rPr>
                    <w:t>符合</w:t>
                  </w:r>
                </w:p>
              </w:tc>
            </w:tr>
            <w:tr w14:paraId="6D2A969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4022" w:type="dxa"/>
                  <w:tcBorders>
                    <w:tl2br w:val="nil"/>
                    <w:tr2bl w:val="nil"/>
                  </w:tcBorders>
                  <w:vAlign w:val="center"/>
                </w:tcPr>
                <w:p w14:paraId="7D6554DB">
                  <w:pPr>
                    <w:adjustRightInd w:val="0"/>
                    <w:snapToGrid w:val="0"/>
                    <w:spacing w:line="340" w:lineRule="exact"/>
                    <w:ind w:firstLine="420" w:firstLineChars="200"/>
                    <w:rPr>
                      <w:rFonts w:eastAsiaTheme="minorEastAsia"/>
                      <w:bCs/>
                      <w:kern w:val="0"/>
                      <w:szCs w:val="21"/>
                    </w:rPr>
                  </w:pPr>
                  <w:r>
                    <w:rPr>
                      <w:rFonts w:eastAsiaTheme="minorEastAsia"/>
                      <w:bCs/>
                      <w:kern w:val="0"/>
                      <w:szCs w:val="21"/>
                    </w:rPr>
                    <w:t>3、加快实施工业源VOCs污染防治。</w:t>
                  </w:r>
                </w:p>
                <w:p w14:paraId="0D6C83FF">
                  <w:pPr>
                    <w:adjustRightInd w:val="0"/>
                    <w:snapToGrid w:val="0"/>
                    <w:spacing w:line="340" w:lineRule="exact"/>
                    <w:ind w:firstLine="420" w:firstLineChars="200"/>
                    <w:rPr>
                      <w:rFonts w:eastAsiaTheme="minorEastAsia"/>
                      <w:b/>
                      <w:kern w:val="0"/>
                      <w:szCs w:val="21"/>
                    </w:rPr>
                  </w:pPr>
                  <w:r>
                    <w:rPr>
                      <w:rFonts w:eastAsiaTheme="minorEastAsia"/>
                      <w:bCs/>
                      <w:kern w:val="0"/>
                      <w:szCs w:val="21"/>
                    </w:rPr>
                    <w:t>加强废气收集与处理，有机废气收集效率不低于80%；建设吸附燃烧等高效治理设施，实现达标排放。</w:t>
                  </w:r>
                </w:p>
              </w:tc>
              <w:tc>
                <w:tcPr>
                  <w:tcW w:w="4336" w:type="dxa"/>
                  <w:tcBorders>
                    <w:tl2br w:val="nil"/>
                    <w:tr2bl w:val="nil"/>
                  </w:tcBorders>
                  <w:vAlign w:val="center"/>
                </w:tcPr>
                <w:p w14:paraId="7CDFB6BB">
                  <w:pPr>
                    <w:adjustRightInd w:val="0"/>
                    <w:snapToGrid w:val="0"/>
                    <w:spacing w:line="340" w:lineRule="exact"/>
                    <w:ind w:firstLine="420" w:firstLineChars="200"/>
                    <w:rPr>
                      <w:rFonts w:eastAsiaTheme="minorEastAsia"/>
                      <w:szCs w:val="21"/>
                    </w:rPr>
                  </w:pPr>
                  <w:r>
                    <w:rPr>
                      <w:rFonts w:eastAsiaTheme="minorEastAsia"/>
                      <w:szCs w:val="21"/>
                    </w:rPr>
                    <w:t>项目生产车间采取密闭、负压设计，产生的有机废气经抽风系统收集，收集率约为95％以上，符合有机废气收集效率不低于80%的要求；收集后的废气经催化燃烧废气处理装置处理后（</w:t>
                  </w:r>
                  <w:r>
                    <w:rPr>
                      <w:rFonts w:eastAsiaTheme="minorEastAsia"/>
                      <w:kern w:val="0"/>
                      <w:szCs w:val="21"/>
                      <w:lang w:val="zh-CN"/>
                    </w:rPr>
                    <w:t>处理效率大于</w:t>
                  </w:r>
                  <w:r>
                    <w:rPr>
                      <w:rFonts w:eastAsiaTheme="minorEastAsia"/>
                      <w:kern w:val="0"/>
                      <w:szCs w:val="21"/>
                    </w:rPr>
                    <w:t>90%</w:t>
                  </w:r>
                  <w:r>
                    <w:rPr>
                      <w:rFonts w:eastAsiaTheme="minorEastAsia"/>
                      <w:szCs w:val="21"/>
                    </w:rPr>
                    <w:t>）由1根15m高排气筒达标排放。</w:t>
                  </w:r>
                </w:p>
              </w:tc>
              <w:tc>
                <w:tcPr>
                  <w:tcW w:w="721" w:type="dxa"/>
                  <w:tcBorders>
                    <w:tl2br w:val="nil"/>
                    <w:tr2bl w:val="nil"/>
                  </w:tcBorders>
                  <w:vAlign w:val="center"/>
                </w:tcPr>
                <w:p w14:paraId="08E5E957">
                  <w:pPr>
                    <w:adjustRightInd w:val="0"/>
                    <w:snapToGrid w:val="0"/>
                    <w:spacing w:line="340" w:lineRule="exact"/>
                    <w:jc w:val="center"/>
                    <w:rPr>
                      <w:rFonts w:eastAsiaTheme="minorEastAsia"/>
                      <w:szCs w:val="21"/>
                    </w:rPr>
                  </w:pPr>
                  <w:r>
                    <w:rPr>
                      <w:rFonts w:eastAsiaTheme="minorEastAsia"/>
                      <w:szCs w:val="21"/>
                    </w:rPr>
                    <w:t>符合</w:t>
                  </w:r>
                </w:p>
              </w:tc>
            </w:tr>
          </w:tbl>
          <w:p w14:paraId="39801E7F">
            <w:pPr>
              <w:spacing w:line="360" w:lineRule="auto"/>
              <w:ind w:firstLine="480" w:firstLineChars="200"/>
              <w:textAlignment w:val="baseline"/>
              <w:rPr>
                <w:sz w:val="24"/>
              </w:rPr>
            </w:pPr>
            <w:r>
              <w:rPr>
                <w:sz w:val="24"/>
                <w:szCs w:val="24"/>
              </w:rPr>
              <w:t>综上所述，本项目符合威环发[2018]85号文的相关要求。</w:t>
            </w:r>
          </w:p>
          <w:p w14:paraId="2E59B2CF">
            <w:pPr>
              <w:spacing w:line="360" w:lineRule="auto"/>
              <w:ind w:firstLine="480" w:firstLineChars="200"/>
              <w:textAlignment w:val="baseline"/>
              <w:rPr>
                <w:sz w:val="24"/>
                <w:szCs w:val="24"/>
              </w:rPr>
            </w:pPr>
            <w:r>
              <w:rPr>
                <w:sz w:val="24"/>
              </w:rPr>
              <w:t>（7）</w:t>
            </w:r>
            <w:r>
              <w:rPr>
                <w:sz w:val="24"/>
                <w:szCs w:val="24"/>
              </w:rPr>
              <w:t>与《土壤污染防治行动计划》（土十条）国发〔2016〕31号文符合性分析</w:t>
            </w:r>
          </w:p>
          <w:p w14:paraId="7E454E84">
            <w:pPr>
              <w:spacing w:line="360" w:lineRule="auto"/>
              <w:jc w:val="center"/>
              <w:rPr>
                <w:rFonts w:eastAsiaTheme="minorEastAsia"/>
                <w:b/>
                <w:bCs/>
                <w:sz w:val="24"/>
                <w:szCs w:val="24"/>
              </w:rPr>
            </w:pPr>
            <w:r>
              <w:rPr>
                <w:rFonts w:eastAsiaTheme="minorEastAsia"/>
                <w:b/>
                <w:bCs/>
                <w:sz w:val="24"/>
                <w:szCs w:val="24"/>
              </w:rPr>
              <w:t>表1-9 本项目与国发〔2016〕31号文符合性一览表</w:t>
            </w:r>
          </w:p>
          <w:tbl>
            <w:tblPr>
              <w:tblStyle w:val="27"/>
              <w:tblW w:w="913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03"/>
              <w:gridCol w:w="4992"/>
              <w:gridCol w:w="2521"/>
              <w:gridCol w:w="719"/>
            </w:tblGrid>
            <w:tr w14:paraId="2EB1602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03" w:type="dxa"/>
                  <w:tcBorders>
                    <w:tl2br w:val="nil"/>
                    <w:tr2bl w:val="nil"/>
                  </w:tcBorders>
                  <w:vAlign w:val="center"/>
                </w:tcPr>
                <w:p w14:paraId="60F2E019">
                  <w:pPr>
                    <w:autoSpaceDE w:val="0"/>
                    <w:autoSpaceDN w:val="0"/>
                    <w:adjustRightInd w:val="0"/>
                    <w:snapToGrid w:val="0"/>
                    <w:spacing w:line="340" w:lineRule="exact"/>
                    <w:jc w:val="center"/>
                    <w:rPr>
                      <w:szCs w:val="21"/>
                    </w:rPr>
                  </w:pPr>
                  <w:r>
                    <w:rPr>
                      <w:szCs w:val="21"/>
                    </w:rPr>
                    <w:t>分类</w:t>
                  </w:r>
                </w:p>
              </w:tc>
              <w:tc>
                <w:tcPr>
                  <w:tcW w:w="4992" w:type="dxa"/>
                  <w:tcBorders>
                    <w:tl2br w:val="nil"/>
                    <w:tr2bl w:val="nil"/>
                  </w:tcBorders>
                  <w:vAlign w:val="center"/>
                </w:tcPr>
                <w:p w14:paraId="2B101F3C">
                  <w:pPr>
                    <w:autoSpaceDE w:val="0"/>
                    <w:autoSpaceDN w:val="0"/>
                    <w:adjustRightInd w:val="0"/>
                    <w:snapToGrid w:val="0"/>
                    <w:spacing w:line="340" w:lineRule="exact"/>
                    <w:jc w:val="center"/>
                    <w:rPr>
                      <w:szCs w:val="21"/>
                    </w:rPr>
                  </w:pPr>
                  <w:r>
                    <w:rPr>
                      <w:szCs w:val="21"/>
                    </w:rPr>
                    <w:t>国发〔2016〕31号文要求</w:t>
                  </w:r>
                </w:p>
              </w:tc>
              <w:tc>
                <w:tcPr>
                  <w:tcW w:w="2521" w:type="dxa"/>
                  <w:tcBorders>
                    <w:tl2br w:val="nil"/>
                    <w:tr2bl w:val="nil"/>
                  </w:tcBorders>
                  <w:vAlign w:val="center"/>
                </w:tcPr>
                <w:p w14:paraId="5C8FAAFA">
                  <w:pPr>
                    <w:autoSpaceDE w:val="0"/>
                    <w:autoSpaceDN w:val="0"/>
                    <w:adjustRightInd w:val="0"/>
                    <w:snapToGrid w:val="0"/>
                    <w:spacing w:line="340" w:lineRule="exact"/>
                    <w:jc w:val="center"/>
                    <w:rPr>
                      <w:szCs w:val="21"/>
                    </w:rPr>
                  </w:pPr>
                  <w:r>
                    <w:rPr>
                      <w:szCs w:val="21"/>
                    </w:rPr>
                    <w:t>项目情况</w:t>
                  </w:r>
                </w:p>
              </w:tc>
              <w:tc>
                <w:tcPr>
                  <w:tcW w:w="719" w:type="dxa"/>
                  <w:tcBorders>
                    <w:tl2br w:val="nil"/>
                    <w:tr2bl w:val="nil"/>
                  </w:tcBorders>
                  <w:vAlign w:val="center"/>
                </w:tcPr>
                <w:p w14:paraId="646FAD97">
                  <w:pPr>
                    <w:autoSpaceDE w:val="0"/>
                    <w:autoSpaceDN w:val="0"/>
                    <w:adjustRightInd w:val="0"/>
                    <w:snapToGrid w:val="0"/>
                    <w:spacing w:line="340" w:lineRule="exact"/>
                    <w:jc w:val="center"/>
                    <w:rPr>
                      <w:szCs w:val="21"/>
                    </w:rPr>
                  </w:pPr>
                  <w:r>
                    <w:rPr>
                      <w:szCs w:val="21"/>
                    </w:rPr>
                    <w:t>结论</w:t>
                  </w:r>
                </w:p>
              </w:tc>
            </w:tr>
            <w:tr w14:paraId="0FCCCDD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903" w:type="dxa"/>
                  <w:tcBorders>
                    <w:tl2br w:val="nil"/>
                    <w:tr2bl w:val="nil"/>
                  </w:tcBorders>
                  <w:vAlign w:val="center"/>
                </w:tcPr>
                <w:p w14:paraId="7B9594A4">
                  <w:pPr>
                    <w:autoSpaceDE w:val="0"/>
                    <w:autoSpaceDN w:val="0"/>
                    <w:adjustRightInd w:val="0"/>
                    <w:snapToGrid w:val="0"/>
                    <w:spacing w:line="340" w:lineRule="exact"/>
                    <w:jc w:val="center"/>
                    <w:rPr>
                      <w:szCs w:val="21"/>
                    </w:rPr>
                  </w:pPr>
                  <w:r>
                    <w:rPr>
                      <w:szCs w:val="21"/>
                    </w:rPr>
                    <w:t>切实加大保护力度</w:t>
                  </w:r>
                </w:p>
              </w:tc>
              <w:tc>
                <w:tcPr>
                  <w:tcW w:w="4992" w:type="dxa"/>
                  <w:tcBorders>
                    <w:tl2br w:val="nil"/>
                    <w:tr2bl w:val="nil"/>
                  </w:tcBorders>
                  <w:vAlign w:val="center"/>
                </w:tcPr>
                <w:p w14:paraId="45CCC6CA">
                  <w:pPr>
                    <w:autoSpaceDE w:val="0"/>
                    <w:autoSpaceDN w:val="0"/>
                    <w:adjustRightInd w:val="0"/>
                    <w:snapToGrid w:val="0"/>
                    <w:spacing w:line="340" w:lineRule="exact"/>
                    <w:rPr>
                      <w:szCs w:val="21"/>
                    </w:rPr>
                  </w:pPr>
                  <w:r>
                    <w:rPr>
                      <w:szCs w:val="21"/>
                    </w:rPr>
                    <w:t>防控企业污染。严格控制在优先保护类耕地集中区域新建有色金属冶炼、石油加工、化工、焦化、电镀、制革等行业企业，现有相关行业企业要采用新技术、新工艺，加快提标升级改造步伐</w:t>
                  </w:r>
                  <w:r>
                    <w:rPr>
                      <w:rFonts w:hint="eastAsia"/>
                      <w:szCs w:val="21"/>
                    </w:rPr>
                    <w:t>。</w:t>
                  </w:r>
                </w:p>
              </w:tc>
              <w:tc>
                <w:tcPr>
                  <w:tcW w:w="2521" w:type="dxa"/>
                  <w:tcBorders>
                    <w:tl2br w:val="nil"/>
                    <w:tr2bl w:val="nil"/>
                  </w:tcBorders>
                  <w:vAlign w:val="center"/>
                </w:tcPr>
                <w:p w14:paraId="7280687F">
                  <w:pPr>
                    <w:autoSpaceDE w:val="0"/>
                    <w:autoSpaceDN w:val="0"/>
                    <w:adjustRightInd w:val="0"/>
                    <w:snapToGrid w:val="0"/>
                    <w:spacing w:line="340" w:lineRule="exact"/>
                    <w:jc w:val="center"/>
                    <w:rPr>
                      <w:szCs w:val="21"/>
                    </w:rPr>
                  </w:pPr>
                  <w:r>
                    <w:rPr>
                      <w:szCs w:val="21"/>
                    </w:rPr>
                    <w:t>项目不在耕地集中区域，且不属于控制行业</w:t>
                  </w:r>
                </w:p>
              </w:tc>
              <w:tc>
                <w:tcPr>
                  <w:tcW w:w="719" w:type="dxa"/>
                  <w:tcBorders>
                    <w:tl2br w:val="nil"/>
                    <w:tr2bl w:val="nil"/>
                  </w:tcBorders>
                  <w:vAlign w:val="center"/>
                </w:tcPr>
                <w:p w14:paraId="0BBCF9BE">
                  <w:pPr>
                    <w:autoSpaceDE w:val="0"/>
                    <w:autoSpaceDN w:val="0"/>
                    <w:adjustRightInd w:val="0"/>
                    <w:snapToGrid w:val="0"/>
                    <w:spacing w:line="340" w:lineRule="exact"/>
                    <w:jc w:val="center"/>
                    <w:rPr>
                      <w:szCs w:val="21"/>
                    </w:rPr>
                  </w:pPr>
                  <w:r>
                    <w:rPr>
                      <w:szCs w:val="21"/>
                    </w:rPr>
                    <w:t>符合</w:t>
                  </w:r>
                </w:p>
              </w:tc>
            </w:tr>
            <w:tr w14:paraId="66062C8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72" w:hRule="atLeast"/>
                <w:jc w:val="center"/>
              </w:trPr>
              <w:tc>
                <w:tcPr>
                  <w:tcW w:w="903" w:type="dxa"/>
                  <w:tcBorders>
                    <w:tl2br w:val="nil"/>
                    <w:tr2bl w:val="nil"/>
                  </w:tcBorders>
                  <w:vAlign w:val="center"/>
                </w:tcPr>
                <w:p w14:paraId="37D9D684">
                  <w:pPr>
                    <w:autoSpaceDE w:val="0"/>
                    <w:autoSpaceDN w:val="0"/>
                    <w:adjustRightInd w:val="0"/>
                    <w:snapToGrid w:val="0"/>
                    <w:spacing w:line="340" w:lineRule="exact"/>
                    <w:jc w:val="center"/>
                    <w:rPr>
                      <w:szCs w:val="21"/>
                    </w:rPr>
                  </w:pPr>
                  <w:r>
                    <w:rPr>
                      <w:szCs w:val="21"/>
                    </w:rPr>
                    <w:t>防范建设用地新增污染</w:t>
                  </w:r>
                </w:p>
              </w:tc>
              <w:tc>
                <w:tcPr>
                  <w:tcW w:w="4992" w:type="dxa"/>
                  <w:tcBorders>
                    <w:tl2br w:val="nil"/>
                    <w:tr2bl w:val="nil"/>
                  </w:tcBorders>
                  <w:vAlign w:val="center"/>
                </w:tcPr>
                <w:p w14:paraId="7C899F85">
                  <w:pPr>
                    <w:autoSpaceDE w:val="0"/>
                    <w:autoSpaceDN w:val="0"/>
                    <w:adjustRightInd w:val="0"/>
                    <w:snapToGrid w:val="0"/>
                    <w:spacing w:line="340" w:lineRule="exact"/>
                    <w:rPr>
                      <w:szCs w:val="21"/>
                    </w:rPr>
                  </w:pPr>
                  <w:r>
                    <w:rPr>
                      <w:szCs w:val="21"/>
                    </w:rPr>
                    <w:t>排放重点污染物的建设项目，在开展环境影响评价时，要增加对土壤环境影响的评价内容，并提出防范土壤污染的具体措施；需要建设的土壤污染防治设施，要与主体工程同时设计、同时施工、同时投产使用</w:t>
                  </w:r>
                  <w:r>
                    <w:rPr>
                      <w:rFonts w:hint="eastAsia"/>
                      <w:szCs w:val="21"/>
                    </w:rPr>
                    <w:t>。</w:t>
                  </w:r>
                </w:p>
              </w:tc>
              <w:tc>
                <w:tcPr>
                  <w:tcW w:w="2521" w:type="dxa"/>
                  <w:tcBorders>
                    <w:tl2br w:val="nil"/>
                    <w:tr2bl w:val="nil"/>
                  </w:tcBorders>
                  <w:vAlign w:val="center"/>
                </w:tcPr>
                <w:p w14:paraId="7455FCB4">
                  <w:pPr>
                    <w:autoSpaceDE w:val="0"/>
                    <w:autoSpaceDN w:val="0"/>
                    <w:adjustRightInd w:val="0"/>
                    <w:snapToGrid w:val="0"/>
                    <w:spacing w:line="340" w:lineRule="exact"/>
                    <w:jc w:val="center"/>
                    <w:rPr>
                      <w:szCs w:val="21"/>
                    </w:rPr>
                  </w:pPr>
                  <w:r>
                    <w:rPr>
                      <w:szCs w:val="21"/>
                    </w:rPr>
                    <w:t>项目不属于重点污染物排放项目，地下水防范措施可有效防范土壤污染，与主体工程同时设计、同时施工、同时投产使用</w:t>
                  </w:r>
                </w:p>
              </w:tc>
              <w:tc>
                <w:tcPr>
                  <w:tcW w:w="719" w:type="dxa"/>
                  <w:tcBorders>
                    <w:tl2br w:val="nil"/>
                    <w:tr2bl w:val="nil"/>
                  </w:tcBorders>
                  <w:vAlign w:val="center"/>
                </w:tcPr>
                <w:p w14:paraId="292B4C84">
                  <w:pPr>
                    <w:autoSpaceDE w:val="0"/>
                    <w:autoSpaceDN w:val="0"/>
                    <w:adjustRightInd w:val="0"/>
                    <w:snapToGrid w:val="0"/>
                    <w:spacing w:line="340" w:lineRule="exact"/>
                    <w:jc w:val="center"/>
                    <w:rPr>
                      <w:szCs w:val="21"/>
                    </w:rPr>
                  </w:pPr>
                  <w:r>
                    <w:rPr>
                      <w:szCs w:val="21"/>
                    </w:rPr>
                    <w:t>符合</w:t>
                  </w:r>
                </w:p>
              </w:tc>
            </w:tr>
            <w:tr w14:paraId="74FA605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03" w:type="dxa"/>
                  <w:tcBorders>
                    <w:tl2br w:val="nil"/>
                    <w:tr2bl w:val="nil"/>
                  </w:tcBorders>
                  <w:vAlign w:val="center"/>
                </w:tcPr>
                <w:p w14:paraId="2F35372C">
                  <w:pPr>
                    <w:autoSpaceDE w:val="0"/>
                    <w:autoSpaceDN w:val="0"/>
                    <w:adjustRightInd w:val="0"/>
                    <w:snapToGrid w:val="0"/>
                    <w:spacing w:line="340" w:lineRule="exact"/>
                    <w:jc w:val="center"/>
                    <w:rPr>
                      <w:szCs w:val="21"/>
                    </w:rPr>
                  </w:pPr>
                  <w:r>
                    <w:rPr>
                      <w:szCs w:val="21"/>
                    </w:rPr>
                    <w:t>严控工矿污染</w:t>
                  </w:r>
                </w:p>
              </w:tc>
              <w:tc>
                <w:tcPr>
                  <w:tcW w:w="4992" w:type="dxa"/>
                  <w:tcBorders>
                    <w:tl2br w:val="nil"/>
                    <w:tr2bl w:val="nil"/>
                  </w:tcBorders>
                  <w:vAlign w:val="center"/>
                </w:tcPr>
                <w:p w14:paraId="0907281C">
                  <w:pPr>
                    <w:autoSpaceDE w:val="0"/>
                    <w:autoSpaceDN w:val="0"/>
                    <w:adjustRightInd w:val="0"/>
                    <w:snapToGrid w:val="0"/>
                    <w:spacing w:line="340" w:lineRule="exact"/>
                    <w:rPr>
                      <w:szCs w:val="21"/>
                    </w:rPr>
                  </w:pPr>
                  <w:r>
                    <w:rPr>
                      <w:szCs w:val="21"/>
                    </w:rPr>
                    <w:t>有色金属冶炼、石油加工、化工、焦化、电镀、制革等行业企业拆除生产设施设备、构筑物和污染治理设施，要事先制定残留污染物清理和安全处置方案，并报所在地县级环境保护、工业和信息化部门备案</w:t>
                  </w:r>
                  <w:r>
                    <w:rPr>
                      <w:rFonts w:hint="eastAsia"/>
                      <w:szCs w:val="21"/>
                    </w:rPr>
                    <w:t>。</w:t>
                  </w:r>
                </w:p>
              </w:tc>
              <w:tc>
                <w:tcPr>
                  <w:tcW w:w="2521" w:type="dxa"/>
                  <w:tcBorders>
                    <w:tl2br w:val="nil"/>
                    <w:tr2bl w:val="nil"/>
                  </w:tcBorders>
                  <w:vAlign w:val="center"/>
                </w:tcPr>
                <w:p w14:paraId="76D17E43">
                  <w:pPr>
                    <w:autoSpaceDE w:val="0"/>
                    <w:autoSpaceDN w:val="0"/>
                    <w:adjustRightInd w:val="0"/>
                    <w:snapToGrid w:val="0"/>
                    <w:spacing w:line="340" w:lineRule="exact"/>
                    <w:jc w:val="center"/>
                    <w:rPr>
                      <w:szCs w:val="21"/>
                    </w:rPr>
                  </w:pPr>
                  <w:r>
                    <w:rPr>
                      <w:szCs w:val="21"/>
                    </w:rPr>
                    <w:t>项目污染物均可妥善安全处理且不属于重点管控行业</w:t>
                  </w:r>
                </w:p>
              </w:tc>
              <w:tc>
                <w:tcPr>
                  <w:tcW w:w="719" w:type="dxa"/>
                  <w:tcBorders>
                    <w:tl2br w:val="nil"/>
                    <w:tr2bl w:val="nil"/>
                  </w:tcBorders>
                  <w:vAlign w:val="center"/>
                </w:tcPr>
                <w:p w14:paraId="44917E2F">
                  <w:pPr>
                    <w:autoSpaceDE w:val="0"/>
                    <w:autoSpaceDN w:val="0"/>
                    <w:adjustRightInd w:val="0"/>
                    <w:snapToGrid w:val="0"/>
                    <w:spacing w:line="340" w:lineRule="exact"/>
                    <w:jc w:val="center"/>
                    <w:rPr>
                      <w:szCs w:val="21"/>
                    </w:rPr>
                  </w:pPr>
                  <w:r>
                    <w:rPr>
                      <w:szCs w:val="21"/>
                    </w:rPr>
                    <w:t>符合</w:t>
                  </w:r>
                </w:p>
              </w:tc>
            </w:tr>
          </w:tbl>
          <w:p w14:paraId="184D4CE5">
            <w:pPr>
              <w:spacing w:line="360" w:lineRule="auto"/>
              <w:ind w:firstLine="480" w:firstLineChars="200"/>
              <w:jc w:val="left"/>
              <w:outlineLvl w:val="2"/>
              <w:rPr>
                <w:sz w:val="24"/>
              </w:rPr>
            </w:pPr>
            <w:r>
              <w:rPr>
                <w:sz w:val="24"/>
                <w:szCs w:val="24"/>
              </w:rPr>
              <w:t>综上所述，本项目符合国发〔2016〕31号文的相关要求。</w:t>
            </w:r>
          </w:p>
          <w:p w14:paraId="4C11F88D">
            <w:pPr>
              <w:spacing w:line="360" w:lineRule="auto"/>
              <w:ind w:firstLine="480" w:firstLineChars="200"/>
              <w:textAlignment w:val="baseline"/>
              <w:rPr>
                <w:rFonts w:eastAsiaTheme="minorEastAsia"/>
                <w:sz w:val="24"/>
                <w:szCs w:val="24"/>
              </w:rPr>
            </w:pPr>
            <w:r>
              <w:rPr>
                <w:sz w:val="24"/>
              </w:rPr>
              <w:t>（8）</w:t>
            </w:r>
            <w:r>
              <w:rPr>
                <w:rFonts w:eastAsiaTheme="minorEastAsia"/>
                <w:sz w:val="24"/>
                <w:szCs w:val="24"/>
              </w:rPr>
              <w:t>与《山东省2013—2020年大气污染防治规划》（</w:t>
            </w:r>
            <w:r>
              <w:rPr>
                <w:sz w:val="24"/>
                <w:szCs w:val="24"/>
              </w:rPr>
              <w:t>鲁政发〔2018〕17号</w:t>
            </w:r>
            <w:r>
              <w:rPr>
                <w:rFonts w:eastAsiaTheme="minorEastAsia"/>
                <w:sz w:val="24"/>
                <w:szCs w:val="24"/>
              </w:rPr>
              <w:t>）文符合性分析</w:t>
            </w:r>
          </w:p>
          <w:p w14:paraId="7912D3BF">
            <w:pPr>
              <w:spacing w:line="360" w:lineRule="auto"/>
              <w:jc w:val="center"/>
              <w:rPr>
                <w:rFonts w:eastAsiaTheme="minorEastAsia"/>
                <w:b/>
                <w:sz w:val="24"/>
                <w:szCs w:val="24"/>
              </w:rPr>
            </w:pPr>
            <w:r>
              <w:rPr>
                <w:rFonts w:eastAsiaTheme="minorEastAsia"/>
                <w:b/>
                <w:sz w:val="24"/>
                <w:szCs w:val="24"/>
              </w:rPr>
              <w:t>表1-10 本项目与鲁政发〔2018〕17号的符合性分析</w:t>
            </w:r>
          </w:p>
          <w:tbl>
            <w:tblPr>
              <w:tblStyle w:val="27"/>
              <w:tblW w:w="907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04"/>
              <w:gridCol w:w="1282"/>
              <w:gridCol w:w="4920"/>
              <w:gridCol w:w="1452"/>
              <w:gridCol w:w="919"/>
            </w:tblGrid>
            <w:tr w14:paraId="6928E65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786" w:type="dxa"/>
                  <w:gridSpan w:val="2"/>
                  <w:tcBorders>
                    <w:tl2br w:val="nil"/>
                    <w:tr2bl w:val="nil"/>
                  </w:tcBorders>
                  <w:vAlign w:val="center"/>
                </w:tcPr>
                <w:p w14:paraId="3569F056">
                  <w:pPr>
                    <w:autoSpaceDE w:val="0"/>
                    <w:autoSpaceDN w:val="0"/>
                    <w:adjustRightInd w:val="0"/>
                    <w:jc w:val="center"/>
                    <w:rPr>
                      <w:kern w:val="0"/>
                      <w:szCs w:val="21"/>
                      <w:lang w:val="zh-CN"/>
                    </w:rPr>
                  </w:pPr>
                  <w:r>
                    <w:rPr>
                      <w:kern w:val="0"/>
                      <w:szCs w:val="21"/>
                      <w:lang w:val="zh-CN"/>
                    </w:rPr>
                    <w:t>分类</w:t>
                  </w:r>
                </w:p>
              </w:tc>
              <w:tc>
                <w:tcPr>
                  <w:tcW w:w="4920" w:type="dxa"/>
                  <w:tcBorders>
                    <w:tl2br w:val="nil"/>
                    <w:tr2bl w:val="nil"/>
                  </w:tcBorders>
                  <w:vAlign w:val="center"/>
                </w:tcPr>
                <w:p w14:paraId="4D3A9511">
                  <w:pPr>
                    <w:autoSpaceDE w:val="0"/>
                    <w:autoSpaceDN w:val="0"/>
                    <w:adjustRightInd w:val="0"/>
                    <w:jc w:val="center"/>
                    <w:rPr>
                      <w:kern w:val="0"/>
                      <w:szCs w:val="21"/>
                      <w:lang w:val="zh-CN"/>
                    </w:rPr>
                  </w:pPr>
                  <w:r>
                    <w:rPr>
                      <w:kern w:val="0"/>
                      <w:szCs w:val="21"/>
                    </w:rPr>
                    <w:t>鲁政发[2018]17号文</w:t>
                  </w:r>
                  <w:r>
                    <w:rPr>
                      <w:kern w:val="0"/>
                      <w:szCs w:val="21"/>
                      <w:lang w:val="zh-CN"/>
                    </w:rPr>
                    <w:t>要求</w:t>
                  </w:r>
                </w:p>
              </w:tc>
              <w:tc>
                <w:tcPr>
                  <w:tcW w:w="1452" w:type="dxa"/>
                  <w:tcBorders>
                    <w:tl2br w:val="nil"/>
                    <w:tr2bl w:val="nil"/>
                  </w:tcBorders>
                  <w:vAlign w:val="center"/>
                </w:tcPr>
                <w:p w14:paraId="0ADB9E74">
                  <w:pPr>
                    <w:autoSpaceDE w:val="0"/>
                    <w:autoSpaceDN w:val="0"/>
                    <w:adjustRightInd w:val="0"/>
                    <w:jc w:val="center"/>
                    <w:rPr>
                      <w:kern w:val="0"/>
                      <w:szCs w:val="21"/>
                      <w:lang w:val="zh-CN"/>
                    </w:rPr>
                  </w:pPr>
                  <w:r>
                    <w:rPr>
                      <w:kern w:val="0"/>
                      <w:szCs w:val="21"/>
                      <w:lang w:val="zh-CN"/>
                    </w:rPr>
                    <w:t>项目情况</w:t>
                  </w:r>
                </w:p>
              </w:tc>
              <w:tc>
                <w:tcPr>
                  <w:tcW w:w="919" w:type="dxa"/>
                  <w:tcBorders>
                    <w:tl2br w:val="nil"/>
                    <w:tr2bl w:val="nil"/>
                  </w:tcBorders>
                  <w:vAlign w:val="center"/>
                </w:tcPr>
                <w:p w14:paraId="041E51F6">
                  <w:pPr>
                    <w:autoSpaceDE w:val="0"/>
                    <w:autoSpaceDN w:val="0"/>
                    <w:adjustRightInd w:val="0"/>
                    <w:jc w:val="center"/>
                    <w:rPr>
                      <w:kern w:val="0"/>
                      <w:szCs w:val="21"/>
                      <w:lang w:val="zh-CN"/>
                    </w:rPr>
                  </w:pPr>
                  <w:r>
                    <w:rPr>
                      <w:kern w:val="0"/>
                      <w:szCs w:val="21"/>
                      <w:lang w:val="zh-CN"/>
                    </w:rPr>
                    <w:t>符合性</w:t>
                  </w:r>
                </w:p>
              </w:tc>
            </w:tr>
            <w:tr w14:paraId="18464A7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504" w:type="dxa"/>
                  <w:vMerge w:val="restart"/>
                  <w:tcBorders>
                    <w:tl2br w:val="nil"/>
                    <w:tr2bl w:val="nil"/>
                  </w:tcBorders>
                  <w:vAlign w:val="center"/>
                </w:tcPr>
                <w:p w14:paraId="024DD03F">
                  <w:pPr>
                    <w:autoSpaceDE w:val="0"/>
                    <w:autoSpaceDN w:val="0"/>
                    <w:adjustRightInd w:val="0"/>
                    <w:jc w:val="center"/>
                    <w:rPr>
                      <w:kern w:val="0"/>
                      <w:szCs w:val="21"/>
                    </w:rPr>
                  </w:pPr>
                  <w:r>
                    <w:rPr>
                      <w:kern w:val="0"/>
                      <w:szCs w:val="21"/>
                    </w:rPr>
                    <w:t>优化</w:t>
                  </w:r>
                </w:p>
                <w:p w14:paraId="1A823615">
                  <w:pPr>
                    <w:autoSpaceDE w:val="0"/>
                    <w:autoSpaceDN w:val="0"/>
                    <w:adjustRightInd w:val="0"/>
                    <w:jc w:val="center"/>
                    <w:rPr>
                      <w:kern w:val="0"/>
                      <w:szCs w:val="21"/>
                    </w:rPr>
                  </w:pPr>
                  <w:r>
                    <w:rPr>
                      <w:kern w:val="0"/>
                      <w:szCs w:val="21"/>
                    </w:rPr>
                    <w:t>结构</w:t>
                  </w:r>
                </w:p>
                <w:p w14:paraId="0FD656C3">
                  <w:pPr>
                    <w:autoSpaceDE w:val="0"/>
                    <w:autoSpaceDN w:val="0"/>
                    <w:adjustRightInd w:val="0"/>
                    <w:jc w:val="center"/>
                    <w:rPr>
                      <w:kern w:val="0"/>
                      <w:szCs w:val="21"/>
                    </w:rPr>
                  </w:pPr>
                  <w:r>
                    <w:rPr>
                      <w:kern w:val="0"/>
                      <w:szCs w:val="21"/>
                    </w:rPr>
                    <w:t>与</w:t>
                  </w:r>
                </w:p>
                <w:p w14:paraId="3CBBA2FB">
                  <w:pPr>
                    <w:autoSpaceDE w:val="0"/>
                    <w:autoSpaceDN w:val="0"/>
                    <w:adjustRightInd w:val="0"/>
                    <w:jc w:val="center"/>
                    <w:rPr>
                      <w:kern w:val="0"/>
                      <w:szCs w:val="21"/>
                    </w:rPr>
                  </w:pPr>
                  <w:r>
                    <w:rPr>
                      <w:kern w:val="0"/>
                      <w:szCs w:val="21"/>
                    </w:rPr>
                    <w:t>布局</w:t>
                  </w:r>
                </w:p>
              </w:tc>
              <w:tc>
                <w:tcPr>
                  <w:tcW w:w="1282" w:type="dxa"/>
                  <w:tcBorders>
                    <w:tl2br w:val="nil"/>
                    <w:tr2bl w:val="nil"/>
                  </w:tcBorders>
                  <w:vAlign w:val="center"/>
                </w:tcPr>
                <w:p w14:paraId="61B67249">
                  <w:pPr>
                    <w:autoSpaceDE w:val="0"/>
                    <w:autoSpaceDN w:val="0"/>
                    <w:adjustRightInd w:val="0"/>
                    <w:jc w:val="center"/>
                    <w:rPr>
                      <w:kern w:val="0"/>
                      <w:szCs w:val="21"/>
                    </w:rPr>
                  </w:pPr>
                  <w:r>
                    <w:rPr>
                      <w:kern w:val="0"/>
                      <w:szCs w:val="21"/>
                    </w:rPr>
                    <w:t>着力调整产业结构</w:t>
                  </w:r>
                </w:p>
              </w:tc>
              <w:tc>
                <w:tcPr>
                  <w:tcW w:w="4920" w:type="dxa"/>
                  <w:tcBorders>
                    <w:tl2br w:val="nil"/>
                    <w:tr2bl w:val="nil"/>
                  </w:tcBorders>
                  <w:vAlign w:val="center"/>
                </w:tcPr>
                <w:p w14:paraId="032F2103">
                  <w:pPr>
                    <w:autoSpaceDE w:val="0"/>
                    <w:autoSpaceDN w:val="0"/>
                    <w:adjustRightInd w:val="0"/>
                    <w:jc w:val="center"/>
                    <w:rPr>
                      <w:kern w:val="0"/>
                      <w:szCs w:val="21"/>
                      <w:lang w:val="zh-CN"/>
                    </w:rPr>
                  </w:pPr>
                  <w:r>
                    <w:rPr>
                      <w:kern w:val="0"/>
                      <w:szCs w:val="21"/>
                      <w:lang w:val="zh-CN"/>
                    </w:rPr>
                    <w:t>加大落后产能淘汰和过剩产能压减力度，严格执行质量、环保、能耗、安全等法规标准，推动钢铁、地炼、电解铝、焦化、轮胎、化肥、氯碱等高耗能行业转型升级</w:t>
                  </w:r>
                </w:p>
              </w:tc>
              <w:tc>
                <w:tcPr>
                  <w:tcW w:w="1452" w:type="dxa"/>
                  <w:tcBorders>
                    <w:tl2br w:val="nil"/>
                    <w:tr2bl w:val="nil"/>
                  </w:tcBorders>
                  <w:vAlign w:val="center"/>
                </w:tcPr>
                <w:p w14:paraId="67C4658B">
                  <w:pPr>
                    <w:autoSpaceDE w:val="0"/>
                    <w:autoSpaceDN w:val="0"/>
                    <w:adjustRightInd w:val="0"/>
                    <w:jc w:val="center"/>
                    <w:rPr>
                      <w:kern w:val="0"/>
                      <w:szCs w:val="21"/>
                    </w:rPr>
                  </w:pPr>
                  <w:r>
                    <w:rPr>
                      <w:kern w:val="0"/>
                      <w:szCs w:val="21"/>
                    </w:rPr>
                    <w:t>项目不属于落后和过剩产能行业</w:t>
                  </w:r>
                </w:p>
              </w:tc>
              <w:tc>
                <w:tcPr>
                  <w:tcW w:w="919" w:type="dxa"/>
                  <w:tcBorders>
                    <w:tl2br w:val="nil"/>
                    <w:tr2bl w:val="nil"/>
                  </w:tcBorders>
                  <w:vAlign w:val="center"/>
                </w:tcPr>
                <w:p w14:paraId="0F2A5BE0">
                  <w:pPr>
                    <w:autoSpaceDE w:val="0"/>
                    <w:autoSpaceDN w:val="0"/>
                    <w:adjustRightInd w:val="0"/>
                    <w:jc w:val="center"/>
                    <w:rPr>
                      <w:kern w:val="0"/>
                      <w:szCs w:val="21"/>
                      <w:lang w:val="zh-CN"/>
                    </w:rPr>
                  </w:pPr>
                  <w:r>
                    <w:rPr>
                      <w:kern w:val="0"/>
                      <w:szCs w:val="21"/>
                      <w:lang w:val="zh-CN"/>
                    </w:rPr>
                    <w:t>符合</w:t>
                  </w:r>
                </w:p>
              </w:tc>
            </w:tr>
            <w:tr w14:paraId="6577654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504" w:type="dxa"/>
                  <w:vMerge w:val="continue"/>
                  <w:tcBorders>
                    <w:tl2br w:val="nil"/>
                    <w:tr2bl w:val="nil"/>
                  </w:tcBorders>
                  <w:vAlign w:val="center"/>
                </w:tcPr>
                <w:p w14:paraId="06E4899E">
                  <w:pPr>
                    <w:autoSpaceDE w:val="0"/>
                    <w:autoSpaceDN w:val="0"/>
                    <w:adjustRightInd w:val="0"/>
                    <w:jc w:val="center"/>
                    <w:rPr>
                      <w:kern w:val="0"/>
                      <w:szCs w:val="21"/>
                    </w:rPr>
                  </w:pPr>
                </w:p>
              </w:tc>
              <w:tc>
                <w:tcPr>
                  <w:tcW w:w="1282" w:type="dxa"/>
                  <w:tcBorders>
                    <w:tl2br w:val="nil"/>
                    <w:tr2bl w:val="nil"/>
                  </w:tcBorders>
                  <w:vAlign w:val="center"/>
                </w:tcPr>
                <w:p w14:paraId="12F444EC">
                  <w:pPr>
                    <w:autoSpaceDE w:val="0"/>
                    <w:autoSpaceDN w:val="0"/>
                    <w:adjustRightInd w:val="0"/>
                    <w:jc w:val="center"/>
                    <w:rPr>
                      <w:kern w:val="0"/>
                      <w:szCs w:val="21"/>
                    </w:rPr>
                  </w:pPr>
                  <w:r>
                    <w:rPr>
                      <w:kern w:val="0"/>
                      <w:szCs w:val="21"/>
                    </w:rPr>
                    <w:t>持续实施“散乱污”企业整治</w:t>
                  </w:r>
                </w:p>
              </w:tc>
              <w:tc>
                <w:tcPr>
                  <w:tcW w:w="4920" w:type="dxa"/>
                  <w:tcBorders>
                    <w:tl2br w:val="nil"/>
                    <w:tr2bl w:val="nil"/>
                  </w:tcBorders>
                  <w:vAlign w:val="center"/>
                </w:tcPr>
                <w:p w14:paraId="35F8633C">
                  <w:pPr>
                    <w:autoSpaceDE w:val="0"/>
                    <w:autoSpaceDN w:val="0"/>
                    <w:adjustRightInd w:val="0"/>
                    <w:jc w:val="center"/>
                    <w:rPr>
                      <w:kern w:val="0"/>
                      <w:szCs w:val="21"/>
                      <w:lang w:val="zh-CN"/>
                    </w:rPr>
                  </w:pPr>
                  <w:r>
                    <w:rPr>
                      <w:kern w:val="0"/>
                      <w:szCs w:val="21"/>
                      <w:lang w:val="zh-CN"/>
                    </w:rPr>
                    <w:t>根据产业政策、产业布局规划，以及土地、环保、质量、安全、能耗等要求，按照国家的“散乱污”企业及集群整治标准，将“散乱污”企业及集群整治到位。</w:t>
                  </w:r>
                </w:p>
              </w:tc>
              <w:tc>
                <w:tcPr>
                  <w:tcW w:w="1452" w:type="dxa"/>
                  <w:tcBorders>
                    <w:tl2br w:val="nil"/>
                    <w:tr2bl w:val="nil"/>
                  </w:tcBorders>
                  <w:vAlign w:val="center"/>
                </w:tcPr>
                <w:p w14:paraId="53A6A105">
                  <w:pPr>
                    <w:autoSpaceDE w:val="0"/>
                    <w:autoSpaceDN w:val="0"/>
                    <w:adjustRightInd w:val="0"/>
                    <w:jc w:val="center"/>
                    <w:rPr>
                      <w:kern w:val="0"/>
                      <w:szCs w:val="21"/>
                    </w:rPr>
                  </w:pPr>
                  <w:r>
                    <w:rPr>
                      <w:kern w:val="0"/>
                      <w:szCs w:val="21"/>
                    </w:rPr>
                    <w:t>项目不属于“散乱污”企业</w:t>
                  </w:r>
                </w:p>
              </w:tc>
              <w:tc>
                <w:tcPr>
                  <w:tcW w:w="919" w:type="dxa"/>
                  <w:tcBorders>
                    <w:tl2br w:val="nil"/>
                    <w:tr2bl w:val="nil"/>
                  </w:tcBorders>
                  <w:vAlign w:val="center"/>
                </w:tcPr>
                <w:p w14:paraId="7CE2DE70">
                  <w:pPr>
                    <w:autoSpaceDE w:val="0"/>
                    <w:autoSpaceDN w:val="0"/>
                    <w:adjustRightInd w:val="0"/>
                    <w:jc w:val="center"/>
                    <w:rPr>
                      <w:kern w:val="0"/>
                      <w:szCs w:val="21"/>
                      <w:lang w:val="zh-CN"/>
                    </w:rPr>
                  </w:pPr>
                  <w:r>
                    <w:rPr>
                      <w:kern w:val="0"/>
                      <w:szCs w:val="21"/>
                      <w:lang w:val="zh-CN"/>
                    </w:rPr>
                    <w:t>符合</w:t>
                  </w:r>
                </w:p>
              </w:tc>
            </w:tr>
            <w:tr w14:paraId="1CD8DB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504" w:type="dxa"/>
                  <w:vMerge w:val="continue"/>
                  <w:tcBorders>
                    <w:tl2br w:val="nil"/>
                    <w:tr2bl w:val="nil"/>
                  </w:tcBorders>
                  <w:vAlign w:val="center"/>
                </w:tcPr>
                <w:p w14:paraId="2E0469B6">
                  <w:pPr>
                    <w:autoSpaceDE w:val="0"/>
                    <w:autoSpaceDN w:val="0"/>
                    <w:adjustRightInd w:val="0"/>
                    <w:jc w:val="center"/>
                    <w:rPr>
                      <w:kern w:val="0"/>
                      <w:szCs w:val="21"/>
                    </w:rPr>
                  </w:pPr>
                </w:p>
              </w:tc>
              <w:tc>
                <w:tcPr>
                  <w:tcW w:w="1282" w:type="dxa"/>
                  <w:tcBorders>
                    <w:tl2br w:val="nil"/>
                    <w:tr2bl w:val="nil"/>
                  </w:tcBorders>
                  <w:vAlign w:val="center"/>
                </w:tcPr>
                <w:p w14:paraId="454A1448">
                  <w:pPr>
                    <w:autoSpaceDE w:val="0"/>
                    <w:autoSpaceDN w:val="0"/>
                    <w:adjustRightInd w:val="0"/>
                    <w:jc w:val="center"/>
                    <w:rPr>
                      <w:kern w:val="0"/>
                      <w:szCs w:val="21"/>
                      <w:lang w:val="zh-CN"/>
                    </w:rPr>
                  </w:pPr>
                  <w:r>
                    <w:rPr>
                      <w:kern w:val="0"/>
                      <w:szCs w:val="21"/>
                    </w:rPr>
                    <w:t>严格控制“两高”行业新增产能</w:t>
                  </w:r>
                </w:p>
              </w:tc>
              <w:tc>
                <w:tcPr>
                  <w:tcW w:w="4920" w:type="dxa"/>
                  <w:tcBorders>
                    <w:tl2br w:val="nil"/>
                    <w:tr2bl w:val="nil"/>
                  </w:tcBorders>
                  <w:vAlign w:val="center"/>
                </w:tcPr>
                <w:p w14:paraId="1C5E27DA">
                  <w:pPr>
                    <w:autoSpaceDE w:val="0"/>
                    <w:autoSpaceDN w:val="0"/>
                    <w:adjustRightInd w:val="0"/>
                    <w:jc w:val="center"/>
                    <w:rPr>
                      <w:kern w:val="0"/>
                      <w:szCs w:val="21"/>
                      <w:lang w:val="zh-CN"/>
                    </w:rPr>
                  </w:pPr>
                  <w:r>
                    <w:rPr>
                      <w:kern w:val="0"/>
                      <w:szCs w:val="21"/>
                      <w:lang w:val="zh-CN"/>
                    </w:rPr>
                    <w:t>严禁新增钢铁、焦化、电解铝、铸造、水泥和平板玻璃等产能；严格执行钢铁、水泥、平板玻璃等行业产能置换实施办法。</w:t>
                  </w:r>
                </w:p>
              </w:tc>
              <w:tc>
                <w:tcPr>
                  <w:tcW w:w="1452" w:type="dxa"/>
                  <w:tcBorders>
                    <w:tl2br w:val="nil"/>
                    <w:tr2bl w:val="nil"/>
                  </w:tcBorders>
                  <w:vAlign w:val="center"/>
                </w:tcPr>
                <w:p w14:paraId="459CA0E6">
                  <w:pPr>
                    <w:autoSpaceDE w:val="0"/>
                    <w:autoSpaceDN w:val="0"/>
                    <w:adjustRightInd w:val="0"/>
                    <w:jc w:val="center"/>
                    <w:rPr>
                      <w:kern w:val="0"/>
                      <w:szCs w:val="21"/>
                    </w:rPr>
                  </w:pPr>
                  <w:r>
                    <w:rPr>
                      <w:kern w:val="0"/>
                      <w:szCs w:val="21"/>
                    </w:rPr>
                    <w:t>项目不属于两高行业</w:t>
                  </w:r>
                </w:p>
              </w:tc>
              <w:tc>
                <w:tcPr>
                  <w:tcW w:w="919" w:type="dxa"/>
                  <w:tcBorders>
                    <w:tl2br w:val="nil"/>
                    <w:tr2bl w:val="nil"/>
                  </w:tcBorders>
                  <w:vAlign w:val="center"/>
                </w:tcPr>
                <w:p w14:paraId="04AD05EA">
                  <w:pPr>
                    <w:autoSpaceDE w:val="0"/>
                    <w:autoSpaceDN w:val="0"/>
                    <w:adjustRightInd w:val="0"/>
                    <w:jc w:val="center"/>
                    <w:rPr>
                      <w:kern w:val="0"/>
                      <w:szCs w:val="21"/>
                      <w:lang w:val="zh-CN"/>
                    </w:rPr>
                  </w:pPr>
                  <w:r>
                    <w:rPr>
                      <w:kern w:val="0"/>
                      <w:szCs w:val="21"/>
                      <w:lang w:val="zh-CN"/>
                    </w:rPr>
                    <w:t>符合</w:t>
                  </w:r>
                </w:p>
              </w:tc>
            </w:tr>
            <w:tr w14:paraId="29CE5AD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51" w:hRule="atLeast"/>
                <w:jc w:val="center"/>
              </w:trPr>
              <w:tc>
                <w:tcPr>
                  <w:tcW w:w="504" w:type="dxa"/>
                  <w:vMerge w:val="restart"/>
                  <w:tcBorders>
                    <w:tl2br w:val="nil"/>
                    <w:tr2bl w:val="nil"/>
                  </w:tcBorders>
                  <w:vAlign w:val="center"/>
                </w:tcPr>
                <w:p w14:paraId="54F4A494">
                  <w:pPr>
                    <w:autoSpaceDE w:val="0"/>
                    <w:autoSpaceDN w:val="0"/>
                    <w:adjustRightInd w:val="0"/>
                    <w:jc w:val="center"/>
                    <w:rPr>
                      <w:kern w:val="0"/>
                      <w:szCs w:val="21"/>
                    </w:rPr>
                  </w:pPr>
                  <w:r>
                    <w:rPr>
                      <w:kern w:val="0"/>
                      <w:szCs w:val="21"/>
                    </w:rPr>
                    <w:t>强化</w:t>
                  </w:r>
                  <w:r>
                    <w:rPr>
                      <w:kern w:val="0"/>
                      <w:szCs w:val="21"/>
                      <w:lang w:val="zh-CN"/>
                    </w:rPr>
                    <w:t>污染</w:t>
                  </w:r>
                  <w:r>
                    <w:rPr>
                      <w:kern w:val="0"/>
                      <w:szCs w:val="21"/>
                    </w:rPr>
                    <w:t>综合防治</w:t>
                  </w:r>
                </w:p>
              </w:tc>
              <w:tc>
                <w:tcPr>
                  <w:tcW w:w="1282" w:type="dxa"/>
                  <w:tcBorders>
                    <w:tl2br w:val="nil"/>
                    <w:tr2bl w:val="nil"/>
                  </w:tcBorders>
                  <w:vAlign w:val="center"/>
                </w:tcPr>
                <w:p w14:paraId="29C68617">
                  <w:pPr>
                    <w:autoSpaceDE w:val="0"/>
                    <w:autoSpaceDN w:val="0"/>
                    <w:adjustRightInd w:val="0"/>
                    <w:jc w:val="center"/>
                    <w:rPr>
                      <w:kern w:val="0"/>
                      <w:szCs w:val="21"/>
                      <w:lang w:val="zh-CN"/>
                    </w:rPr>
                  </w:pPr>
                  <w:r>
                    <w:rPr>
                      <w:kern w:val="0"/>
                      <w:szCs w:val="21"/>
                      <w:lang w:val="zh-CN"/>
                    </w:rPr>
                    <w:t>全面实施排污许可管理</w:t>
                  </w:r>
                </w:p>
              </w:tc>
              <w:tc>
                <w:tcPr>
                  <w:tcW w:w="4920" w:type="dxa"/>
                  <w:tcBorders>
                    <w:tl2br w:val="nil"/>
                    <w:tr2bl w:val="nil"/>
                  </w:tcBorders>
                  <w:vAlign w:val="center"/>
                </w:tcPr>
                <w:p w14:paraId="1AEE8E61">
                  <w:pPr>
                    <w:autoSpaceDE w:val="0"/>
                    <w:autoSpaceDN w:val="0"/>
                    <w:adjustRightInd w:val="0"/>
                    <w:jc w:val="center"/>
                    <w:rPr>
                      <w:kern w:val="0"/>
                      <w:szCs w:val="21"/>
                      <w:lang w:val="zh-CN"/>
                    </w:rPr>
                  </w:pPr>
                  <w:r>
                    <w:rPr>
                      <w:kern w:val="0"/>
                      <w:szCs w:val="21"/>
                      <w:lang w:val="zh-CN"/>
                    </w:rPr>
                    <w:t>加快推进排污许可证核发工作，各市要按照《排污许可证管理暂行规定》的申请与核发程序，制定排污许可证核发时间表，在《固定污染源排污许可分类管理名录（2017年版）》中规定的时间节点完成，到2020年，完成排污许可分类管理名录规定的行业许可证核发。</w:t>
                  </w:r>
                </w:p>
              </w:tc>
              <w:tc>
                <w:tcPr>
                  <w:tcW w:w="1452" w:type="dxa"/>
                  <w:tcBorders>
                    <w:tl2br w:val="nil"/>
                    <w:tr2bl w:val="nil"/>
                  </w:tcBorders>
                  <w:vAlign w:val="center"/>
                </w:tcPr>
                <w:p w14:paraId="37AB79F4">
                  <w:pPr>
                    <w:autoSpaceDE w:val="0"/>
                    <w:autoSpaceDN w:val="0"/>
                    <w:adjustRightInd w:val="0"/>
                    <w:jc w:val="center"/>
                    <w:rPr>
                      <w:kern w:val="0"/>
                      <w:szCs w:val="21"/>
                    </w:rPr>
                  </w:pPr>
                  <w:r>
                    <w:rPr>
                      <w:kern w:val="0"/>
                      <w:szCs w:val="21"/>
                    </w:rPr>
                    <w:t>项目将按照要求尽快办理排污许可证</w:t>
                  </w:r>
                </w:p>
              </w:tc>
              <w:tc>
                <w:tcPr>
                  <w:tcW w:w="919" w:type="dxa"/>
                  <w:tcBorders>
                    <w:tl2br w:val="nil"/>
                    <w:tr2bl w:val="nil"/>
                  </w:tcBorders>
                  <w:vAlign w:val="center"/>
                </w:tcPr>
                <w:p w14:paraId="08738711">
                  <w:pPr>
                    <w:autoSpaceDE w:val="0"/>
                    <w:autoSpaceDN w:val="0"/>
                    <w:adjustRightInd w:val="0"/>
                    <w:jc w:val="center"/>
                    <w:rPr>
                      <w:kern w:val="0"/>
                      <w:szCs w:val="21"/>
                      <w:lang w:val="zh-CN"/>
                    </w:rPr>
                  </w:pPr>
                  <w:r>
                    <w:rPr>
                      <w:kern w:val="0"/>
                      <w:szCs w:val="21"/>
                      <w:lang w:val="zh-CN"/>
                    </w:rPr>
                    <w:t>符合</w:t>
                  </w:r>
                </w:p>
              </w:tc>
            </w:tr>
            <w:tr w14:paraId="62D3A0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89" w:hRule="atLeast"/>
                <w:jc w:val="center"/>
              </w:trPr>
              <w:tc>
                <w:tcPr>
                  <w:tcW w:w="504" w:type="dxa"/>
                  <w:vMerge w:val="continue"/>
                  <w:tcBorders>
                    <w:tl2br w:val="nil"/>
                    <w:tr2bl w:val="nil"/>
                  </w:tcBorders>
                  <w:vAlign w:val="center"/>
                </w:tcPr>
                <w:p w14:paraId="7FBE3BE1">
                  <w:pPr>
                    <w:autoSpaceDE w:val="0"/>
                    <w:autoSpaceDN w:val="0"/>
                    <w:adjustRightInd w:val="0"/>
                    <w:jc w:val="center"/>
                    <w:rPr>
                      <w:kern w:val="0"/>
                      <w:szCs w:val="21"/>
                      <w:lang w:val="zh-CN"/>
                    </w:rPr>
                  </w:pPr>
                </w:p>
              </w:tc>
              <w:tc>
                <w:tcPr>
                  <w:tcW w:w="1282" w:type="dxa"/>
                  <w:tcBorders>
                    <w:tl2br w:val="nil"/>
                    <w:tr2bl w:val="nil"/>
                  </w:tcBorders>
                  <w:vAlign w:val="center"/>
                </w:tcPr>
                <w:p w14:paraId="2DC91842">
                  <w:pPr>
                    <w:autoSpaceDE w:val="0"/>
                    <w:autoSpaceDN w:val="0"/>
                    <w:adjustRightInd w:val="0"/>
                    <w:jc w:val="center"/>
                    <w:rPr>
                      <w:kern w:val="0"/>
                      <w:szCs w:val="21"/>
                      <w:lang w:val="zh-CN"/>
                    </w:rPr>
                  </w:pPr>
                  <w:r>
                    <w:rPr>
                      <w:kern w:val="0"/>
                      <w:szCs w:val="21"/>
                      <w:lang w:val="zh-CN"/>
                    </w:rPr>
                    <w:t>工业污染源全面达标排放</w:t>
                  </w:r>
                </w:p>
              </w:tc>
              <w:tc>
                <w:tcPr>
                  <w:tcW w:w="4920" w:type="dxa"/>
                  <w:tcBorders>
                    <w:tl2br w:val="nil"/>
                    <w:tr2bl w:val="nil"/>
                  </w:tcBorders>
                  <w:vAlign w:val="center"/>
                </w:tcPr>
                <w:p w14:paraId="3E026704">
                  <w:pPr>
                    <w:autoSpaceDE w:val="0"/>
                    <w:autoSpaceDN w:val="0"/>
                    <w:adjustRightInd w:val="0"/>
                    <w:jc w:val="center"/>
                    <w:rPr>
                      <w:kern w:val="0"/>
                      <w:szCs w:val="21"/>
                      <w:lang w:val="zh-CN"/>
                    </w:rPr>
                  </w:pPr>
                  <w:r>
                    <w:rPr>
                      <w:kern w:val="0"/>
                      <w:szCs w:val="21"/>
                      <w:lang w:val="zh-CN"/>
                    </w:rPr>
                    <w:t>持续推进工业污染源提标改造。7个传输通道城市二氧化硫、氮氧化物、颗粒物、挥发性有机物（VOCs）全面执行大气污染物特别排放限值。全省推动实施钢铁等行业超低排放改造。</w:t>
                  </w:r>
                </w:p>
              </w:tc>
              <w:tc>
                <w:tcPr>
                  <w:tcW w:w="1452" w:type="dxa"/>
                  <w:tcBorders>
                    <w:tl2br w:val="nil"/>
                    <w:tr2bl w:val="nil"/>
                  </w:tcBorders>
                  <w:vAlign w:val="center"/>
                </w:tcPr>
                <w:p w14:paraId="2ADBB597">
                  <w:pPr>
                    <w:autoSpaceDE w:val="0"/>
                    <w:autoSpaceDN w:val="0"/>
                    <w:adjustRightInd w:val="0"/>
                    <w:jc w:val="center"/>
                    <w:rPr>
                      <w:kern w:val="0"/>
                      <w:szCs w:val="21"/>
                    </w:rPr>
                  </w:pPr>
                  <w:r>
                    <w:rPr>
                      <w:kern w:val="0"/>
                      <w:szCs w:val="21"/>
                    </w:rPr>
                    <w:t>项目对有机废气进行了治理，符合相关标准</w:t>
                  </w:r>
                </w:p>
              </w:tc>
              <w:tc>
                <w:tcPr>
                  <w:tcW w:w="919" w:type="dxa"/>
                  <w:tcBorders>
                    <w:tl2br w:val="nil"/>
                    <w:tr2bl w:val="nil"/>
                  </w:tcBorders>
                  <w:vAlign w:val="center"/>
                </w:tcPr>
                <w:p w14:paraId="656A3626">
                  <w:pPr>
                    <w:autoSpaceDE w:val="0"/>
                    <w:autoSpaceDN w:val="0"/>
                    <w:adjustRightInd w:val="0"/>
                    <w:jc w:val="center"/>
                    <w:rPr>
                      <w:kern w:val="0"/>
                      <w:szCs w:val="21"/>
                      <w:lang w:val="zh-CN"/>
                    </w:rPr>
                  </w:pPr>
                  <w:r>
                    <w:rPr>
                      <w:kern w:val="0"/>
                      <w:szCs w:val="21"/>
                      <w:lang w:val="zh-CN"/>
                    </w:rPr>
                    <w:t>符合</w:t>
                  </w:r>
                </w:p>
              </w:tc>
            </w:tr>
            <w:tr w14:paraId="11976EC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504" w:type="dxa"/>
                  <w:vMerge w:val="continue"/>
                  <w:tcBorders>
                    <w:tl2br w:val="nil"/>
                    <w:tr2bl w:val="nil"/>
                  </w:tcBorders>
                  <w:vAlign w:val="center"/>
                </w:tcPr>
                <w:p w14:paraId="2DF47FDF">
                  <w:pPr>
                    <w:autoSpaceDE w:val="0"/>
                    <w:autoSpaceDN w:val="0"/>
                    <w:adjustRightInd w:val="0"/>
                    <w:jc w:val="center"/>
                    <w:rPr>
                      <w:kern w:val="0"/>
                      <w:szCs w:val="21"/>
                      <w:lang w:val="zh-CN"/>
                    </w:rPr>
                  </w:pPr>
                </w:p>
              </w:tc>
              <w:tc>
                <w:tcPr>
                  <w:tcW w:w="1282" w:type="dxa"/>
                  <w:tcBorders>
                    <w:tl2br w:val="nil"/>
                    <w:tr2bl w:val="nil"/>
                  </w:tcBorders>
                  <w:vAlign w:val="center"/>
                </w:tcPr>
                <w:p w14:paraId="53A7CD3B">
                  <w:pPr>
                    <w:autoSpaceDE w:val="0"/>
                    <w:autoSpaceDN w:val="0"/>
                    <w:adjustRightInd w:val="0"/>
                    <w:jc w:val="center"/>
                    <w:rPr>
                      <w:kern w:val="0"/>
                      <w:szCs w:val="21"/>
                      <w:lang w:val="zh-CN"/>
                    </w:rPr>
                  </w:pPr>
                  <w:r>
                    <w:rPr>
                      <w:kern w:val="0"/>
                      <w:szCs w:val="21"/>
                      <w:lang w:val="zh-CN"/>
                    </w:rPr>
                    <w:t>加强VOCs专项整治</w:t>
                  </w:r>
                </w:p>
              </w:tc>
              <w:tc>
                <w:tcPr>
                  <w:tcW w:w="4920" w:type="dxa"/>
                  <w:tcBorders>
                    <w:tl2br w:val="nil"/>
                    <w:tr2bl w:val="nil"/>
                  </w:tcBorders>
                  <w:vAlign w:val="center"/>
                </w:tcPr>
                <w:p w14:paraId="74E5E5D9">
                  <w:pPr>
                    <w:autoSpaceDE w:val="0"/>
                    <w:autoSpaceDN w:val="0"/>
                    <w:adjustRightInd w:val="0"/>
                    <w:jc w:val="center"/>
                    <w:rPr>
                      <w:kern w:val="0"/>
                      <w:szCs w:val="21"/>
                      <w:lang w:val="zh-CN"/>
                    </w:rPr>
                  </w:pPr>
                  <w:r>
                    <w:rPr>
                      <w:kern w:val="0"/>
                      <w:szCs w:val="21"/>
                      <w:lang w:val="zh-CN"/>
                    </w:rPr>
                    <w:t>落实《山东省“十三五”挥发性有机物污染防治工作方案》，采取源头削减、过程控制、末端治理全过程防控措施，全面加强VOCs污染防治。</w:t>
                  </w:r>
                </w:p>
              </w:tc>
              <w:tc>
                <w:tcPr>
                  <w:tcW w:w="1452" w:type="dxa"/>
                  <w:tcBorders>
                    <w:tl2br w:val="nil"/>
                    <w:tr2bl w:val="nil"/>
                  </w:tcBorders>
                  <w:vAlign w:val="center"/>
                </w:tcPr>
                <w:p w14:paraId="17552890">
                  <w:pPr>
                    <w:autoSpaceDE w:val="0"/>
                    <w:autoSpaceDN w:val="0"/>
                    <w:adjustRightInd w:val="0"/>
                    <w:jc w:val="center"/>
                    <w:rPr>
                      <w:kern w:val="0"/>
                      <w:szCs w:val="21"/>
                    </w:rPr>
                  </w:pPr>
                  <w:r>
                    <w:rPr>
                      <w:kern w:val="0"/>
                      <w:szCs w:val="21"/>
                    </w:rPr>
                    <w:t>项目对有机废气进行了治理</w:t>
                  </w:r>
                </w:p>
              </w:tc>
              <w:tc>
                <w:tcPr>
                  <w:tcW w:w="919" w:type="dxa"/>
                  <w:tcBorders>
                    <w:tl2br w:val="nil"/>
                    <w:tr2bl w:val="nil"/>
                  </w:tcBorders>
                  <w:vAlign w:val="center"/>
                </w:tcPr>
                <w:p w14:paraId="289627BC">
                  <w:pPr>
                    <w:autoSpaceDE w:val="0"/>
                    <w:autoSpaceDN w:val="0"/>
                    <w:adjustRightInd w:val="0"/>
                    <w:jc w:val="center"/>
                    <w:rPr>
                      <w:kern w:val="0"/>
                      <w:szCs w:val="21"/>
                      <w:lang w:val="zh-CN"/>
                    </w:rPr>
                  </w:pPr>
                  <w:r>
                    <w:rPr>
                      <w:kern w:val="0"/>
                      <w:szCs w:val="21"/>
                      <w:lang w:val="zh-CN"/>
                    </w:rPr>
                    <w:t>符合</w:t>
                  </w:r>
                </w:p>
              </w:tc>
            </w:tr>
          </w:tbl>
          <w:p w14:paraId="266F9854">
            <w:pPr>
              <w:spacing w:line="360" w:lineRule="auto"/>
              <w:ind w:firstLine="480" w:firstLineChars="200"/>
              <w:jc w:val="left"/>
              <w:outlineLvl w:val="2"/>
              <w:rPr>
                <w:sz w:val="24"/>
              </w:rPr>
            </w:pPr>
            <w:r>
              <w:rPr>
                <w:sz w:val="24"/>
                <w:szCs w:val="24"/>
              </w:rPr>
              <w:t>综上所述，本项目符合鲁政发〔2018〕17号文的相关要求。</w:t>
            </w:r>
          </w:p>
          <w:p w14:paraId="09AF9FF1">
            <w:pPr>
              <w:spacing w:line="360" w:lineRule="auto"/>
              <w:ind w:firstLine="480" w:firstLineChars="200"/>
              <w:jc w:val="left"/>
              <w:outlineLvl w:val="2"/>
              <w:rPr>
                <w:sz w:val="24"/>
                <w:szCs w:val="24"/>
              </w:rPr>
            </w:pPr>
            <w:r>
              <w:rPr>
                <w:sz w:val="24"/>
                <w:szCs w:val="24"/>
              </w:rPr>
              <w:t>（9）与《水污染防治行动计划》（水十条）国发〔2015〕17号文符合性分析</w:t>
            </w:r>
          </w:p>
          <w:p w14:paraId="3044EAF8">
            <w:pPr>
              <w:spacing w:line="360" w:lineRule="auto"/>
              <w:jc w:val="center"/>
              <w:outlineLvl w:val="2"/>
              <w:rPr>
                <w:b/>
                <w:sz w:val="24"/>
                <w:szCs w:val="24"/>
              </w:rPr>
            </w:pPr>
            <w:r>
              <w:rPr>
                <w:b/>
                <w:sz w:val="24"/>
                <w:szCs w:val="24"/>
              </w:rPr>
              <w:t>表1-11  本项目与国发〔2015〕17号文的符合性分析</w:t>
            </w:r>
          </w:p>
          <w:tbl>
            <w:tblPr>
              <w:tblStyle w:val="27"/>
              <w:tblW w:w="897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85"/>
              <w:gridCol w:w="5280"/>
              <w:gridCol w:w="1701"/>
              <w:gridCol w:w="906"/>
            </w:tblGrid>
            <w:tr w14:paraId="5E7B63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1085" w:type="dxa"/>
                  <w:tcBorders>
                    <w:tl2br w:val="nil"/>
                    <w:tr2bl w:val="nil"/>
                  </w:tcBorders>
                  <w:vAlign w:val="center"/>
                </w:tcPr>
                <w:p w14:paraId="02811306">
                  <w:pPr>
                    <w:autoSpaceDE w:val="0"/>
                    <w:autoSpaceDN w:val="0"/>
                    <w:adjustRightInd w:val="0"/>
                    <w:jc w:val="center"/>
                    <w:rPr>
                      <w:kern w:val="0"/>
                      <w:szCs w:val="21"/>
                    </w:rPr>
                  </w:pPr>
                  <w:r>
                    <w:rPr>
                      <w:kern w:val="0"/>
                      <w:szCs w:val="21"/>
                    </w:rPr>
                    <w:t>分类</w:t>
                  </w:r>
                </w:p>
              </w:tc>
              <w:tc>
                <w:tcPr>
                  <w:tcW w:w="5280" w:type="dxa"/>
                  <w:tcBorders>
                    <w:tl2br w:val="nil"/>
                    <w:tr2bl w:val="nil"/>
                  </w:tcBorders>
                  <w:vAlign w:val="center"/>
                </w:tcPr>
                <w:p w14:paraId="1F06C6BC">
                  <w:pPr>
                    <w:autoSpaceDE w:val="0"/>
                    <w:autoSpaceDN w:val="0"/>
                    <w:adjustRightInd w:val="0"/>
                    <w:jc w:val="center"/>
                    <w:rPr>
                      <w:kern w:val="0"/>
                      <w:szCs w:val="21"/>
                      <w:lang w:val="zh-CN"/>
                    </w:rPr>
                  </w:pPr>
                  <w:r>
                    <w:rPr>
                      <w:kern w:val="0"/>
                      <w:szCs w:val="21"/>
                    </w:rPr>
                    <w:t>国发〔2015〕17号文</w:t>
                  </w:r>
                  <w:r>
                    <w:rPr>
                      <w:kern w:val="0"/>
                      <w:szCs w:val="21"/>
                      <w:lang w:val="zh-CN"/>
                    </w:rPr>
                    <w:t>要求</w:t>
                  </w:r>
                </w:p>
              </w:tc>
              <w:tc>
                <w:tcPr>
                  <w:tcW w:w="1701" w:type="dxa"/>
                  <w:tcBorders>
                    <w:tl2br w:val="nil"/>
                    <w:tr2bl w:val="nil"/>
                  </w:tcBorders>
                  <w:vAlign w:val="center"/>
                </w:tcPr>
                <w:p w14:paraId="7597377E">
                  <w:pPr>
                    <w:autoSpaceDE w:val="0"/>
                    <w:autoSpaceDN w:val="0"/>
                    <w:adjustRightInd w:val="0"/>
                    <w:jc w:val="center"/>
                    <w:rPr>
                      <w:kern w:val="0"/>
                      <w:szCs w:val="21"/>
                      <w:lang w:val="zh-CN"/>
                    </w:rPr>
                  </w:pPr>
                  <w:r>
                    <w:rPr>
                      <w:kern w:val="0"/>
                      <w:szCs w:val="21"/>
                      <w:lang w:val="zh-CN"/>
                    </w:rPr>
                    <w:t>项目情况</w:t>
                  </w:r>
                </w:p>
              </w:tc>
              <w:tc>
                <w:tcPr>
                  <w:tcW w:w="906" w:type="dxa"/>
                  <w:tcBorders>
                    <w:tl2br w:val="nil"/>
                    <w:tr2bl w:val="nil"/>
                  </w:tcBorders>
                  <w:vAlign w:val="center"/>
                </w:tcPr>
                <w:p w14:paraId="37FD549D">
                  <w:pPr>
                    <w:autoSpaceDE w:val="0"/>
                    <w:autoSpaceDN w:val="0"/>
                    <w:adjustRightInd w:val="0"/>
                    <w:jc w:val="center"/>
                    <w:rPr>
                      <w:kern w:val="0"/>
                      <w:szCs w:val="21"/>
                      <w:lang w:val="zh-CN"/>
                    </w:rPr>
                  </w:pPr>
                  <w:r>
                    <w:rPr>
                      <w:kern w:val="0"/>
                      <w:szCs w:val="21"/>
                      <w:lang w:val="zh-CN"/>
                    </w:rPr>
                    <w:t>符合性</w:t>
                  </w:r>
                </w:p>
              </w:tc>
            </w:tr>
            <w:tr w14:paraId="20F92E4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71" w:hRule="atLeast"/>
                <w:jc w:val="center"/>
              </w:trPr>
              <w:tc>
                <w:tcPr>
                  <w:tcW w:w="1085" w:type="dxa"/>
                  <w:vMerge w:val="restart"/>
                  <w:tcBorders>
                    <w:tl2br w:val="nil"/>
                    <w:tr2bl w:val="nil"/>
                  </w:tcBorders>
                  <w:vAlign w:val="center"/>
                </w:tcPr>
                <w:p w14:paraId="1D174C8C">
                  <w:pPr>
                    <w:autoSpaceDE w:val="0"/>
                    <w:autoSpaceDN w:val="0"/>
                    <w:adjustRightInd w:val="0"/>
                    <w:jc w:val="center"/>
                    <w:rPr>
                      <w:kern w:val="0"/>
                      <w:szCs w:val="21"/>
                    </w:rPr>
                  </w:pPr>
                  <w:r>
                    <w:rPr>
                      <w:kern w:val="0"/>
                      <w:szCs w:val="21"/>
                    </w:rPr>
                    <w:t>全面控制</w:t>
                  </w:r>
                </w:p>
                <w:p w14:paraId="30CA27DA">
                  <w:pPr>
                    <w:autoSpaceDE w:val="0"/>
                    <w:autoSpaceDN w:val="0"/>
                    <w:adjustRightInd w:val="0"/>
                    <w:jc w:val="center"/>
                    <w:rPr>
                      <w:kern w:val="0"/>
                      <w:szCs w:val="21"/>
                    </w:rPr>
                  </w:pPr>
                  <w:r>
                    <w:rPr>
                      <w:kern w:val="0"/>
                      <w:szCs w:val="21"/>
                    </w:rPr>
                    <w:t>污染物排放</w:t>
                  </w:r>
                </w:p>
              </w:tc>
              <w:tc>
                <w:tcPr>
                  <w:tcW w:w="5280" w:type="dxa"/>
                  <w:tcBorders>
                    <w:tl2br w:val="nil"/>
                    <w:tr2bl w:val="nil"/>
                  </w:tcBorders>
                  <w:vAlign w:val="center"/>
                </w:tcPr>
                <w:p w14:paraId="27496A97">
                  <w:pPr>
                    <w:autoSpaceDE w:val="0"/>
                    <w:autoSpaceDN w:val="0"/>
                    <w:adjustRightInd w:val="0"/>
                    <w:jc w:val="center"/>
                    <w:rPr>
                      <w:kern w:val="0"/>
                      <w:szCs w:val="21"/>
                      <w:lang w:val="zh-CN"/>
                    </w:rPr>
                  </w:pPr>
                  <w:r>
                    <w:rPr>
                      <w:kern w:val="0"/>
                      <w:szCs w:val="21"/>
                      <w:lang w:val="zh-CN"/>
                    </w:rPr>
                    <w:t>狠抓工业污染防治。取缔“十小”企业。全面排查装备水平低、环保设施差的小型工业企业。2016年底前，按照水污染防治法律法规要求，全部取缔不符合国家产业政策的小型造纸、制革、印染、染料、炼焦、炼硫、炼砷、炼油、电镀、农药等严重污染水环境的生产项目。</w:t>
                  </w:r>
                </w:p>
              </w:tc>
              <w:tc>
                <w:tcPr>
                  <w:tcW w:w="1701" w:type="dxa"/>
                  <w:tcBorders>
                    <w:tl2br w:val="nil"/>
                    <w:tr2bl w:val="nil"/>
                  </w:tcBorders>
                  <w:vAlign w:val="center"/>
                </w:tcPr>
                <w:p w14:paraId="77BA33A1">
                  <w:pPr>
                    <w:autoSpaceDE w:val="0"/>
                    <w:autoSpaceDN w:val="0"/>
                    <w:adjustRightInd w:val="0"/>
                    <w:jc w:val="center"/>
                    <w:rPr>
                      <w:kern w:val="0"/>
                      <w:szCs w:val="21"/>
                    </w:rPr>
                  </w:pPr>
                  <w:r>
                    <w:rPr>
                      <w:kern w:val="0"/>
                      <w:szCs w:val="21"/>
                    </w:rPr>
                    <w:t>本项目不属于“十小”企业。</w:t>
                  </w:r>
                </w:p>
              </w:tc>
              <w:tc>
                <w:tcPr>
                  <w:tcW w:w="906" w:type="dxa"/>
                  <w:tcBorders>
                    <w:tl2br w:val="nil"/>
                    <w:tr2bl w:val="nil"/>
                  </w:tcBorders>
                  <w:vAlign w:val="center"/>
                </w:tcPr>
                <w:p w14:paraId="7121375E">
                  <w:pPr>
                    <w:autoSpaceDE w:val="0"/>
                    <w:autoSpaceDN w:val="0"/>
                    <w:adjustRightInd w:val="0"/>
                    <w:jc w:val="center"/>
                    <w:rPr>
                      <w:kern w:val="0"/>
                      <w:szCs w:val="21"/>
                      <w:lang w:val="zh-CN"/>
                    </w:rPr>
                  </w:pPr>
                  <w:r>
                    <w:rPr>
                      <w:kern w:val="0"/>
                      <w:szCs w:val="21"/>
                      <w:lang w:val="zh-CN"/>
                    </w:rPr>
                    <w:t>符合</w:t>
                  </w:r>
                </w:p>
              </w:tc>
            </w:tr>
            <w:tr w14:paraId="241C4C8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03" w:hRule="atLeast"/>
                <w:jc w:val="center"/>
              </w:trPr>
              <w:tc>
                <w:tcPr>
                  <w:tcW w:w="1085" w:type="dxa"/>
                  <w:vMerge w:val="continue"/>
                  <w:tcBorders>
                    <w:tl2br w:val="nil"/>
                    <w:tr2bl w:val="nil"/>
                  </w:tcBorders>
                  <w:vAlign w:val="center"/>
                </w:tcPr>
                <w:p w14:paraId="499F4E37">
                  <w:pPr>
                    <w:autoSpaceDE w:val="0"/>
                    <w:autoSpaceDN w:val="0"/>
                    <w:adjustRightInd w:val="0"/>
                    <w:jc w:val="center"/>
                    <w:rPr>
                      <w:kern w:val="0"/>
                      <w:szCs w:val="21"/>
                    </w:rPr>
                  </w:pPr>
                </w:p>
              </w:tc>
              <w:tc>
                <w:tcPr>
                  <w:tcW w:w="5280" w:type="dxa"/>
                  <w:tcBorders>
                    <w:tl2br w:val="nil"/>
                    <w:tr2bl w:val="nil"/>
                  </w:tcBorders>
                  <w:vAlign w:val="center"/>
                </w:tcPr>
                <w:p w14:paraId="6ECA23DB">
                  <w:pPr>
                    <w:autoSpaceDE w:val="0"/>
                    <w:autoSpaceDN w:val="0"/>
                    <w:adjustRightInd w:val="0"/>
                    <w:jc w:val="center"/>
                    <w:rPr>
                      <w:kern w:val="0"/>
                      <w:szCs w:val="21"/>
                      <w:lang w:val="zh-CN"/>
                    </w:rPr>
                  </w:pPr>
                  <w:r>
                    <w:rPr>
                      <w:kern w:val="0"/>
                      <w:szCs w:val="21"/>
                      <w:lang w:val="zh-CN"/>
                    </w:rPr>
                    <w:t>专项整治十大重点行业。制定造纸、焦化、氮肥、有色金属、印染、农副食品、加工、原料药制造、制革、农药、电镀等行业专项治理方案，实施清洁化改造。新建、改建、扩建上述行业建设项目实行主要污染物排放等量或减量置换。</w:t>
                  </w:r>
                </w:p>
              </w:tc>
              <w:tc>
                <w:tcPr>
                  <w:tcW w:w="1701" w:type="dxa"/>
                  <w:tcBorders>
                    <w:tl2br w:val="nil"/>
                    <w:tr2bl w:val="nil"/>
                  </w:tcBorders>
                  <w:vAlign w:val="center"/>
                </w:tcPr>
                <w:p w14:paraId="46491257">
                  <w:pPr>
                    <w:autoSpaceDE w:val="0"/>
                    <w:autoSpaceDN w:val="0"/>
                    <w:adjustRightInd w:val="0"/>
                    <w:jc w:val="center"/>
                    <w:rPr>
                      <w:kern w:val="0"/>
                      <w:szCs w:val="21"/>
                    </w:rPr>
                  </w:pPr>
                  <w:r>
                    <w:rPr>
                      <w:kern w:val="0"/>
                      <w:szCs w:val="21"/>
                    </w:rPr>
                    <w:t xml:space="preserve">本项目不属于十大重点行业。 </w:t>
                  </w:r>
                </w:p>
              </w:tc>
              <w:tc>
                <w:tcPr>
                  <w:tcW w:w="906" w:type="dxa"/>
                  <w:tcBorders>
                    <w:tl2br w:val="nil"/>
                    <w:tr2bl w:val="nil"/>
                  </w:tcBorders>
                  <w:vAlign w:val="center"/>
                </w:tcPr>
                <w:p w14:paraId="543517A5">
                  <w:pPr>
                    <w:autoSpaceDE w:val="0"/>
                    <w:autoSpaceDN w:val="0"/>
                    <w:adjustRightInd w:val="0"/>
                    <w:jc w:val="center"/>
                    <w:rPr>
                      <w:kern w:val="0"/>
                      <w:szCs w:val="21"/>
                    </w:rPr>
                  </w:pPr>
                  <w:r>
                    <w:rPr>
                      <w:kern w:val="0"/>
                      <w:szCs w:val="21"/>
                    </w:rPr>
                    <w:t>符合</w:t>
                  </w:r>
                </w:p>
              </w:tc>
            </w:tr>
            <w:tr w14:paraId="4DF4CD4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55" w:hRule="atLeast"/>
                <w:jc w:val="center"/>
              </w:trPr>
              <w:tc>
                <w:tcPr>
                  <w:tcW w:w="1085" w:type="dxa"/>
                  <w:vMerge w:val="continue"/>
                  <w:tcBorders>
                    <w:tl2br w:val="nil"/>
                    <w:tr2bl w:val="nil"/>
                  </w:tcBorders>
                  <w:vAlign w:val="center"/>
                </w:tcPr>
                <w:p w14:paraId="0FF6D810">
                  <w:pPr>
                    <w:autoSpaceDE w:val="0"/>
                    <w:autoSpaceDN w:val="0"/>
                    <w:adjustRightInd w:val="0"/>
                    <w:jc w:val="center"/>
                    <w:rPr>
                      <w:kern w:val="0"/>
                      <w:szCs w:val="21"/>
                      <w:lang w:val="zh-CN"/>
                    </w:rPr>
                  </w:pPr>
                </w:p>
              </w:tc>
              <w:tc>
                <w:tcPr>
                  <w:tcW w:w="5280" w:type="dxa"/>
                  <w:tcBorders>
                    <w:tl2br w:val="nil"/>
                    <w:tr2bl w:val="nil"/>
                  </w:tcBorders>
                  <w:vAlign w:val="center"/>
                </w:tcPr>
                <w:p w14:paraId="1620701E">
                  <w:pPr>
                    <w:autoSpaceDE w:val="0"/>
                    <w:autoSpaceDN w:val="0"/>
                    <w:adjustRightInd w:val="0"/>
                    <w:jc w:val="center"/>
                    <w:rPr>
                      <w:kern w:val="0"/>
                      <w:szCs w:val="21"/>
                      <w:lang w:val="zh-CN"/>
                    </w:rPr>
                  </w:pPr>
                  <w:r>
                    <w:rPr>
                      <w:kern w:val="0"/>
                      <w:szCs w:val="21"/>
                      <w:lang w:val="zh-CN"/>
                    </w:rPr>
                    <w:t>集中治理工业集聚区水污染。强化经济技术开发区、高新技术产业开发区、出口加工区等工业集聚区污染治理。集聚区内工业废水必须经预处理达到集中处理要求，方可进入污水集中处理设施。新建、升级工业集聚区应同步规划、建设污水、垃圾集中处理等污染治理设施。</w:t>
                  </w:r>
                </w:p>
              </w:tc>
              <w:tc>
                <w:tcPr>
                  <w:tcW w:w="1701" w:type="dxa"/>
                  <w:tcBorders>
                    <w:tl2br w:val="nil"/>
                    <w:tr2bl w:val="nil"/>
                  </w:tcBorders>
                  <w:vAlign w:val="center"/>
                </w:tcPr>
                <w:p w14:paraId="677A6E80">
                  <w:pPr>
                    <w:autoSpaceDE w:val="0"/>
                    <w:autoSpaceDN w:val="0"/>
                    <w:adjustRightInd w:val="0"/>
                    <w:jc w:val="center"/>
                    <w:rPr>
                      <w:rFonts w:hint="eastAsia" w:eastAsia="宋体"/>
                      <w:kern w:val="0"/>
                      <w:szCs w:val="21"/>
                      <w:lang w:eastAsia="zh-CN"/>
                    </w:rPr>
                  </w:pPr>
                  <w:r>
                    <w:rPr>
                      <w:kern w:val="0"/>
                      <w:szCs w:val="21"/>
                    </w:rPr>
                    <w:t>废水</w:t>
                  </w:r>
                  <w:r>
                    <w:rPr>
                      <w:rFonts w:hint="eastAsia"/>
                      <w:kern w:val="0"/>
                      <w:szCs w:val="21"/>
                      <w:lang w:val="en-US" w:eastAsia="zh-CN"/>
                    </w:rPr>
                    <w:t>经沉淀池预处理后定期由罐车抽送至威海经区污水处理厂，</w:t>
                  </w:r>
                  <w:r>
                    <w:rPr>
                      <w:kern w:val="0"/>
                      <w:szCs w:val="21"/>
                    </w:rPr>
                    <w:t>满足《污水排入城镇下水道水质标准》（GB/T31962-2015）B级标准要求</w:t>
                  </w:r>
                  <w:r>
                    <w:rPr>
                      <w:rFonts w:hint="eastAsia"/>
                      <w:kern w:val="0"/>
                      <w:szCs w:val="21"/>
                      <w:lang w:eastAsia="zh-CN"/>
                    </w:rPr>
                    <w:t>。</w:t>
                  </w:r>
                </w:p>
              </w:tc>
              <w:tc>
                <w:tcPr>
                  <w:tcW w:w="906" w:type="dxa"/>
                  <w:tcBorders>
                    <w:tl2br w:val="nil"/>
                    <w:tr2bl w:val="nil"/>
                  </w:tcBorders>
                  <w:vAlign w:val="center"/>
                </w:tcPr>
                <w:p w14:paraId="63EDC8BC">
                  <w:pPr>
                    <w:autoSpaceDE w:val="0"/>
                    <w:autoSpaceDN w:val="0"/>
                    <w:adjustRightInd w:val="0"/>
                    <w:jc w:val="center"/>
                    <w:rPr>
                      <w:kern w:val="0"/>
                      <w:szCs w:val="21"/>
                    </w:rPr>
                  </w:pPr>
                  <w:r>
                    <w:rPr>
                      <w:kern w:val="0"/>
                      <w:szCs w:val="21"/>
                    </w:rPr>
                    <w:t>符合</w:t>
                  </w:r>
                </w:p>
              </w:tc>
            </w:tr>
            <w:tr w14:paraId="3F62AEF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1085" w:type="dxa"/>
                  <w:vMerge w:val="restart"/>
                  <w:tcBorders>
                    <w:tl2br w:val="nil"/>
                    <w:tr2bl w:val="nil"/>
                  </w:tcBorders>
                  <w:vAlign w:val="center"/>
                </w:tcPr>
                <w:p w14:paraId="1B02BF3D">
                  <w:pPr>
                    <w:autoSpaceDE w:val="0"/>
                    <w:autoSpaceDN w:val="0"/>
                    <w:adjustRightInd w:val="0"/>
                    <w:jc w:val="center"/>
                    <w:rPr>
                      <w:kern w:val="0"/>
                      <w:szCs w:val="21"/>
                    </w:rPr>
                  </w:pPr>
                  <w:r>
                    <w:rPr>
                      <w:kern w:val="0"/>
                      <w:szCs w:val="21"/>
                    </w:rPr>
                    <w:t>推动经济结构</w:t>
                  </w:r>
                </w:p>
                <w:p w14:paraId="0A97CA7A">
                  <w:pPr>
                    <w:autoSpaceDE w:val="0"/>
                    <w:autoSpaceDN w:val="0"/>
                    <w:adjustRightInd w:val="0"/>
                    <w:jc w:val="center"/>
                    <w:rPr>
                      <w:kern w:val="0"/>
                      <w:szCs w:val="21"/>
                    </w:rPr>
                  </w:pPr>
                  <w:r>
                    <w:rPr>
                      <w:kern w:val="0"/>
                      <w:szCs w:val="21"/>
                    </w:rPr>
                    <w:t>转型升级</w:t>
                  </w:r>
                </w:p>
              </w:tc>
              <w:tc>
                <w:tcPr>
                  <w:tcW w:w="5280" w:type="dxa"/>
                  <w:tcBorders>
                    <w:tl2br w:val="nil"/>
                    <w:tr2bl w:val="nil"/>
                  </w:tcBorders>
                  <w:vAlign w:val="center"/>
                </w:tcPr>
                <w:p w14:paraId="6B82369A">
                  <w:pPr>
                    <w:autoSpaceDE w:val="0"/>
                    <w:autoSpaceDN w:val="0"/>
                    <w:adjustRightInd w:val="0"/>
                    <w:jc w:val="center"/>
                    <w:rPr>
                      <w:kern w:val="0"/>
                      <w:szCs w:val="21"/>
                      <w:lang w:val="zh-CN"/>
                    </w:rPr>
                  </w:pPr>
                  <w:r>
                    <w:rPr>
                      <w:kern w:val="0"/>
                      <w:szCs w:val="21"/>
                      <w:lang w:val="zh-CN"/>
                    </w:rPr>
                    <w:t>调整产业结构。依法淘汰落后产能。严格环境准入。根据流域水质目标和主体功能区规划要求，明确区域环境准入条件，细化功能分区，实施差别化环境准入政策。</w:t>
                  </w:r>
                </w:p>
              </w:tc>
              <w:tc>
                <w:tcPr>
                  <w:tcW w:w="1701" w:type="dxa"/>
                  <w:tcBorders>
                    <w:tl2br w:val="nil"/>
                    <w:tr2bl w:val="nil"/>
                  </w:tcBorders>
                  <w:vAlign w:val="center"/>
                </w:tcPr>
                <w:p w14:paraId="78F680D2">
                  <w:pPr>
                    <w:autoSpaceDE w:val="0"/>
                    <w:autoSpaceDN w:val="0"/>
                    <w:adjustRightInd w:val="0"/>
                    <w:jc w:val="center"/>
                    <w:rPr>
                      <w:kern w:val="0"/>
                      <w:szCs w:val="21"/>
                    </w:rPr>
                  </w:pPr>
                  <w:r>
                    <w:rPr>
                      <w:kern w:val="0"/>
                      <w:szCs w:val="21"/>
                    </w:rPr>
                    <w:t>不属于落后产能。</w:t>
                  </w:r>
                </w:p>
              </w:tc>
              <w:tc>
                <w:tcPr>
                  <w:tcW w:w="906" w:type="dxa"/>
                  <w:tcBorders>
                    <w:tl2br w:val="nil"/>
                    <w:tr2bl w:val="nil"/>
                  </w:tcBorders>
                  <w:vAlign w:val="center"/>
                </w:tcPr>
                <w:p w14:paraId="204E9695">
                  <w:pPr>
                    <w:autoSpaceDE w:val="0"/>
                    <w:autoSpaceDN w:val="0"/>
                    <w:adjustRightInd w:val="0"/>
                    <w:jc w:val="center"/>
                    <w:rPr>
                      <w:kern w:val="0"/>
                      <w:szCs w:val="21"/>
                    </w:rPr>
                  </w:pPr>
                  <w:r>
                    <w:rPr>
                      <w:kern w:val="0"/>
                      <w:szCs w:val="21"/>
                    </w:rPr>
                    <w:t>符合</w:t>
                  </w:r>
                </w:p>
              </w:tc>
            </w:tr>
            <w:tr w14:paraId="157878A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085" w:type="dxa"/>
                  <w:vMerge w:val="continue"/>
                  <w:tcBorders>
                    <w:tl2br w:val="nil"/>
                    <w:tr2bl w:val="nil"/>
                  </w:tcBorders>
                  <w:vAlign w:val="center"/>
                </w:tcPr>
                <w:p w14:paraId="3533DE57">
                  <w:pPr>
                    <w:autoSpaceDE w:val="0"/>
                    <w:autoSpaceDN w:val="0"/>
                    <w:adjustRightInd w:val="0"/>
                    <w:jc w:val="center"/>
                    <w:rPr>
                      <w:kern w:val="0"/>
                      <w:szCs w:val="21"/>
                    </w:rPr>
                  </w:pPr>
                </w:p>
              </w:tc>
              <w:tc>
                <w:tcPr>
                  <w:tcW w:w="5280" w:type="dxa"/>
                  <w:tcBorders>
                    <w:tl2br w:val="nil"/>
                    <w:tr2bl w:val="nil"/>
                  </w:tcBorders>
                  <w:vAlign w:val="center"/>
                </w:tcPr>
                <w:p w14:paraId="3CEF89A1">
                  <w:pPr>
                    <w:autoSpaceDE w:val="0"/>
                    <w:autoSpaceDN w:val="0"/>
                    <w:adjustRightInd w:val="0"/>
                    <w:jc w:val="center"/>
                    <w:rPr>
                      <w:kern w:val="0"/>
                      <w:szCs w:val="21"/>
                    </w:rPr>
                  </w:pPr>
                  <w:r>
                    <w:rPr>
                      <w:kern w:val="0"/>
                      <w:szCs w:val="21"/>
                    </w:rPr>
                    <w:t>重大项目原则上布局在优化开发区和重</w:t>
                  </w:r>
                </w:p>
                <w:p w14:paraId="5B1F8828">
                  <w:pPr>
                    <w:autoSpaceDE w:val="0"/>
                    <w:autoSpaceDN w:val="0"/>
                    <w:adjustRightInd w:val="0"/>
                    <w:jc w:val="center"/>
                    <w:rPr>
                      <w:kern w:val="0"/>
                      <w:szCs w:val="21"/>
                    </w:rPr>
                  </w:pPr>
                  <w:r>
                    <w:rPr>
                      <w:kern w:val="0"/>
                      <w:szCs w:val="21"/>
                    </w:rPr>
                    <w:t>点开发区，并符合城乡规划和土地利用</w:t>
                  </w:r>
                </w:p>
                <w:p w14:paraId="4F56C3FB">
                  <w:pPr>
                    <w:autoSpaceDE w:val="0"/>
                    <w:autoSpaceDN w:val="0"/>
                    <w:adjustRightInd w:val="0"/>
                    <w:jc w:val="center"/>
                    <w:rPr>
                      <w:szCs w:val="21"/>
                      <w:shd w:val="clear" w:color="auto" w:fill="FFFFFF"/>
                    </w:rPr>
                  </w:pPr>
                  <w:r>
                    <w:rPr>
                      <w:kern w:val="0"/>
                      <w:szCs w:val="21"/>
                    </w:rPr>
                    <w:t>总体规划。</w:t>
                  </w:r>
                </w:p>
              </w:tc>
              <w:tc>
                <w:tcPr>
                  <w:tcW w:w="1701" w:type="dxa"/>
                  <w:tcBorders>
                    <w:tl2br w:val="nil"/>
                    <w:tr2bl w:val="nil"/>
                  </w:tcBorders>
                  <w:vAlign w:val="center"/>
                </w:tcPr>
                <w:p w14:paraId="3D7D6B4E">
                  <w:pPr>
                    <w:autoSpaceDE w:val="0"/>
                    <w:autoSpaceDN w:val="0"/>
                    <w:adjustRightInd w:val="0"/>
                    <w:jc w:val="center"/>
                    <w:rPr>
                      <w:kern w:val="0"/>
                      <w:szCs w:val="21"/>
                    </w:rPr>
                  </w:pPr>
                  <w:r>
                    <w:rPr>
                      <w:kern w:val="0"/>
                      <w:szCs w:val="21"/>
                    </w:rPr>
                    <w:t>项目符合城市土地利用规划。</w:t>
                  </w:r>
                </w:p>
              </w:tc>
              <w:tc>
                <w:tcPr>
                  <w:tcW w:w="906" w:type="dxa"/>
                  <w:tcBorders>
                    <w:tl2br w:val="nil"/>
                    <w:tr2bl w:val="nil"/>
                  </w:tcBorders>
                  <w:vAlign w:val="center"/>
                </w:tcPr>
                <w:p w14:paraId="14577622">
                  <w:pPr>
                    <w:autoSpaceDE w:val="0"/>
                    <w:autoSpaceDN w:val="0"/>
                    <w:adjustRightInd w:val="0"/>
                    <w:jc w:val="center"/>
                    <w:rPr>
                      <w:kern w:val="0"/>
                      <w:szCs w:val="21"/>
                    </w:rPr>
                  </w:pPr>
                  <w:r>
                    <w:rPr>
                      <w:kern w:val="0"/>
                      <w:szCs w:val="21"/>
                    </w:rPr>
                    <w:t>符合</w:t>
                  </w:r>
                </w:p>
              </w:tc>
            </w:tr>
          </w:tbl>
          <w:p w14:paraId="7215843B">
            <w:pPr>
              <w:spacing w:line="360" w:lineRule="auto"/>
              <w:ind w:firstLine="480" w:firstLineChars="200"/>
              <w:jc w:val="left"/>
              <w:outlineLvl w:val="2"/>
              <w:rPr>
                <w:sz w:val="24"/>
              </w:rPr>
            </w:pPr>
            <w:r>
              <w:rPr>
                <w:sz w:val="24"/>
                <w:szCs w:val="24"/>
              </w:rPr>
              <w:t>综上所述，本项目符合国发〔2015〕17号文的相关要求。</w:t>
            </w:r>
          </w:p>
          <w:p w14:paraId="36703396">
            <w:pPr>
              <w:pStyle w:val="83"/>
            </w:pPr>
            <w:r>
              <w:rPr>
                <w:lang w:val="en-US"/>
              </w:rPr>
              <w:t>5</w:t>
            </w:r>
            <w:r>
              <w:t>、环保投资</w:t>
            </w:r>
          </w:p>
          <w:p w14:paraId="55B1770B">
            <w:pPr>
              <w:pStyle w:val="83"/>
            </w:pPr>
            <w:r>
              <w:t>本项目环保投资包括废水、废气、固体废物、噪声处理，项目环保投资组成如下表所示。</w:t>
            </w:r>
          </w:p>
          <w:p w14:paraId="12194C51">
            <w:pPr>
              <w:pStyle w:val="9"/>
              <w:keepNext/>
              <w:spacing w:beforeLines="50" w:afterLines="50"/>
              <w:jc w:val="center"/>
              <w:rPr>
                <w:rFonts w:ascii="Times New Roman" w:hAnsi="Times New Roman" w:eastAsia="宋体" w:cs="Times New Roman"/>
                <w:b/>
                <w:bCs/>
                <w:sz w:val="24"/>
                <w:szCs w:val="24"/>
              </w:rPr>
            </w:pPr>
            <w:r>
              <w:rPr>
                <w:rFonts w:ascii="Times New Roman" w:hAnsi="Times New Roman" w:eastAsia="宋体" w:cs="Times New Roman"/>
                <w:b/>
                <w:bCs/>
                <w:sz w:val="24"/>
                <w:szCs w:val="24"/>
              </w:rPr>
              <w:t>表1-1</w:t>
            </w: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 xml:space="preserve"> 本项目环保投资估算一览表</w:t>
            </w:r>
          </w:p>
          <w:tbl>
            <w:tblPr>
              <w:tblStyle w:val="27"/>
              <w:tblW w:w="909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1408"/>
              <w:gridCol w:w="5412"/>
              <w:gridCol w:w="2270"/>
            </w:tblGrid>
            <w:tr w14:paraId="5B8D82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14:paraId="62365061">
                  <w:pPr>
                    <w:spacing w:line="320" w:lineRule="exact"/>
                    <w:jc w:val="center"/>
                    <w:rPr>
                      <w:kern w:val="0"/>
                      <w:szCs w:val="21"/>
                    </w:rPr>
                  </w:pPr>
                  <w:r>
                    <w:rPr>
                      <w:kern w:val="0"/>
                      <w:szCs w:val="21"/>
                    </w:rPr>
                    <w:t>项目</w:t>
                  </w:r>
                </w:p>
              </w:tc>
              <w:tc>
                <w:tcPr>
                  <w:tcW w:w="5412" w:type="dxa"/>
                  <w:tcBorders>
                    <w:tl2br w:val="nil"/>
                    <w:tr2bl w:val="nil"/>
                  </w:tcBorders>
                  <w:vAlign w:val="center"/>
                </w:tcPr>
                <w:p w14:paraId="39A51C0E">
                  <w:pPr>
                    <w:spacing w:line="320" w:lineRule="exact"/>
                    <w:jc w:val="center"/>
                    <w:rPr>
                      <w:kern w:val="0"/>
                      <w:szCs w:val="21"/>
                    </w:rPr>
                  </w:pPr>
                  <w:r>
                    <w:rPr>
                      <w:kern w:val="0"/>
                      <w:szCs w:val="21"/>
                    </w:rPr>
                    <w:t>环保措施</w:t>
                  </w:r>
                </w:p>
              </w:tc>
              <w:tc>
                <w:tcPr>
                  <w:tcW w:w="2270" w:type="dxa"/>
                  <w:tcBorders>
                    <w:tl2br w:val="nil"/>
                    <w:tr2bl w:val="nil"/>
                  </w:tcBorders>
                  <w:vAlign w:val="center"/>
                </w:tcPr>
                <w:p w14:paraId="09BCCF32">
                  <w:pPr>
                    <w:spacing w:line="320" w:lineRule="exact"/>
                    <w:jc w:val="center"/>
                    <w:rPr>
                      <w:kern w:val="0"/>
                      <w:szCs w:val="21"/>
                    </w:rPr>
                  </w:pPr>
                  <w:r>
                    <w:rPr>
                      <w:kern w:val="0"/>
                      <w:szCs w:val="21"/>
                    </w:rPr>
                    <w:t>投资额（万）</w:t>
                  </w:r>
                </w:p>
              </w:tc>
            </w:tr>
            <w:tr w14:paraId="25AC2F3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14:paraId="7CDCAF99">
                  <w:pPr>
                    <w:spacing w:line="320" w:lineRule="exact"/>
                    <w:jc w:val="center"/>
                    <w:rPr>
                      <w:kern w:val="0"/>
                      <w:szCs w:val="21"/>
                    </w:rPr>
                  </w:pPr>
                  <w:r>
                    <w:rPr>
                      <w:kern w:val="0"/>
                      <w:szCs w:val="21"/>
                    </w:rPr>
                    <w:t>废水治理</w:t>
                  </w:r>
                </w:p>
              </w:tc>
              <w:tc>
                <w:tcPr>
                  <w:tcW w:w="5412" w:type="dxa"/>
                  <w:tcBorders>
                    <w:tl2br w:val="nil"/>
                    <w:tr2bl w:val="nil"/>
                  </w:tcBorders>
                  <w:vAlign w:val="center"/>
                </w:tcPr>
                <w:p w14:paraId="08D2D53C">
                  <w:pPr>
                    <w:spacing w:line="320" w:lineRule="exact"/>
                    <w:jc w:val="center"/>
                    <w:rPr>
                      <w:kern w:val="0"/>
                      <w:szCs w:val="21"/>
                    </w:rPr>
                  </w:pPr>
                  <w:r>
                    <w:rPr>
                      <w:szCs w:val="21"/>
                    </w:rPr>
                    <w:t>化粪池、排污管道</w:t>
                  </w:r>
                </w:p>
              </w:tc>
              <w:tc>
                <w:tcPr>
                  <w:tcW w:w="2270" w:type="dxa"/>
                  <w:tcBorders>
                    <w:tl2br w:val="nil"/>
                    <w:tr2bl w:val="nil"/>
                  </w:tcBorders>
                  <w:vAlign w:val="center"/>
                </w:tcPr>
                <w:p w14:paraId="6CE5DD71">
                  <w:pPr>
                    <w:spacing w:line="320" w:lineRule="exact"/>
                    <w:jc w:val="center"/>
                    <w:rPr>
                      <w:kern w:val="0"/>
                      <w:szCs w:val="21"/>
                    </w:rPr>
                  </w:pPr>
                  <w:r>
                    <w:rPr>
                      <w:rFonts w:hint="eastAsia"/>
                      <w:kern w:val="0"/>
                      <w:szCs w:val="21"/>
                    </w:rPr>
                    <w:t>依托已建厂房</w:t>
                  </w:r>
                </w:p>
              </w:tc>
            </w:tr>
            <w:tr w14:paraId="7D7C030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14:paraId="4B10D902">
                  <w:pPr>
                    <w:spacing w:line="320" w:lineRule="exact"/>
                    <w:jc w:val="center"/>
                    <w:rPr>
                      <w:kern w:val="0"/>
                      <w:szCs w:val="21"/>
                    </w:rPr>
                  </w:pPr>
                  <w:r>
                    <w:rPr>
                      <w:kern w:val="0"/>
                      <w:szCs w:val="21"/>
                    </w:rPr>
                    <w:t>废气治理</w:t>
                  </w:r>
                </w:p>
              </w:tc>
              <w:tc>
                <w:tcPr>
                  <w:tcW w:w="5412" w:type="dxa"/>
                  <w:tcBorders>
                    <w:tl2br w:val="nil"/>
                    <w:tr2bl w:val="nil"/>
                  </w:tcBorders>
                  <w:vAlign w:val="center"/>
                </w:tcPr>
                <w:p w14:paraId="4A78A1C4">
                  <w:pPr>
                    <w:spacing w:line="320" w:lineRule="exact"/>
                    <w:jc w:val="center"/>
                    <w:rPr>
                      <w:kern w:val="0"/>
                      <w:szCs w:val="21"/>
                    </w:rPr>
                  </w:pPr>
                  <w:r>
                    <w:rPr>
                      <w:szCs w:val="21"/>
                    </w:rPr>
                    <w:t>催化燃烧废气处理装置+15m排气筒</w:t>
                  </w:r>
                </w:p>
              </w:tc>
              <w:tc>
                <w:tcPr>
                  <w:tcW w:w="2270" w:type="dxa"/>
                  <w:tcBorders>
                    <w:tl2br w:val="nil"/>
                    <w:tr2bl w:val="nil"/>
                  </w:tcBorders>
                  <w:vAlign w:val="center"/>
                </w:tcPr>
                <w:p w14:paraId="4AFC3E58">
                  <w:pPr>
                    <w:spacing w:line="320" w:lineRule="exact"/>
                    <w:jc w:val="center"/>
                    <w:rPr>
                      <w:kern w:val="0"/>
                      <w:szCs w:val="21"/>
                    </w:rPr>
                  </w:pPr>
                  <w:r>
                    <w:rPr>
                      <w:rFonts w:hint="eastAsia"/>
                      <w:kern w:val="0"/>
                      <w:szCs w:val="21"/>
                    </w:rPr>
                    <w:t>20</w:t>
                  </w:r>
                </w:p>
              </w:tc>
            </w:tr>
            <w:tr w14:paraId="1A2E0D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14:paraId="4EA9D07A">
                  <w:pPr>
                    <w:spacing w:line="320" w:lineRule="exact"/>
                    <w:jc w:val="center"/>
                    <w:rPr>
                      <w:kern w:val="0"/>
                      <w:szCs w:val="21"/>
                    </w:rPr>
                  </w:pPr>
                  <w:r>
                    <w:rPr>
                      <w:kern w:val="0"/>
                      <w:szCs w:val="21"/>
                    </w:rPr>
                    <w:t>噪声治理</w:t>
                  </w:r>
                </w:p>
              </w:tc>
              <w:tc>
                <w:tcPr>
                  <w:tcW w:w="5412" w:type="dxa"/>
                  <w:tcBorders>
                    <w:tl2br w:val="nil"/>
                    <w:tr2bl w:val="nil"/>
                  </w:tcBorders>
                  <w:vAlign w:val="center"/>
                </w:tcPr>
                <w:p w14:paraId="5BB2CA27">
                  <w:pPr>
                    <w:spacing w:line="320" w:lineRule="exact"/>
                    <w:jc w:val="center"/>
                    <w:rPr>
                      <w:kern w:val="0"/>
                      <w:szCs w:val="21"/>
                    </w:rPr>
                  </w:pPr>
                  <w:r>
                    <w:rPr>
                      <w:szCs w:val="21"/>
                    </w:rPr>
                    <w:t>采取隔声、减震、合理布局等措施</w:t>
                  </w:r>
                </w:p>
              </w:tc>
              <w:tc>
                <w:tcPr>
                  <w:tcW w:w="2270" w:type="dxa"/>
                  <w:tcBorders>
                    <w:tl2br w:val="nil"/>
                    <w:tr2bl w:val="nil"/>
                  </w:tcBorders>
                  <w:vAlign w:val="center"/>
                </w:tcPr>
                <w:p w14:paraId="4CE56F29">
                  <w:pPr>
                    <w:spacing w:line="320" w:lineRule="exact"/>
                    <w:jc w:val="center"/>
                    <w:rPr>
                      <w:kern w:val="0"/>
                      <w:szCs w:val="21"/>
                    </w:rPr>
                  </w:pPr>
                  <w:r>
                    <w:rPr>
                      <w:rFonts w:hint="eastAsia"/>
                      <w:kern w:val="0"/>
                      <w:szCs w:val="21"/>
                    </w:rPr>
                    <w:t>5</w:t>
                  </w:r>
                </w:p>
              </w:tc>
            </w:tr>
            <w:tr w14:paraId="0ECF9B5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14:paraId="46BA7FE3">
                  <w:pPr>
                    <w:spacing w:line="320" w:lineRule="exact"/>
                    <w:jc w:val="center"/>
                    <w:rPr>
                      <w:kern w:val="0"/>
                      <w:szCs w:val="21"/>
                    </w:rPr>
                  </w:pPr>
                  <w:r>
                    <w:rPr>
                      <w:kern w:val="0"/>
                      <w:szCs w:val="21"/>
                    </w:rPr>
                    <w:t>固体废物处置</w:t>
                  </w:r>
                </w:p>
              </w:tc>
              <w:tc>
                <w:tcPr>
                  <w:tcW w:w="5412" w:type="dxa"/>
                  <w:tcBorders>
                    <w:tl2br w:val="nil"/>
                    <w:tr2bl w:val="nil"/>
                  </w:tcBorders>
                  <w:vAlign w:val="center"/>
                </w:tcPr>
                <w:p w14:paraId="3C30D807">
                  <w:pPr>
                    <w:spacing w:line="320" w:lineRule="exact"/>
                    <w:jc w:val="center"/>
                    <w:rPr>
                      <w:kern w:val="0"/>
                      <w:szCs w:val="21"/>
                    </w:rPr>
                  </w:pPr>
                  <w:r>
                    <w:rPr>
                      <w:kern w:val="0"/>
                      <w:szCs w:val="21"/>
                    </w:rPr>
                    <w:t>垃圾箱、</w:t>
                  </w:r>
                  <w:r>
                    <w:rPr>
                      <w:rFonts w:hint="eastAsia"/>
                      <w:kern w:val="0"/>
                      <w:szCs w:val="21"/>
                    </w:rPr>
                    <w:t>一般</w:t>
                  </w:r>
                  <w:r>
                    <w:rPr>
                      <w:kern w:val="0"/>
                      <w:szCs w:val="21"/>
                    </w:rPr>
                    <w:t>固废</w:t>
                  </w:r>
                  <w:r>
                    <w:rPr>
                      <w:rFonts w:hint="eastAsia"/>
                      <w:kern w:val="0"/>
                      <w:szCs w:val="21"/>
                    </w:rPr>
                    <w:t>库、</w:t>
                  </w:r>
                  <w:r>
                    <w:rPr>
                      <w:kern w:val="0"/>
                      <w:szCs w:val="21"/>
                    </w:rPr>
                    <w:t>危废库</w:t>
                  </w:r>
                </w:p>
              </w:tc>
              <w:tc>
                <w:tcPr>
                  <w:tcW w:w="2270" w:type="dxa"/>
                  <w:tcBorders>
                    <w:tl2br w:val="nil"/>
                    <w:tr2bl w:val="nil"/>
                  </w:tcBorders>
                  <w:vAlign w:val="center"/>
                </w:tcPr>
                <w:p w14:paraId="249BBC4B">
                  <w:pPr>
                    <w:spacing w:line="320" w:lineRule="exact"/>
                    <w:jc w:val="center"/>
                    <w:rPr>
                      <w:kern w:val="0"/>
                      <w:szCs w:val="21"/>
                    </w:rPr>
                  </w:pPr>
                  <w:r>
                    <w:rPr>
                      <w:rFonts w:hint="eastAsia"/>
                      <w:kern w:val="0"/>
                      <w:szCs w:val="21"/>
                    </w:rPr>
                    <w:t>5</w:t>
                  </w:r>
                </w:p>
              </w:tc>
            </w:tr>
            <w:tr w14:paraId="0E344E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14:paraId="3A464AB7">
                  <w:pPr>
                    <w:spacing w:line="320" w:lineRule="exact"/>
                    <w:jc w:val="center"/>
                    <w:rPr>
                      <w:kern w:val="0"/>
                      <w:szCs w:val="21"/>
                    </w:rPr>
                  </w:pPr>
                  <w:r>
                    <w:rPr>
                      <w:kern w:val="0"/>
                      <w:szCs w:val="21"/>
                    </w:rPr>
                    <w:t>合计</w:t>
                  </w:r>
                </w:p>
              </w:tc>
              <w:tc>
                <w:tcPr>
                  <w:tcW w:w="5412" w:type="dxa"/>
                  <w:tcBorders>
                    <w:tl2br w:val="nil"/>
                    <w:tr2bl w:val="nil"/>
                  </w:tcBorders>
                  <w:vAlign w:val="center"/>
                </w:tcPr>
                <w:p w14:paraId="3ACBB392">
                  <w:pPr>
                    <w:spacing w:line="320" w:lineRule="exact"/>
                    <w:jc w:val="center"/>
                    <w:rPr>
                      <w:kern w:val="0"/>
                      <w:szCs w:val="21"/>
                    </w:rPr>
                  </w:pPr>
                  <w:r>
                    <w:rPr>
                      <w:kern w:val="0"/>
                      <w:szCs w:val="21"/>
                    </w:rPr>
                    <w:t>/</w:t>
                  </w:r>
                </w:p>
              </w:tc>
              <w:tc>
                <w:tcPr>
                  <w:tcW w:w="2270" w:type="dxa"/>
                  <w:tcBorders>
                    <w:tl2br w:val="nil"/>
                    <w:tr2bl w:val="nil"/>
                  </w:tcBorders>
                  <w:vAlign w:val="center"/>
                </w:tcPr>
                <w:p w14:paraId="06A5AA0E">
                  <w:pPr>
                    <w:spacing w:line="320" w:lineRule="exact"/>
                    <w:jc w:val="center"/>
                    <w:rPr>
                      <w:kern w:val="0"/>
                      <w:szCs w:val="21"/>
                    </w:rPr>
                  </w:pPr>
                  <w:r>
                    <w:rPr>
                      <w:rFonts w:hint="eastAsia"/>
                      <w:kern w:val="0"/>
                      <w:szCs w:val="21"/>
                    </w:rPr>
                    <w:t>30</w:t>
                  </w:r>
                </w:p>
              </w:tc>
            </w:tr>
          </w:tbl>
          <w:p w14:paraId="272C6E04">
            <w:pPr>
              <w:spacing w:line="360" w:lineRule="auto"/>
              <w:outlineLvl w:val="2"/>
              <w:rPr>
                <w:sz w:val="24"/>
              </w:rPr>
            </w:pPr>
          </w:p>
        </w:tc>
      </w:tr>
      <w:tr w14:paraId="430A39D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9356" w:type="dxa"/>
            <w:gridSpan w:val="9"/>
          </w:tcPr>
          <w:p w14:paraId="0938266F">
            <w:pPr>
              <w:spacing w:before="120" w:after="120" w:line="360" w:lineRule="auto"/>
              <w:rPr>
                <w:sz w:val="24"/>
              </w:rPr>
            </w:pPr>
            <w:r>
              <w:rPr>
                <w:b/>
                <w:sz w:val="24"/>
              </w:rPr>
              <w:t>与</w:t>
            </w:r>
            <w:r>
              <w:rPr>
                <w:rFonts w:hint="eastAsia"/>
                <w:b/>
                <w:sz w:val="24"/>
              </w:rPr>
              <w:t>本项目</w:t>
            </w:r>
            <w:r>
              <w:rPr>
                <w:b/>
                <w:sz w:val="24"/>
              </w:rPr>
              <w:t>有关的原有污染情况及主要环境问题</w:t>
            </w:r>
            <w:r>
              <w:rPr>
                <w:sz w:val="24"/>
              </w:rPr>
              <w:t>：</w:t>
            </w:r>
          </w:p>
          <w:p w14:paraId="38B7C8A2">
            <w:pPr>
              <w:spacing w:line="360" w:lineRule="auto"/>
              <w:ind w:firstLine="480" w:firstLineChars="200"/>
              <w:jc w:val="left"/>
              <w:rPr>
                <w:sz w:val="24"/>
                <w:szCs w:val="24"/>
              </w:rPr>
            </w:pPr>
            <w:r>
              <w:rPr>
                <w:rFonts w:hint="eastAsia"/>
                <w:sz w:val="24"/>
                <w:szCs w:val="24"/>
              </w:rPr>
              <w:t>本</w:t>
            </w:r>
            <w:r>
              <w:rPr>
                <w:sz w:val="24"/>
                <w:szCs w:val="24"/>
              </w:rPr>
              <w:t>项目为新建项目，周边环境较好，不存在与</w:t>
            </w:r>
            <w:r>
              <w:rPr>
                <w:rFonts w:hint="eastAsia"/>
                <w:sz w:val="24"/>
                <w:szCs w:val="24"/>
              </w:rPr>
              <w:t>本</w:t>
            </w:r>
            <w:r>
              <w:rPr>
                <w:sz w:val="24"/>
                <w:szCs w:val="24"/>
              </w:rPr>
              <w:t>项目有关的原有污染情况及环境问题</w:t>
            </w:r>
            <w:r>
              <w:rPr>
                <w:rFonts w:hint="eastAsia"/>
                <w:bCs/>
                <w:sz w:val="24"/>
                <w:szCs w:val="24"/>
              </w:rPr>
              <w:t>。</w:t>
            </w:r>
          </w:p>
        </w:tc>
      </w:tr>
    </w:tbl>
    <w:p w14:paraId="78D5003D">
      <w:pPr>
        <w:pStyle w:val="41"/>
        <w:rPr>
          <w:rFonts w:eastAsia="黑体"/>
          <w:sz w:val="30"/>
          <w:szCs w:val="30"/>
        </w:rPr>
        <w:sectPr>
          <w:headerReference r:id="rId4" w:type="default"/>
          <w:footerReference r:id="rId5" w:type="default"/>
          <w:pgSz w:w="11907" w:h="16840"/>
          <w:pgMar w:top="1402" w:right="1797" w:bottom="1558" w:left="1797" w:header="851" w:footer="992" w:gutter="0"/>
          <w:pgNumType w:fmt="decimal" w:start="1"/>
          <w:cols w:space="720" w:num="1"/>
          <w:docGrid w:type="lines" w:linePitch="312" w:charSpace="0"/>
        </w:sectPr>
      </w:pPr>
    </w:p>
    <w:p w14:paraId="2ADA7287">
      <w:pPr>
        <w:spacing w:after="120"/>
        <w:rPr>
          <w:rFonts w:eastAsia="黑体"/>
          <w:sz w:val="30"/>
          <w:szCs w:val="30"/>
        </w:rPr>
      </w:pPr>
      <w:r>
        <w:rPr>
          <w:rFonts w:eastAsia="黑体"/>
          <w:sz w:val="30"/>
          <w:szCs w:val="30"/>
        </w:rPr>
        <w:t>二、建设项目所在地自然环境社会环境简况</w:t>
      </w:r>
    </w:p>
    <w:tbl>
      <w:tblPr>
        <w:tblStyle w:val="27"/>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14:paraId="198D1BC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56" w:type="dxa"/>
          </w:tcPr>
          <w:p w14:paraId="33CADFF5">
            <w:pPr>
              <w:spacing w:line="360" w:lineRule="auto"/>
              <w:rPr>
                <w:sz w:val="24"/>
                <w:szCs w:val="24"/>
              </w:rPr>
            </w:pPr>
            <w:r>
              <w:rPr>
                <w:sz w:val="24"/>
                <w:szCs w:val="24"/>
              </w:rPr>
              <w:t>自然环境简况（地形、地貌、地质、气候、气象、水文、植被、生物多样性等）：</w:t>
            </w:r>
          </w:p>
          <w:p w14:paraId="6209B001">
            <w:pPr>
              <w:pStyle w:val="11"/>
              <w:spacing w:line="360" w:lineRule="auto"/>
              <w:ind w:firstLine="480" w:firstLineChars="200"/>
              <w:textAlignment w:val="baseline"/>
              <w:rPr>
                <w:szCs w:val="24"/>
              </w:rPr>
            </w:pPr>
            <w:r>
              <w:rPr>
                <w:szCs w:val="24"/>
              </w:rPr>
              <w:t>1 、地理位置</w:t>
            </w:r>
          </w:p>
          <w:p w14:paraId="2A6EA935">
            <w:pPr>
              <w:snapToGrid w:val="0"/>
              <w:spacing w:line="360" w:lineRule="auto"/>
              <w:ind w:firstLine="480"/>
              <w:jc w:val="left"/>
              <w:rPr>
                <w:sz w:val="24"/>
                <w:szCs w:val="24"/>
              </w:rPr>
            </w:pPr>
            <w:r>
              <w:rPr>
                <w:sz w:val="24"/>
                <w:szCs w:val="24"/>
              </w:rPr>
              <w:t>威海市位于山东半岛东端，地处北纬36°41′～37°35′，东经121°11′～122°42′。北、东、南三面濒临天乐湾，北与辽东半岛相对，东及东南与朝鲜半岛和日本列岛隔海相望，西与烟台市接壤。东西最大横距135 km，南北最大纵距81 km，总面积5436 km2，其中市区面积731 km2。海岸线长985.9 km。辖环翠区、火炬高技术产业开发区、经济技术开发区、临港经济技术开发区、文登区及乳山、荣成2市。</w:t>
            </w:r>
          </w:p>
          <w:p w14:paraId="34E2F18D">
            <w:pPr>
              <w:snapToGrid w:val="0"/>
              <w:spacing w:line="360" w:lineRule="auto"/>
              <w:ind w:firstLine="480"/>
              <w:jc w:val="left"/>
              <w:rPr>
                <w:sz w:val="24"/>
                <w:szCs w:val="24"/>
              </w:rPr>
            </w:pPr>
            <w:r>
              <w:rPr>
                <w:sz w:val="24"/>
                <w:szCs w:val="24"/>
              </w:rPr>
              <w:t>环翠区是威海市中心区，全区辖3个镇、5个街道，计64个村、102个社区，总面积276.21平方公里，海岸线长约43公里。全区户籍人口31.68万人</w:t>
            </w:r>
            <w:r>
              <w:rPr>
                <w:rFonts w:hint="eastAsia"/>
                <w:sz w:val="24"/>
                <w:szCs w:val="24"/>
              </w:rPr>
              <w:t>，</w:t>
            </w:r>
            <w:r>
              <w:rPr>
                <w:sz w:val="24"/>
                <w:szCs w:val="24"/>
              </w:rPr>
              <w:t>全区有少数民族常住人口5769人</w:t>
            </w:r>
            <w:r>
              <w:rPr>
                <w:rFonts w:hint="eastAsia"/>
                <w:sz w:val="24"/>
                <w:szCs w:val="24"/>
              </w:rPr>
              <w:t>。</w:t>
            </w:r>
          </w:p>
          <w:p w14:paraId="13458640">
            <w:pPr>
              <w:spacing w:line="360" w:lineRule="auto"/>
              <w:ind w:firstLine="480" w:firstLineChars="200"/>
              <w:jc w:val="left"/>
              <w:rPr>
                <w:sz w:val="24"/>
                <w:szCs w:val="24"/>
              </w:rPr>
            </w:pPr>
            <w:r>
              <w:rPr>
                <w:sz w:val="24"/>
                <w:szCs w:val="24"/>
              </w:rPr>
              <w:t>温泉镇是</w:t>
            </w:r>
            <w:r>
              <w:fldChar w:fldCharType="begin"/>
            </w:r>
            <w:r>
              <w:instrText xml:space="preserve"> HYPERLINK "http://baike.baidu.com/view/7468.htm" \t "_blank" </w:instrText>
            </w:r>
            <w:r>
              <w:fldChar w:fldCharType="separate"/>
            </w:r>
            <w:r>
              <w:rPr>
                <w:sz w:val="24"/>
                <w:szCs w:val="24"/>
              </w:rPr>
              <w:t>山东省</w:t>
            </w:r>
            <w:r>
              <w:rPr>
                <w:sz w:val="24"/>
                <w:szCs w:val="24"/>
              </w:rPr>
              <w:fldChar w:fldCharType="end"/>
            </w:r>
            <w:r>
              <w:rPr>
                <w:sz w:val="24"/>
                <w:szCs w:val="24"/>
              </w:rPr>
              <w:t>威海市</w:t>
            </w:r>
            <w:r>
              <w:fldChar w:fldCharType="begin"/>
            </w:r>
            <w:r>
              <w:instrText xml:space="preserve"> HYPERLINK "http://baike.baidu.com/view/127229.htm" \t "_blank" </w:instrText>
            </w:r>
            <w:r>
              <w:fldChar w:fldCharType="separate"/>
            </w:r>
            <w:r>
              <w:rPr>
                <w:sz w:val="24"/>
                <w:szCs w:val="24"/>
              </w:rPr>
              <w:t>环翠区</w:t>
            </w:r>
            <w:r>
              <w:rPr>
                <w:sz w:val="24"/>
                <w:szCs w:val="24"/>
              </w:rPr>
              <w:fldChar w:fldCharType="end"/>
            </w:r>
            <w:r>
              <w:rPr>
                <w:sz w:val="24"/>
                <w:szCs w:val="24"/>
              </w:rPr>
              <w:t>下辖的一个镇。温泉镇地处威海市区南部，东与威海滨海新城、泊于镇、桥头镇接壤，南邻威海市临港经济技术开发区，西、北接威海市经济技术开发区，距威海机场20公里，距威海港7公里，距威海火车站和汽车站5公里，是进出威海市区的主要</w:t>
            </w:r>
            <w:r>
              <w:rPr>
                <w:rFonts w:hint="eastAsia"/>
                <w:sz w:val="24"/>
                <w:szCs w:val="24"/>
              </w:rPr>
              <w:t>“</w:t>
            </w:r>
            <w:r>
              <w:rPr>
                <w:sz w:val="24"/>
                <w:szCs w:val="24"/>
              </w:rPr>
              <w:t>交通枢纽</w:t>
            </w:r>
            <w:r>
              <w:rPr>
                <w:rFonts w:hint="eastAsia"/>
                <w:sz w:val="24"/>
                <w:szCs w:val="24"/>
              </w:rPr>
              <w:t>”</w:t>
            </w:r>
            <w:r>
              <w:rPr>
                <w:sz w:val="24"/>
                <w:szCs w:val="24"/>
              </w:rPr>
              <w:t>。威青高速公路、威荣、威石、威海至机场路、202省道等多条干线交汇，威海市唯一的立交桥——江家寨立交桥座落于镇驻地，桃（村）威（海）铁路横贯境内。</w:t>
            </w:r>
          </w:p>
          <w:p w14:paraId="34283CC7">
            <w:pPr>
              <w:spacing w:line="360" w:lineRule="auto"/>
              <w:ind w:firstLine="480" w:firstLineChars="200"/>
              <w:rPr>
                <w:sz w:val="24"/>
                <w:szCs w:val="24"/>
              </w:rPr>
            </w:pPr>
            <w:r>
              <w:rPr>
                <w:sz w:val="24"/>
                <w:szCs w:val="24"/>
              </w:rPr>
              <w:t>本项目位于</w:t>
            </w:r>
            <w:r>
              <w:rPr>
                <w:rFonts w:hint="eastAsia"/>
                <w:sz w:val="24"/>
                <w:szCs w:val="24"/>
              </w:rPr>
              <w:t>威海市环翠区温泉镇刘家台村南</w:t>
            </w:r>
            <w:r>
              <w:rPr>
                <w:sz w:val="24"/>
                <w:szCs w:val="24"/>
              </w:rPr>
              <w:t>。</w:t>
            </w:r>
          </w:p>
          <w:p w14:paraId="7550CC3F">
            <w:pPr>
              <w:pStyle w:val="11"/>
              <w:spacing w:line="360" w:lineRule="auto"/>
              <w:ind w:firstLine="480" w:firstLineChars="200"/>
              <w:textAlignment w:val="baseline"/>
              <w:rPr>
                <w:szCs w:val="24"/>
              </w:rPr>
            </w:pPr>
            <w:r>
              <w:rPr>
                <w:szCs w:val="24"/>
              </w:rPr>
              <w:t>2、地形、地貌、地质</w:t>
            </w:r>
          </w:p>
          <w:p w14:paraId="17C155BE">
            <w:pPr>
              <w:pStyle w:val="23"/>
              <w:spacing w:line="360" w:lineRule="auto"/>
              <w:ind w:firstLine="480" w:firstLineChars="200"/>
              <w:rPr>
                <w:szCs w:val="24"/>
              </w:rPr>
            </w:pPr>
            <w:r>
              <w:rPr>
                <w:szCs w:val="24"/>
              </w:rPr>
              <w:t>威海市位于山东省胶北断块隆起的东端，其南侧与胶莱凹陷的东部边缘接壤。境内出露地层自老至新有晚太古界的胶东群、中生界上侏罗系莱阳组和白垩系下统青山组及新生界第四系。褶皱构造有乳山—威海复背斜，其轴在乳山台依，向北东经昆嵛山主峰、汪疃、羊亭，在田村倾没，轴向北东。断裂构造有近南北向的双岛断裂，北北东向的金牛山断裂和老母猪河断裂，北东向的牟平—即墨断裂（迹经乳山西部），北西向的望岛断裂、海埠—神道口断裂、俚岛—海西头断裂。岩浆岩主要有元古代的昆嵛山岩体和文登岩体及中生代燕山晚期艾山阶段的伟德山岩体和石岛岩体、崂山阶段的槎山岩体和龙须岛岩体。</w:t>
            </w:r>
          </w:p>
          <w:p w14:paraId="1D468823">
            <w:pPr>
              <w:pStyle w:val="11"/>
              <w:spacing w:line="360" w:lineRule="auto"/>
              <w:ind w:firstLine="480" w:firstLineChars="200"/>
              <w:textAlignment w:val="baseline"/>
              <w:rPr>
                <w:szCs w:val="24"/>
              </w:rPr>
            </w:pPr>
            <w:r>
              <w:rPr>
                <w:szCs w:val="24"/>
              </w:rPr>
              <w:t>威海市属起伏缓和，谷宽坡缓的波状丘陵区。区内除昆嵛山主峰泰礴顶海拔高度923 m以外，其他山地丘陵都在700 m以下，大部分为200～300 m的波状丘陵，坡度在25度以下。山体主要由花岗闪长岩构成，山基表面多为风化残积物形成的棕壤性土，土层覆盖较薄，但土壤通透性好。山丘中谷地多开阔，多平谷；平原多为滨海平原和山前倾斜平原。其中，低山占土地总面积的15.77%，丘陵占52.38%， 平原占27.56%，岛屿占0.28%，滩涂占4.01%。河网密布，河流畅通，地表排水良好。地势中部高，山脉呈东西走向，水系由脊背向南北流入大海。北东南三面环海，海岸类型属于港湾海岸，海岸线曲折，岬湾交错，多港湾、岛屿。</w:t>
            </w:r>
          </w:p>
          <w:p w14:paraId="3C89A29B">
            <w:pPr>
              <w:pStyle w:val="11"/>
              <w:spacing w:line="360" w:lineRule="auto"/>
              <w:ind w:firstLine="480" w:firstLineChars="200"/>
              <w:textAlignment w:val="baseline"/>
              <w:rPr>
                <w:szCs w:val="24"/>
              </w:rPr>
            </w:pPr>
            <w:r>
              <w:rPr>
                <w:szCs w:val="24"/>
              </w:rPr>
              <w:t>3、气候、气象</w:t>
            </w:r>
          </w:p>
          <w:p w14:paraId="1E355157">
            <w:pPr>
              <w:pStyle w:val="11"/>
              <w:spacing w:line="360" w:lineRule="auto"/>
              <w:ind w:firstLine="480" w:firstLineChars="200"/>
              <w:textAlignment w:val="baseline"/>
              <w:rPr>
                <w:szCs w:val="24"/>
              </w:rPr>
            </w:pPr>
            <w:r>
              <w:rPr>
                <w:szCs w:val="24"/>
              </w:rPr>
              <w:t>威海市地处中纬度，属于北温带季风型大陆性气候，四季变化和季风进退都较明显。与同纬度的内陆地区相比，具有雨水丰富、年温适中、气候温和的特点。另外，受海洋的调节作用，又具有春冷、夏凉、秋暧、冬温，昼夜温差小、无霜期长、大风多和湿度大等海洋性气候特点。全市历年平均气温12.2℃， 历年平均降水量737.7 mm，历年平均日照时数2480.0 h。</w:t>
            </w:r>
          </w:p>
          <w:p w14:paraId="22945B7C">
            <w:pPr>
              <w:pStyle w:val="11"/>
              <w:spacing w:line="360" w:lineRule="auto"/>
              <w:ind w:firstLine="480" w:firstLineChars="200"/>
              <w:textAlignment w:val="baseline"/>
              <w:rPr>
                <w:szCs w:val="24"/>
              </w:rPr>
            </w:pPr>
            <w:r>
              <w:rPr>
                <w:szCs w:val="24"/>
              </w:rPr>
              <w:t>4、</w:t>
            </w:r>
            <w:r>
              <w:rPr>
                <w:rFonts w:hint="eastAsia"/>
                <w:szCs w:val="24"/>
              </w:rPr>
              <w:t>水系、</w:t>
            </w:r>
            <w:r>
              <w:rPr>
                <w:szCs w:val="24"/>
              </w:rPr>
              <w:t>水文</w:t>
            </w:r>
          </w:p>
          <w:p w14:paraId="1D0A1311">
            <w:pPr>
              <w:adjustRightInd w:val="0"/>
              <w:spacing w:line="360" w:lineRule="auto"/>
              <w:ind w:firstLine="480" w:firstLineChars="200"/>
              <w:rPr>
                <w:sz w:val="24"/>
                <w:szCs w:val="24"/>
              </w:rPr>
            </w:pPr>
            <w:r>
              <w:rPr>
                <w:sz w:val="24"/>
                <w:szCs w:val="24"/>
              </w:rPr>
              <w:t>（1）地表水</w:t>
            </w:r>
          </w:p>
          <w:p w14:paraId="574DCA5E">
            <w:pPr>
              <w:spacing w:line="360" w:lineRule="auto"/>
              <w:ind w:firstLine="480" w:firstLineChars="200"/>
              <w:rPr>
                <w:sz w:val="24"/>
                <w:szCs w:val="24"/>
              </w:rPr>
            </w:pPr>
            <w:r>
              <w:rPr>
                <w:sz w:val="24"/>
                <w:szCs w:val="24"/>
              </w:rPr>
              <w:t>威海市河流属半岛边沿水系，为季风区雨源型河流。河床比降大，源短流急，暴涨暴落。径流量受季节影响差异较大，枯水季节多断流。全市有大小河流1000多条，其中母猪河、乳山河、黄垒河三条较大河流贯穿于文登、乳山市境内，总流域面积2884平方公里，占全市土地总面积的53%，母猪河流域面积最大，流域面积1278平方公里。境内河流长度大于5公里的有94条，其中大于10公里的有44条，黄垒河最长，全长69公里。河网平均密度为0.22公里/平方公里。多年平均年径流系数为0.36左右，2012年径流系数为0.386。</w:t>
            </w:r>
          </w:p>
          <w:p w14:paraId="15D50FAD">
            <w:pPr>
              <w:pStyle w:val="41"/>
              <w:spacing w:line="360" w:lineRule="auto"/>
              <w:ind w:firstLine="480" w:firstLineChars="200"/>
              <w:jc w:val="both"/>
            </w:pPr>
            <w:r>
              <w:t>项目区附近主要河流为</w:t>
            </w:r>
            <w:r>
              <w:rPr>
                <w:rFonts w:hint="eastAsia"/>
              </w:rPr>
              <w:t>五渚</w:t>
            </w:r>
            <w:r>
              <w:t>河，五渚河在威海市区东南部，草庙子、温泉、崮山、桥头四镇境内。属季节性河流。因中、下游河道有五个沙渚得名。旧志作五珠河，俗称五猪河，皆为谐音之讹。有东西两大支流。东支流发源于正棋山南麓，经后于家夼村北流入温泉镇，与西支流汇合。西支流发源于南玉皇庙，经小七夼村东流入温泉镇，光绪《文登县志》称其为柘埠河。两支流在温泉汤村西汇合后，经崮山水库入崮山镇，至温港入海。流域面积113.5平方公里，全长24.5公里。河床宽约90米。多年平均年径流量为3461万立方米。沿岸多为地带，有小型冲积平原分布，是粮油、水果产区。</w:t>
            </w:r>
          </w:p>
          <w:p w14:paraId="3211C1B7">
            <w:pPr>
              <w:spacing w:line="360" w:lineRule="auto"/>
              <w:ind w:firstLine="480" w:firstLineChars="200"/>
              <w:rPr>
                <w:sz w:val="24"/>
                <w:szCs w:val="24"/>
              </w:rPr>
            </w:pPr>
            <w:r>
              <w:rPr>
                <w:sz w:val="24"/>
                <w:szCs w:val="24"/>
              </w:rPr>
              <w:t>（2）地下水</w:t>
            </w:r>
          </w:p>
          <w:p w14:paraId="727AF232">
            <w:pPr>
              <w:spacing w:line="360" w:lineRule="auto"/>
              <w:ind w:firstLine="480" w:firstLineChars="200"/>
              <w:rPr>
                <w:sz w:val="24"/>
                <w:szCs w:val="24"/>
              </w:rPr>
            </w:pPr>
            <w:r>
              <w:rPr>
                <w:sz w:val="24"/>
                <w:szCs w:val="24"/>
              </w:rPr>
              <w:t>威海市地下水资源量为4.75×108 m3。其特点是：地下水资源主要是依靠大气降水补给的浅层地下水，受降雨量和降雨强度的制约。降雨量大、降雨强度小，地下水量增加，水位上升；否则，地下水量少，水位下降。其中山丘区地下水量2.7×108 m3，平原区地下水量为2.09×108 m3，地下水资源可开采量为2×108 m3。</w:t>
            </w:r>
          </w:p>
          <w:p w14:paraId="44CAEF1C">
            <w:pPr>
              <w:spacing w:line="360" w:lineRule="auto"/>
              <w:ind w:firstLine="480" w:firstLineChars="200"/>
              <w:jc w:val="left"/>
              <w:rPr>
                <w:sz w:val="24"/>
                <w:szCs w:val="24"/>
              </w:rPr>
            </w:pPr>
            <w:r>
              <w:rPr>
                <w:sz w:val="24"/>
                <w:szCs w:val="24"/>
              </w:rPr>
              <w:t>项目评价区地下水为第四系沉积层孔隙潜水和基岩裂隙潜水。第四系沉积层孔隙水为浅层潜水，埋藏较浅，埋深小于25 m，单井出水量小于5 m3/h，为矿化度小于1.0 g/L的碳酸盐型水；基岩裂隙水赋存于花岗岩风化裂隙中，埋深大于25 m，裂隙发育深度小于25 m，单井涌水量小于10 m3/h，为矿化度小于0.5 g/L的碳酸盐型水。项目区地下水由西北向东南走向，主要靠大气降水补充。</w:t>
            </w:r>
          </w:p>
          <w:p w14:paraId="688829C3">
            <w:pPr>
              <w:spacing w:line="360" w:lineRule="auto"/>
              <w:ind w:firstLine="480" w:firstLineChars="200"/>
              <w:jc w:val="left"/>
              <w:rPr>
                <w:sz w:val="24"/>
                <w:szCs w:val="24"/>
              </w:rPr>
            </w:pPr>
            <w:r>
              <w:rPr>
                <w:sz w:val="24"/>
                <w:szCs w:val="24"/>
              </w:rPr>
              <w:t>（3）海水</w:t>
            </w:r>
          </w:p>
          <w:p w14:paraId="4E5EA2EF">
            <w:pPr>
              <w:pStyle w:val="37"/>
              <w:spacing w:line="360" w:lineRule="auto"/>
              <w:ind w:firstLine="480"/>
              <w:rPr>
                <w:sz w:val="24"/>
                <w:szCs w:val="24"/>
              </w:rPr>
            </w:pPr>
            <w:r>
              <w:rPr>
                <w:sz w:val="24"/>
                <w:szCs w:val="24"/>
              </w:rPr>
              <w:t>威海北、东、南三面为黄海环绕，海岸线总长985.9公里，约占山东省的33%，全国的6%。海岸类型属于港湾海岸，海岸线曲折，沿海有大小港湾30多处，岬角20多个，并有众多优质海滩分布。全市大小海岛114个，其中面积500平方米以上的84个，有居民岛屿6个。拟建项目生活污水经市政污水管网排入威海经区污水处理厂处理达标后最终排入天乐湾，按照《威海市近岸海域环境保护功能区划》的规定，天乐湾海域属于《海水水质标准》（GB3097-1997）规定的第三类区域。海域潮汐类型为不正规半日潮，年平均高潮水位1.95m，年平均低潮水位0.55m；历史最高高潮水位2.67m，最低低潮水位-0.75m；平均潮差1.4m；平均海面1.22m。</w:t>
            </w:r>
          </w:p>
          <w:p w14:paraId="59D39C7D">
            <w:pPr>
              <w:pStyle w:val="11"/>
              <w:spacing w:line="360" w:lineRule="auto"/>
              <w:ind w:firstLine="480" w:firstLineChars="200"/>
              <w:textAlignment w:val="baseline"/>
              <w:rPr>
                <w:szCs w:val="24"/>
              </w:rPr>
            </w:pPr>
            <w:r>
              <w:rPr>
                <w:szCs w:val="24"/>
              </w:rPr>
              <w:t>5、土壤</w:t>
            </w:r>
          </w:p>
          <w:p w14:paraId="5A8E1B7F">
            <w:pPr>
              <w:pStyle w:val="11"/>
              <w:spacing w:line="360" w:lineRule="auto"/>
              <w:ind w:firstLine="480" w:firstLineChars="200"/>
              <w:textAlignment w:val="baseline"/>
              <w:rPr>
                <w:szCs w:val="24"/>
              </w:rPr>
            </w:pPr>
            <w:r>
              <w:rPr>
                <w:szCs w:val="24"/>
              </w:rPr>
              <w:t>土壤类型有棕壤、潮土、盐土、风沙土、褐土、水稻土、山地草甸土等7个土类。棕壤土分布最广，占土壤总面积的83.5%，耕地中棕壤类占82.5%。潮土类为环翠区第二大土类，占土壤总面积的13.2%，耕地中潮土类占17.5%。根据土壤的质地划分，土壤可分为砂性土、轻壤土和中壤土3类。威海市砂性土占总耕地面积的61.3%，轻壤土占36.8%，中壤土占1.9%。从土壤的化学性状看，威海市成土母质大部分为酸性岩风化物，PH值除沿海一带少部分盐化潮土稍高外，其余土壤均呈中性至酸性，土壤PH值在5.2～8.1之间，平均为6.4，适宜作物正常生长发育。威海土壤碳氮比为8.5∶1～9.6∶1，供氮强度为12.2%。</w:t>
            </w:r>
          </w:p>
          <w:p w14:paraId="468B697E">
            <w:pPr>
              <w:spacing w:line="360" w:lineRule="auto"/>
              <w:ind w:firstLine="480" w:firstLineChars="200"/>
              <w:jc w:val="left"/>
              <w:rPr>
                <w:sz w:val="24"/>
                <w:szCs w:val="24"/>
              </w:rPr>
            </w:pPr>
            <w:r>
              <w:rPr>
                <w:sz w:val="24"/>
                <w:szCs w:val="24"/>
              </w:rPr>
              <w:t>环翠区土壤类型有棕壤、潮土、盐土、风砂土、水稻土、山地草甸土6个土类。依据其各自的发育程度、附加成土过程和土壤属性，又分为棕壤性土、棕壤、潮棕壤；潮土、盐化潮土；盐土；半固定风砂土、固定风砂土8个亚类14个土属68个土种。棕壤土类是全区分布最广、面积最大的土类，遍及全区各镇（街道）的山丘地区，占土壤总面积的83.5%，占全区耕地总面积的82.5%。潮土土类为环翠区第二大类土壤，占土壤总面积的13.2%，占耕地总面积的17.5%。盐土和风砂土无耕地。从土壤（耕层）质地可归为3大类：砂性土、轻壤土、中壤土。从土体构型可分为15种类型，按其对作物的影响主要归纳为4大类型：均壤质型，均砂、夹砂、夹砾石型，夹粘、均粘型，硬（酥）石底型。砂性土占耕地总面积的61.3%，轻壤土占36.8%，中壤土占1.9%。从化学性状来分，环翠区成土母质大部分为酸性岩和中性岩风化物，pH值除沿海一带少部分盐化潮土稍高外，其余土壤均呈中性至酸性，土壤pH值在3.8～8.1之间，众数为5.2。由于长期大量化肥的施用，造成环翠区土壤严重酸化，90%以上土壤酸化，已严重影响作物正常生长发育。2018年，经土壤酸化改良，环翠区土壤pH值众数提高到5.4。</w:t>
            </w:r>
          </w:p>
          <w:p w14:paraId="410F98F6">
            <w:pPr>
              <w:pStyle w:val="11"/>
              <w:spacing w:line="360" w:lineRule="auto"/>
              <w:ind w:firstLine="480" w:firstLineChars="200"/>
              <w:textAlignment w:val="baseline"/>
              <w:rPr>
                <w:szCs w:val="24"/>
              </w:rPr>
            </w:pPr>
            <w:r>
              <w:rPr>
                <w:szCs w:val="24"/>
              </w:rPr>
              <w:t>6、生物资源</w:t>
            </w:r>
          </w:p>
          <w:p w14:paraId="3004C522">
            <w:pPr>
              <w:spacing w:line="360" w:lineRule="auto"/>
              <w:ind w:firstLine="480" w:firstLineChars="200"/>
              <w:rPr>
                <w:sz w:val="24"/>
                <w:szCs w:val="24"/>
              </w:rPr>
            </w:pPr>
            <w:r>
              <w:rPr>
                <w:sz w:val="24"/>
                <w:szCs w:val="24"/>
              </w:rPr>
              <w:t>威海市境内植被以木本植物为主，具有明显的次生性质。全市的林地总面积有17.2万公顷，森林覆盖率达到34.2%。全市野生植物按经济价值和用途可分为牧草类、淀粉糖类、油脂类、纤维类、芳香油类、鞣质栲胶类、土农药类及药材类等8大类。</w:t>
            </w:r>
          </w:p>
          <w:p w14:paraId="0ECF65B6">
            <w:pPr>
              <w:spacing w:line="360" w:lineRule="auto"/>
              <w:ind w:firstLine="480" w:firstLineChars="200"/>
              <w:rPr>
                <w:sz w:val="24"/>
                <w:szCs w:val="24"/>
              </w:rPr>
            </w:pPr>
            <w:r>
              <w:rPr>
                <w:sz w:val="24"/>
                <w:szCs w:val="24"/>
              </w:rPr>
              <w:t>野生动物资源中，兽类品种为数不多，鸟类品种资源比较丰富。兽类主要品种有梅花鹿、狐狸、豹猫、刺猬、蝙蝠、水鼠、大家鼠、小家鼠、草兔、黄鼠狼、獾、狼、大仓鼠等。两栖类主要品种有大蟾蜍、黑斑蛙、金钱蛙、北方狭口蛙、东方铃蟾。爬行类主要品种有麻蝎、壁虎、红点锦蛇、虎斑游蛇、黄脊游蛇、乌龟、鳖、山地麻蝎、草蜥、蝮蛇、海龟、海蛇等。鸟类有250多种，其中以旅鸟为主，占70%以上，候鸟和留鸟种类较少。常见的鸟类有麻雀、黄鹂、斑鸠、八哥、百灵、燕子、乌鸦、布谷鸟、啄木鸟、猫头鹰、野鸡、布鸽、雁鹫、海鸥等。列入国家保护的野生动物一级的有梅花鹿、中华秋沙鸭、金雕、黑鹳4种，二级的有大天鹅、鸳鸯、灰鹤、苍鹰等12种；其余鸟类及狐狸、豹猫、獾、黄鼬、刺猬等列入山东省重点保护野生动物。</w:t>
            </w:r>
          </w:p>
          <w:p w14:paraId="2A67B3BB">
            <w:pPr>
              <w:pStyle w:val="11"/>
              <w:spacing w:line="360" w:lineRule="auto"/>
              <w:ind w:firstLine="480" w:firstLineChars="200"/>
              <w:textAlignment w:val="baseline"/>
              <w:rPr>
                <w:szCs w:val="24"/>
              </w:rPr>
            </w:pPr>
            <w:r>
              <w:rPr>
                <w:szCs w:val="24"/>
              </w:rPr>
              <w:t>沿岸浮游生物及其他饵料生物充足，为鱼、虾、贝藻等多种水产生物的繁衍、生息提供了优越的环境条件。威海市的海洋渔业资源以底层鱼虾为主，主要经济鱼虾都是黄海地方群。</w:t>
            </w:r>
          </w:p>
          <w:p w14:paraId="6395C4C5">
            <w:pPr>
              <w:rPr>
                <w:sz w:val="24"/>
                <w:szCs w:val="24"/>
              </w:rPr>
            </w:pPr>
          </w:p>
          <w:p w14:paraId="5CE81EF0">
            <w:pPr>
              <w:pStyle w:val="37"/>
              <w:ind w:firstLine="480"/>
              <w:rPr>
                <w:sz w:val="24"/>
                <w:szCs w:val="24"/>
                <w:shd w:val="clear" w:color="auto" w:fill="FFFFFF"/>
              </w:rPr>
            </w:pPr>
          </w:p>
          <w:p w14:paraId="593EC58D">
            <w:pPr>
              <w:pStyle w:val="37"/>
              <w:ind w:firstLine="480"/>
              <w:rPr>
                <w:sz w:val="24"/>
                <w:szCs w:val="24"/>
                <w:shd w:val="clear" w:color="auto" w:fill="FFFFFF"/>
              </w:rPr>
            </w:pPr>
          </w:p>
        </w:tc>
      </w:tr>
      <w:tr w14:paraId="70F2FED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56" w:type="dxa"/>
          </w:tcPr>
          <w:p w14:paraId="3AAC60ED">
            <w:pPr>
              <w:spacing w:line="360" w:lineRule="auto"/>
              <w:rPr>
                <w:b/>
                <w:sz w:val="24"/>
                <w:szCs w:val="24"/>
              </w:rPr>
            </w:pPr>
            <w:r>
              <w:rPr>
                <w:b/>
                <w:sz w:val="24"/>
                <w:szCs w:val="24"/>
              </w:rPr>
              <w:t>社会环境简况（经济发展、</w:t>
            </w:r>
            <w:r>
              <w:rPr>
                <w:rFonts w:hint="eastAsia"/>
                <w:b/>
                <w:sz w:val="24"/>
                <w:szCs w:val="24"/>
              </w:rPr>
              <w:t>社会事业</w:t>
            </w:r>
            <w:r>
              <w:rPr>
                <w:b/>
                <w:sz w:val="24"/>
                <w:szCs w:val="24"/>
              </w:rPr>
              <w:t>、文物保护等）：</w:t>
            </w:r>
          </w:p>
          <w:p w14:paraId="1F8023B9">
            <w:pPr>
              <w:spacing w:line="360" w:lineRule="auto"/>
              <w:ind w:firstLine="482" w:firstLineChars="200"/>
              <w:jc w:val="left"/>
              <w:rPr>
                <w:rFonts w:eastAsiaTheme="minorEastAsia"/>
                <w:b/>
                <w:bCs/>
                <w:sz w:val="24"/>
                <w:szCs w:val="24"/>
              </w:rPr>
            </w:pPr>
            <w:r>
              <w:rPr>
                <w:rFonts w:hint="eastAsia" w:eastAsiaTheme="minorEastAsia"/>
                <w:b/>
                <w:bCs/>
                <w:sz w:val="24"/>
                <w:szCs w:val="24"/>
              </w:rPr>
              <w:t>1</w:t>
            </w:r>
            <w:r>
              <w:rPr>
                <w:rFonts w:eastAsiaTheme="minorEastAsia"/>
                <w:b/>
                <w:bCs/>
                <w:sz w:val="24"/>
                <w:szCs w:val="24"/>
              </w:rPr>
              <w:t>、经济发展</w:t>
            </w:r>
          </w:p>
          <w:p w14:paraId="6DDB1C8B">
            <w:pPr>
              <w:spacing w:line="360" w:lineRule="auto"/>
              <w:ind w:firstLine="480" w:firstLineChars="200"/>
              <w:jc w:val="left"/>
              <w:rPr>
                <w:rFonts w:eastAsiaTheme="minorEastAsia"/>
                <w:sz w:val="24"/>
                <w:szCs w:val="24"/>
              </w:rPr>
            </w:pPr>
            <w:r>
              <w:rPr>
                <w:rFonts w:eastAsiaTheme="minorEastAsia"/>
                <w:sz w:val="24"/>
                <w:szCs w:val="24"/>
              </w:rPr>
              <w:t>2019年，全区生产总值376.03亿元，按可比价格计算，比上年增长3.2%。其中，第一产业增加值30.28亿元，比上年下降1.1%；第二产业增加值120.76亿元，增长5.0%；第三产业增加值224.99亿元，增长2.6%。三次产业结构调整为8.1︰32.1︰59.8。</w:t>
            </w:r>
          </w:p>
          <w:p w14:paraId="1AFA31D4">
            <w:pPr>
              <w:spacing w:line="360" w:lineRule="auto"/>
              <w:ind w:firstLine="480" w:firstLineChars="200"/>
              <w:jc w:val="left"/>
              <w:rPr>
                <w:rFonts w:eastAsiaTheme="minorEastAsia"/>
                <w:sz w:val="24"/>
                <w:szCs w:val="24"/>
              </w:rPr>
            </w:pPr>
            <w:r>
              <w:rPr>
                <w:rFonts w:eastAsiaTheme="minorEastAsia"/>
                <w:sz w:val="24"/>
                <w:szCs w:val="24"/>
              </w:rPr>
              <w:t>2019年，全区对外贸易进出口总额215.7亿元，下降27.3%。其中，出口157.5亿元，下降22.3%；进口58.2亿元，下降38.1%。从企业性质看，外商投资企业进出口24.5亿元，下降14.1%，占全区进出口的11.4%；私营企业进出口101.6亿元，下降31.2%，占全区进出口的47.1%。从贸易方式看，一般贸易进出口161.5亿元，下降33.3%，占全区的74.9%；加工贸易进出口52.8亿元，增长1.4%，占全区的24.5%；其他贸易进出口1.3亿元，下降26.8%，占全区的0.6%。从主要市场看，全区企业与188个国家和地区有贸易往来。其中，对韩国出口29亿元，占全区出口的18.4%；对欧盟出口28.3亿元，占全区出口的17.9%；对日本出口27.3亿元，占全区出口的17.3%；对美国出口20.6亿元，占全区出口的13.1%。从出口商品看，纺织服装出口67.8亿元，下降25.2%，占全区出口的43.1%；机电高新技术产品出口28.4亿元，下降25.4%，占全区出口的18%；农产品出口8.7亿元，下降2.9%，占全区出口的5.5%。</w:t>
            </w:r>
          </w:p>
          <w:p w14:paraId="4B02CBE4">
            <w:pPr>
              <w:spacing w:line="360" w:lineRule="auto"/>
              <w:ind w:firstLine="480" w:firstLineChars="200"/>
              <w:jc w:val="left"/>
              <w:rPr>
                <w:rFonts w:eastAsiaTheme="minorEastAsia"/>
                <w:sz w:val="24"/>
                <w:szCs w:val="24"/>
              </w:rPr>
            </w:pPr>
            <w:r>
              <w:rPr>
                <w:rFonts w:eastAsiaTheme="minorEastAsia"/>
                <w:sz w:val="24"/>
                <w:szCs w:val="24"/>
              </w:rPr>
              <w:t>2019年，全区有规模以上民营工业企业86家，占全区规模以上工业企业总数的78.9%，完成工业总产值223.8亿元，比上年增长7.2%；实现营业收入190.2亿元、利润18.1亿元，分别比上年增长5.0%、36.7%，营业收入、利润指标占全区规模以上工业企业的比重分别为80.1%、72.1%，民营经济发展质量明显提升。至年末。全区有民营经济市场主体64118户，比上年增长13.28%，注册资金674.8亿元，比上年增长12.16%。其中，个体工商户43321户，比上年增长14.15%，注册资金24.4亿元，比上年增长30.83%；私营企业20583户，比上年增长11.55%，注册资金640.09亿元，比上年增长11.77%；农民专业合作社214户，比上年增长7%，注册资金10.31亿元，比上年增长0.31%。民营经济市场主体发展活跃，总量持续扩大</w:t>
            </w:r>
            <w:r>
              <w:rPr>
                <w:rFonts w:hint="eastAsia" w:eastAsiaTheme="minorEastAsia"/>
                <w:sz w:val="24"/>
                <w:szCs w:val="24"/>
              </w:rPr>
              <w:t>。</w:t>
            </w:r>
          </w:p>
          <w:p w14:paraId="578F5722">
            <w:pPr>
              <w:spacing w:line="360" w:lineRule="auto"/>
              <w:ind w:firstLine="482" w:firstLineChars="200"/>
              <w:jc w:val="left"/>
              <w:rPr>
                <w:rFonts w:eastAsiaTheme="minorEastAsia"/>
                <w:b/>
                <w:bCs/>
                <w:sz w:val="24"/>
                <w:szCs w:val="24"/>
              </w:rPr>
            </w:pPr>
            <w:r>
              <w:rPr>
                <w:rFonts w:hint="eastAsia" w:eastAsiaTheme="minorEastAsia"/>
                <w:b/>
                <w:bCs/>
                <w:sz w:val="24"/>
                <w:szCs w:val="24"/>
              </w:rPr>
              <w:t>2、</w:t>
            </w:r>
            <w:r>
              <w:rPr>
                <w:rFonts w:eastAsiaTheme="minorEastAsia"/>
                <w:b/>
                <w:bCs/>
                <w:sz w:val="24"/>
                <w:szCs w:val="24"/>
              </w:rPr>
              <w:t>社会事业</w:t>
            </w:r>
          </w:p>
          <w:p w14:paraId="4C00638A">
            <w:pPr>
              <w:spacing w:line="360" w:lineRule="auto"/>
              <w:ind w:firstLine="480" w:firstLineChars="200"/>
              <w:jc w:val="left"/>
              <w:rPr>
                <w:rFonts w:eastAsiaTheme="minorEastAsia"/>
                <w:sz w:val="24"/>
                <w:szCs w:val="24"/>
              </w:rPr>
            </w:pPr>
            <w:r>
              <w:rPr>
                <w:rFonts w:eastAsiaTheme="minorEastAsia"/>
                <w:sz w:val="24"/>
                <w:szCs w:val="24"/>
                <w:shd w:val="clear" w:color="auto" w:fill="FFFFFF"/>
              </w:rPr>
              <w:t>2018年，环翠区累计取得重要科学技术成果8项。累计登记技术合同99项，合同金额5.56亿元。共授权发明专利77件，授权专利数796件。新备案省级科技企业孵化器3家，总数达到7家；新增市工程技术研究中心2家，区工程技术研究中心3家。截至年末，共建有国家工程技术研究中心1家，省工程技术研究中心10家，省重点实验室3家，院士工作站2家，市工程技术研究中心25家，市重点实验室2家，区工程技术研究中心27家。新认定市级工业设计中心3家，区级工业设计中心3家。截至年末，全区共有各级工业设计中心17家。其中，国家级工业设计中心1家，省级工业设计中心4家，市级工业设计中心7家，区级工业设计中心5家。新认定各级企业技术中心9家。其中，省级1家、市级5家、区级3家。截至年末，全区共有省级企业技术中心21家，市级企业技术中心23家，区级企业技术中心24家。新增高新技术企业18家。截至年末，全区共拥有高新技术企业71家，国家科技型中小企业66家。全区拥有中国驰名商标7件；地理标志商标3件；山东省著名商标15件；威海市知名商标42件。山东名牌产品38个，新增2个；山东省服务名牌30个，新增6个</w:t>
            </w:r>
            <w:r>
              <w:rPr>
                <w:rFonts w:eastAsiaTheme="minorEastAsia"/>
                <w:sz w:val="24"/>
                <w:szCs w:val="24"/>
              </w:rPr>
              <w:t>。</w:t>
            </w:r>
          </w:p>
          <w:p w14:paraId="48C9536C">
            <w:pPr>
              <w:spacing w:line="360" w:lineRule="auto"/>
              <w:ind w:firstLine="480" w:firstLineChars="200"/>
              <w:jc w:val="left"/>
              <w:rPr>
                <w:rFonts w:eastAsiaTheme="minorEastAsia"/>
                <w:sz w:val="24"/>
                <w:szCs w:val="24"/>
              </w:rPr>
            </w:pPr>
            <w:r>
              <w:rPr>
                <w:rFonts w:eastAsiaTheme="minorEastAsia"/>
                <w:sz w:val="24"/>
                <w:szCs w:val="24"/>
                <w:shd w:val="clear" w:color="auto" w:fill="FFFFFF"/>
              </w:rPr>
              <w:t>截至2018年末，环翠区共有中等职业学校2所，在校学生1018人；义务教育学校32所（九年一贯制学校4所、初中9所、小学19所），在校学生49921人，在编教职工3045人，全区省级规范化学校比例为87%；幼儿园55所，幼儿园在园幼儿15735人，教职工1971人，全区学前教育三年幼儿入园率达到99%以上，省市级示范幼儿园比例为98.2%，学前教育普惠率达到88.4%</w:t>
            </w:r>
            <w:r>
              <w:rPr>
                <w:rFonts w:eastAsiaTheme="minorEastAsia"/>
                <w:sz w:val="24"/>
                <w:szCs w:val="24"/>
              </w:rPr>
              <w:t>。</w:t>
            </w:r>
          </w:p>
          <w:p w14:paraId="041896B4">
            <w:pPr>
              <w:spacing w:line="360" w:lineRule="auto"/>
              <w:ind w:firstLine="480" w:firstLineChars="200"/>
              <w:jc w:val="left"/>
              <w:rPr>
                <w:rFonts w:eastAsiaTheme="minorEastAsia"/>
                <w:sz w:val="24"/>
                <w:szCs w:val="24"/>
              </w:rPr>
            </w:pPr>
            <w:r>
              <w:rPr>
                <w:rFonts w:eastAsiaTheme="minorEastAsia"/>
                <w:sz w:val="24"/>
                <w:szCs w:val="24"/>
                <w:shd w:val="clear" w:color="auto" w:fill="FFFFFF"/>
              </w:rPr>
              <w:t>截至2018年末，环翠区有各类民间艺术团体220个，文化馆1个，公共图书馆1个，美术馆1个。各类电影放映单位15个（其中含镇放映队10个），其中电影院5座，2018年，环翠区总票房2977.7万元。</w:t>
            </w:r>
          </w:p>
          <w:p w14:paraId="02EA7D6F">
            <w:pPr>
              <w:spacing w:line="360" w:lineRule="auto"/>
              <w:ind w:firstLine="480" w:firstLineChars="200"/>
              <w:jc w:val="left"/>
              <w:rPr>
                <w:rFonts w:eastAsiaTheme="minorEastAsia"/>
                <w:sz w:val="24"/>
                <w:szCs w:val="24"/>
              </w:rPr>
            </w:pPr>
            <w:r>
              <w:rPr>
                <w:rFonts w:eastAsiaTheme="minorEastAsia"/>
                <w:sz w:val="24"/>
                <w:szCs w:val="24"/>
                <w:shd w:val="clear" w:color="auto" w:fill="FFFFFF"/>
              </w:rPr>
              <w:t>2018年，环翠区有9.35万人参加城镇职工基本养老保险，有4.23万名离退休职工享受养老保险。有10.73万人参加城镇职工基本医疗保险，12.37万人参加居民医疗保险。</w:t>
            </w:r>
          </w:p>
          <w:p w14:paraId="1DC5C790">
            <w:pPr>
              <w:spacing w:line="360" w:lineRule="auto"/>
              <w:ind w:firstLine="482" w:firstLineChars="200"/>
              <w:jc w:val="left"/>
              <w:rPr>
                <w:rFonts w:eastAsiaTheme="minorEastAsia"/>
                <w:b/>
                <w:bCs/>
                <w:sz w:val="24"/>
                <w:szCs w:val="24"/>
              </w:rPr>
            </w:pPr>
            <w:r>
              <w:rPr>
                <w:rFonts w:hint="eastAsia" w:eastAsiaTheme="minorEastAsia"/>
                <w:b/>
                <w:bCs/>
                <w:sz w:val="24"/>
                <w:szCs w:val="24"/>
              </w:rPr>
              <w:t>3、</w:t>
            </w:r>
            <w:r>
              <w:rPr>
                <w:rFonts w:eastAsiaTheme="minorEastAsia"/>
                <w:b/>
                <w:bCs/>
                <w:sz w:val="24"/>
                <w:szCs w:val="24"/>
              </w:rPr>
              <w:t>文物保护</w:t>
            </w:r>
          </w:p>
          <w:p w14:paraId="4F42E94D">
            <w:pPr>
              <w:spacing w:line="360" w:lineRule="auto"/>
              <w:ind w:firstLine="480" w:firstLineChars="200"/>
              <w:jc w:val="left"/>
              <w:rPr>
                <w:rFonts w:eastAsiaTheme="minorEastAsia"/>
                <w:b/>
                <w:bCs/>
                <w:sz w:val="24"/>
                <w:szCs w:val="24"/>
              </w:rPr>
            </w:pPr>
            <w:r>
              <w:rPr>
                <w:rFonts w:eastAsiaTheme="minorEastAsia"/>
                <w:sz w:val="24"/>
                <w:szCs w:val="24"/>
              </w:rPr>
              <w:t>本项目所在区域内无国家、省、市级重点文物保护单位、名胜古迹及自然保护区</w:t>
            </w:r>
            <w:r>
              <w:rPr>
                <w:rFonts w:hint="eastAsia"/>
                <w:sz w:val="24"/>
                <w:szCs w:val="24"/>
              </w:rPr>
              <w:t>。</w:t>
            </w:r>
          </w:p>
          <w:p w14:paraId="14043FB7">
            <w:pPr>
              <w:spacing w:line="360" w:lineRule="auto"/>
              <w:ind w:firstLine="482" w:firstLineChars="200"/>
              <w:jc w:val="left"/>
              <w:rPr>
                <w:rFonts w:eastAsiaTheme="minorEastAsia"/>
                <w:b/>
                <w:bCs/>
                <w:sz w:val="24"/>
                <w:szCs w:val="24"/>
              </w:rPr>
            </w:pPr>
          </w:p>
          <w:p w14:paraId="5C1C5327">
            <w:pPr>
              <w:spacing w:line="360" w:lineRule="auto"/>
              <w:ind w:firstLine="482" w:firstLineChars="200"/>
              <w:jc w:val="left"/>
              <w:rPr>
                <w:rFonts w:eastAsiaTheme="minorEastAsia"/>
                <w:b/>
                <w:bCs/>
                <w:sz w:val="24"/>
                <w:szCs w:val="24"/>
              </w:rPr>
            </w:pPr>
          </w:p>
          <w:p w14:paraId="1A5E981A">
            <w:pPr>
              <w:spacing w:line="360" w:lineRule="auto"/>
              <w:ind w:firstLine="482" w:firstLineChars="200"/>
              <w:jc w:val="left"/>
              <w:rPr>
                <w:rFonts w:eastAsiaTheme="minorEastAsia"/>
                <w:b/>
                <w:bCs/>
                <w:sz w:val="24"/>
                <w:szCs w:val="24"/>
              </w:rPr>
            </w:pPr>
          </w:p>
          <w:p w14:paraId="0FD0EA55">
            <w:pPr>
              <w:spacing w:line="360" w:lineRule="auto"/>
              <w:ind w:firstLine="482" w:firstLineChars="200"/>
              <w:jc w:val="left"/>
              <w:rPr>
                <w:rFonts w:eastAsiaTheme="minorEastAsia"/>
                <w:b/>
                <w:bCs/>
                <w:sz w:val="24"/>
                <w:szCs w:val="24"/>
              </w:rPr>
            </w:pPr>
          </w:p>
          <w:p w14:paraId="71AB4A87">
            <w:pPr>
              <w:spacing w:line="360" w:lineRule="auto"/>
              <w:ind w:firstLine="482" w:firstLineChars="200"/>
              <w:jc w:val="left"/>
              <w:rPr>
                <w:rFonts w:eastAsiaTheme="minorEastAsia"/>
                <w:b/>
                <w:bCs/>
                <w:sz w:val="24"/>
                <w:szCs w:val="24"/>
              </w:rPr>
            </w:pPr>
          </w:p>
          <w:p w14:paraId="4EC03BFE">
            <w:pPr>
              <w:pStyle w:val="36"/>
              <w:ind w:firstLine="482"/>
              <w:rPr>
                <w:rFonts w:cs="Times New Roman" w:eastAsiaTheme="minorEastAsia"/>
                <w:b/>
                <w:bCs/>
                <w:szCs w:val="24"/>
              </w:rPr>
            </w:pPr>
          </w:p>
          <w:p w14:paraId="4E88EC8D">
            <w:pPr>
              <w:pStyle w:val="36"/>
              <w:ind w:firstLine="482"/>
              <w:rPr>
                <w:rFonts w:cs="Times New Roman" w:eastAsiaTheme="minorEastAsia"/>
                <w:b/>
                <w:bCs/>
                <w:szCs w:val="24"/>
              </w:rPr>
            </w:pPr>
          </w:p>
          <w:p w14:paraId="590F5714">
            <w:pPr>
              <w:spacing w:line="360" w:lineRule="auto"/>
              <w:rPr>
                <w:sz w:val="24"/>
                <w:szCs w:val="24"/>
              </w:rPr>
            </w:pPr>
          </w:p>
        </w:tc>
      </w:tr>
    </w:tbl>
    <w:p w14:paraId="5D3E5A14">
      <w:pPr>
        <w:spacing w:after="120"/>
        <w:rPr>
          <w:rFonts w:eastAsia="黑体"/>
          <w:sz w:val="30"/>
          <w:szCs w:val="30"/>
        </w:rPr>
      </w:pPr>
      <w:r>
        <w:rPr>
          <w:rFonts w:eastAsia="黑体"/>
          <w:sz w:val="30"/>
          <w:szCs w:val="30"/>
        </w:rPr>
        <w:t>三、环境质量状况</w:t>
      </w:r>
    </w:p>
    <w:tbl>
      <w:tblPr>
        <w:tblStyle w:val="27"/>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14:paraId="4D0496D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9356" w:type="dxa"/>
            <w:vAlign w:val="center"/>
          </w:tcPr>
          <w:p w14:paraId="65EADF4D">
            <w:pPr>
              <w:snapToGrid w:val="0"/>
              <w:spacing w:line="360" w:lineRule="auto"/>
              <w:rPr>
                <w:b/>
                <w:bCs/>
                <w:sz w:val="24"/>
                <w:szCs w:val="24"/>
              </w:rPr>
            </w:pPr>
            <w:r>
              <w:rPr>
                <w:b/>
                <w:bCs/>
                <w:sz w:val="24"/>
                <w:szCs w:val="24"/>
              </w:rPr>
              <w:t>建设项目所在地区域环境质量现状及主要环境问题（环境空气、地表水、地下水、声环境、生态环境等）：</w:t>
            </w:r>
          </w:p>
          <w:p w14:paraId="3B25C075">
            <w:pPr>
              <w:spacing w:line="360" w:lineRule="auto"/>
              <w:ind w:firstLine="480" w:firstLineChars="200"/>
              <w:rPr>
                <w:sz w:val="24"/>
                <w:szCs w:val="24"/>
              </w:rPr>
            </w:pPr>
            <w:r>
              <w:rPr>
                <w:sz w:val="24"/>
                <w:szCs w:val="24"/>
              </w:rPr>
              <w:t>根据建设项目所在区域环保功能区划，环境空气为二类区，声环境为</w:t>
            </w:r>
            <w:r>
              <w:rPr>
                <w:rFonts w:hint="eastAsia"/>
                <w:sz w:val="24"/>
                <w:szCs w:val="24"/>
              </w:rPr>
              <w:t>2</w:t>
            </w:r>
            <w:r>
              <w:rPr>
                <w:sz w:val="24"/>
                <w:szCs w:val="24"/>
              </w:rPr>
              <w:t>类区，地表水为</w:t>
            </w:r>
            <w:r>
              <w:rPr>
                <w:rFonts w:hint="eastAsia" w:cs="宋体"/>
                <w:kern w:val="0"/>
                <w:sz w:val="24"/>
                <w:szCs w:val="24"/>
              </w:rPr>
              <w:t>Ⅲ</w:t>
            </w:r>
            <w:r>
              <w:rPr>
                <w:sz w:val="24"/>
              </w:rPr>
              <w:t>类区</w:t>
            </w:r>
            <w:r>
              <w:rPr>
                <w:sz w:val="24"/>
                <w:szCs w:val="24"/>
              </w:rPr>
              <w:t>，生态环境为城市生态环境类型。</w:t>
            </w:r>
          </w:p>
          <w:p w14:paraId="5A29D2BD">
            <w:pPr>
              <w:spacing w:line="360" w:lineRule="auto"/>
              <w:ind w:firstLine="482" w:firstLineChars="200"/>
              <w:rPr>
                <w:b/>
                <w:bCs/>
                <w:sz w:val="24"/>
                <w:szCs w:val="24"/>
              </w:rPr>
            </w:pPr>
            <w:r>
              <w:rPr>
                <w:b/>
                <w:bCs/>
                <w:sz w:val="24"/>
                <w:szCs w:val="24"/>
              </w:rPr>
              <w:t>一、空气环境</w:t>
            </w:r>
          </w:p>
          <w:p w14:paraId="141DB6D5">
            <w:pPr>
              <w:spacing w:line="360" w:lineRule="auto"/>
              <w:ind w:firstLine="480" w:firstLineChars="200"/>
              <w:rPr>
                <w:rFonts w:eastAsiaTheme="minorEastAsia"/>
                <w:color w:val="000000"/>
                <w:kern w:val="0"/>
                <w:sz w:val="24"/>
                <w:szCs w:val="24"/>
              </w:rPr>
            </w:pPr>
            <w:r>
              <w:rPr>
                <w:rFonts w:eastAsiaTheme="minorEastAsia"/>
                <w:color w:val="000000"/>
                <w:kern w:val="0"/>
                <w:sz w:val="24"/>
                <w:szCs w:val="24"/>
              </w:rPr>
              <w:t>据威海市生态环境局发布的《威海市2019年环境质量公报》，威海市2019年环境空气年度统计监测结果见表</w:t>
            </w:r>
            <w:r>
              <w:rPr>
                <w:rFonts w:hint="eastAsia" w:eastAsiaTheme="minorEastAsia"/>
                <w:color w:val="000000"/>
                <w:kern w:val="0"/>
                <w:sz w:val="24"/>
                <w:szCs w:val="24"/>
              </w:rPr>
              <w:t>3-1</w:t>
            </w:r>
            <w:r>
              <w:rPr>
                <w:rFonts w:eastAsiaTheme="minorEastAsia"/>
                <w:color w:val="000000"/>
                <w:kern w:val="0"/>
                <w:sz w:val="24"/>
                <w:szCs w:val="24"/>
              </w:rPr>
              <w:t>。</w:t>
            </w:r>
          </w:p>
          <w:p w14:paraId="7FEB3612">
            <w:pPr>
              <w:widowControl/>
              <w:jc w:val="center"/>
              <w:rPr>
                <w:rFonts w:eastAsiaTheme="minorEastAsia"/>
                <w:b/>
                <w:sz w:val="24"/>
                <w:szCs w:val="24"/>
              </w:rPr>
            </w:pPr>
            <w:r>
              <w:rPr>
                <w:rFonts w:eastAsiaTheme="minorEastAsia"/>
                <w:b/>
                <w:sz w:val="24"/>
                <w:szCs w:val="24"/>
              </w:rPr>
              <w:t>表</w:t>
            </w:r>
            <w:r>
              <w:rPr>
                <w:rFonts w:hint="eastAsia" w:eastAsiaTheme="minorEastAsia"/>
                <w:b/>
                <w:sz w:val="24"/>
                <w:szCs w:val="24"/>
              </w:rPr>
              <w:t xml:space="preserve">3-1  </w:t>
            </w:r>
            <w:r>
              <w:rPr>
                <w:rFonts w:eastAsiaTheme="minorEastAsia"/>
                <w:b/>
                <w:sz w:val="24"/>
                <w:szCs w:val="24"/>
              </w:rPr>
              <w:t>威海市2019年环境空气年度统计监测结果（单位：mg/m</w:t>
            </w:r>
            <w:r>
              <w:rPr>
                <w:rFonts w:eastAsiaTheme="minorEastAsia"/>
                <w:b/>
                <w:sz w:val="24"/>
                <w:szCs w:val="24"/>
                <w:vertAlign w:val="superscript"/>
              </w:rPr>
              <w:t>3</w:t>
            </w:r>
            <w:r>
              <w:rPr>
                <w:rFonts w:eastAsiaTheme="minorEastAsia"/>
                <w:b/>
                <w:sz w:val="24"/>
                <w:szCs w:val="24"/>
              </w:rPr>
              <w:t>）</w:t>
            </w:r>
          </w:p>
          <w:tbl>
            <w:tblPr>
              <w:tblStyle w:val="27"/>
              <w:tblW w:w="1021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030"/>
              <w:gridCol w:w="809"/>
              <w:gridCol w:w="809"/>
              <w:gridCol w:w="810"/>
              <w:gridCol w:w="809"/>
              <w:gridCol w:w="1809"/>
              <w:gridCol w:w="3135"/>
            </w:tblGrid>
            <w:tr w14:paraId="2151BC4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70" w:hRule="atLeast"/>
                <w:jc w:val="center"/>
              </w:trPr>
              <w:tc>
                <w:tcPr>
                  <w:tcW w:w="2030" w:type="dxa"/>
                  <w:vMerge w:val="restart"/>
                  <w:tcBorders>
                    <w:top w:val="single" w:color="auto" w:sz="4" w:space="0"/>
                    <w:left w:val="single" w:color="auto" w:sz="4" w:space="0"/>
                    <w:bottom w:val="single" w:color="auto" w:sz="4" w:space="0"/>
                    <w:right w:val="single" w:color="auto" w:sz="4" w:space="0"/>
                    <w:tl2br w:val="single" w:color="auto" w:sz="8" w:space="0"/>
                  </w:tcBorders>
                  <w:vAlign w:val="center"/>
                </w:tcPr>
                <w:p w14:paraId="1A42E130">
                  <w:pPr>
                    <w:spacing w:before="50"/>
                    <w:jc w:val="right"/>
                    <w:rPr>
                      <w:szCs w:val="21"/>
                    </w:rPr>
                  </w:pPr>
                  <w:r>
                    <w:rPr>
                      <w:szCs w:val="21"/>
                    </w:rPr>
                    <w:t xml:space="preserve">                  项目</w:t>
                  </w:r>
                </w:p>
                <w:p w14:paraId="7C353C81">
                  <w:pPr>
                    <w:rPr>
                      <w:szCs w:val="21"/>
                    </w:rPr>
                  </w:pPr>
                  <w:r>
                    <w:rPr>
                      <w:szCs w:val="21"/>
                    </w:rPr>
                    <w:t>点位</w:t>
                  </w:r>
                </w:p>
              </w:tc>
              <w:tc>
                <w:tcPr>
                  <w:tcW w:w="809" w:type="dxa"/>
                  <w:tcBorders>
                    <w:top w:val="single" w:color="auto" w:sz="4" w:space="0"/>
                    <w:left w:val="single" w:color="auto" w:sz="4" w:space="0"/>
                    <w:bottom w:val="single" w:color="auto" w:sz="4" w:space="0"/>
                    <w:right w:val="single" w:color="auto" w:sz="4" w:space="0"/>
                  </w:tcBorders>
                  <w:vAlign w:val="center"/>
                </w:tcPr>
                <w:p w14:paraId="79DEE937">
                  <w:pPr>
                    <w:tabs>
                      <w:tab w:val="left" w:pos="4678"/>
                    </w:tabs>
                    <w:jc w:val="center"/>
                    <w:rPr>
                      <w:szCs w:val="21"/>
                    </w:rPr>
                  </w:pPr>
                  <w:r>
                    <w:rPr>
                      <w:szCs w:val="21"/>
                    </w:rPr>
                    <w:t>SO</w:t>
                  </w:r>
                  <w:r>
                    <w:rPr>
                      <w:szCs w:val="21"/>
                      <w:vertAlign w:val="subscript"/>
                    </w:rPr>
                    <w:t>2</w:t>
                  </w:r>
                </w:p>
              </w:tc>
              <w:tc>
                <w:tcPr>
                  <w:tcW w:w="809" w:type="dxa"/>
                  <w:tcBorders>
                    <w:top w:val="single" w:color="auto" w:sz="4" w:space="0"/>
                    <w:left w:val="single" w:color="auto" w:sz="4" w:space="0"/>
                    <w:bottom w:val="single" w:color="auto" w:sz="4" w:space="0"/>
                    <w:right w:val="single" w:color="auto" w:sz="4" w:space="0"/>
                  </w:tcBorders>
                  <w:vAlign w:val="center"/>
                </w:tcPr>
                <w:p w14:paraId="006ABA0E">
                  <w:pPr>
                    <w:tabs>
                      <w:tab w:val="left" w:pos="4678"/>
                    </w:tabs>
                    <w:jc w:val="center"/>
                    <w:rPr>
                      <w:szCs w:val="21"/>
                    </w:rPr>
                  </w:pPr>
                  <w:r>
                    <w:rPr>
                      <w:szCs w:val="21"/>
                    </w:rPr>
                    <w:t>NO</w:t>
                  </w:r>
                  <w:r>
                    <w:rPr>
                      <w:szCs w:val="21"/>
                      <w:vertAlign w:val="subscript"/>
                    </w:rPr>
                    <w:t>2</w:t>
                  </w:r>
                </w:p>
              </w:tc>
              <w:tc>
                <w:tcPr>
                  <w:tcW w:w="810" w:type="dxa"/>
                  <w:tcBorders>
                    <w:top w:val="single" w:color="auto" w:sz="4" w:space="0"/>
                    <w:left w:val="single" w:color="auto" w:sz="4" w:space="0"/>
                    <w:bottom w:val="single" w:color="auto" w:sz="4" w:space="0"/>
                    <w:right w:val="single" w:color="auto" w:sz="4" w:space="0"/>
                  </w:tcBorders>
                  <w:vAlign w:val="center"/>
                </w:tcPr>
                <w:p w14:paraId="771A6F7C">
                  <w:pPr>
                    <w:tabs>
                      <w:tab w:val="left" w:pos="4678"/>
                    </w:tabs>
                    <w:jc w:val="center"/>
                    <w:rPr>
                      <w:szCs w:val="21"/>
                    </w:rPr>
                  </w:pPr>
                  <w:r>
                    <w:rPr>
                      <w:szCs w:val="21"/>
                    </w:rPr>
                    <w:t>PM</w:t>
                  </w:r>
                  <w:r>
                    <w:rPr>
                      <w:szCs w:val="21"/>
                      <w:vertAlign w:val="subscript"/>
                    </w:rPr>
                    <w:t>2.5</w:t>
                  </w:r>
                </w:p>
              </w:tc>
              <w:tc>
                <w:tcPr>
                  <w:tcW w:w="809" w:type="dxa"/>
                  <w:tcBorders>
                    <w:top w:val="single" w:color="auto" w:sz="4" w:space="0"/>
                    <w:left w:val="single" w:color="auto" w:sz="4" w:space="0"/>
                    <w:bottom w:val="single" w:color="auto" w:sz="4" w:space="0"/>
                    <w:right w:val="single" w:color="auto" w:sz="4" w:space="0"/>
                  </w:tcBorders>
                  <w:vAlign w:val="center"/>
                </w:tcPr>
                <w:p w14:paraId="1EA8AB3C">
                  <w:pPr>
                    <w:tabs>
                      <w:tab w:val="left" w:pos="4678"/>
                    </w:tabs>
                    <w:jc w:val="center"/>
                    <w:rPr>
                      <w:szCs w:val="21"/>
                    </w:rPr>
                  </w:pPr>
                  <w:r>
                    <w:rPr>
                      <w:szCs w:val="21"/>
                    </w:rPr>
                    <w:t>PM</w:t>
                  </w:r>
                  <w:r>
                    <w:rPr>
                      <w:szCs w:val="21"/>
                      <w:vertAlign w:val="subscript"/>
                    </w:rPr>
                    <w:t>10</w:t>
                  </w:r>
                </w:p>
              </w:tc>
              <w:tc>
                <w:tcPr>
                  <w:tcW w:w="1809" w:type="dxa"/>
                  <w:tcBorders>
                    <w:top w:val="single" w:color="auto" w:sz="4" w:space="0"/>
                    <w:left w:val="single" w:color="auto" w:sz="4" w:space="0"/>
                    <w:bottom w:val="single" w:color="auto" w:sz="4" w:space="0"/>
                    <w:right w:val="single" w:color="auto" w:sz="4" w:space="0"/>
                  </w:tcBorders>
                </w:tcPr>
                <w:p w14:paraId="40DB9DE3">
                  <w:pPr>
                    <w:jc w:val="center"/>
                    <w:textAlignment w:val="baseline"/>
                    <w:rPr>
                      <w:szCs w:val="21"/>
                    </w:rPr>
                  </w:pPr>
                  <w:r>
                    <w:rPr>
                      <w:rFonts w:hint="eastAsia"/>
                      <w:szCs w:val="21"/>
                    </w:rPr>
                    <w:t>C</w:t>
                  </w:r>
                  <w:r>
                    <w:rPr>
                      <w:szCs w:val="21"/>
                    </w:rPr>
                    <w:t>O</w:t>
                  </w:r>
                </w:p>
              </w:tc>
              <w:tc>
                <w:tcPr>
                  <w:tcW w:w="3135" w:type="dxa"/>
                  <w:tcBorders>
                    <w:top w:val="single" w:color="auto" w:sz="4" w:space="0"/>
                    <w:left w:val="single" w:color="auto" w:sz="4" w:space="0"/>
                    <w:bottom w:val="single" w:color="auto" w:sz="4" w:space="0"/>
                    <w:right w:val="single" w:color="auto" w:sz="4" w:space="0"/>
                  </w:tcBorders>
                </w:tcPr>
                <w:p w14:paraId="02E214E0">
                  <w:pPr>
                    <w:jc w:val="center"/>
                    <w:textAlignment w:val="baseline"/>
                    <w:rPr>
                      <w:szCs w:val="21"/>
                    </w:rPr>
                  </w:pPr>
                  <w:r>
                    <w:rPr>
                      <w:rFonts w:hint="eastAsia"/>
                      <w:szCs w:val="21"/>
                    </w:rPr>
                    <w:t>O</w:t>
                  </w:r>
                  <w:r>
                    <w:rPr>
                      <w:szCs w:val="21"/>
                      <w:vertAlign w:val="subscript"/>
                    </w:rPr>
                    <w:t>3</w:t>
                  </w:r>
                </w:p>
              </w:tc>
            </w:tr>
            <w:tr w14:paraId="66A91FD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89" w:hRule="atLeast"/>
                <w:jc w:val="center"/>
              </w:trPr>
              <w:tc>
                <w:tcPr>
                  <w:tcW w:w="2030" w:type="dxa"/>
                  <w:vMerge w:val="continue"/>
                  <w:tcBorders>
                    <w:top w:val="single" w:color="auto" w:sz="4" w:space="0"/>
                    <w:left w:val="single" w:color="auto" w:sz="4" w:space="0"/>
                    <w:bottom w:val="single" w:color="auto" w:sz="4" w:space="0"/>
                    <w:right w:val="single" w:color="auto" w:sz="4" w:space="0"/>
                    <w:tl2br w:val="single" w:color="auto" w:sz="8" w:space="0"/>
                  </w:tcBorders>
                  <w:vAlign w:val="center"/>
                </w:tcPr>
                <w:p w14:paraId="74404A2B">
                  <w:pPr>
                    <w:jc w:val="center"/>
                    <w:rPr>
                      <w:szCs w:val="21"/>
                    </w:rPr>
                  </w:pPr>
                </w:p>
              </w:tc>
              <w:tc>
                <w:tcPr>
                  <w:tcW w:w="809" w:type="dxa"/>
                  <w:tcBorders>
                    <w:top w:val="single" w:color="auto" w:sz="4" w:space="0"/>
                    <w:left w:val="single" w:color="auto" w:sz="4" w:space="0"/>
                    <w:bottom w:val="single" w:color="auto" w:sz="4" w:space="0"/>
                    <w:right w:val="single" w:color="auto" w:sz="4" w:space="0"/>
                  </w:tcBorders>
                  <w:vAlign w:val="center"/>
                </w:tcPr>
                <w:p w14:paraId="0CAEC7DB">
                  <w:pPr>
                    <w:jc w:val="center"/>
                    <w:textAlignment w:val="baseline"/>
                    <w:rPr>
                      <w:szCs w:val="21"/>
                    </w:rPr>
                  </w:pPr>
                  <w:r>
                    <w:rPr>
                      <w:szCs w:val="21"/>
                    </w:rPr>
                    <w:t>年均值</w:t>
                  </w:r>
                </w:p>
              </w:tc>
              <w:tc>
                <w:tcPr>
                  <w:tcW w:w="809" w:type="dxa"/>
                  <w:tcBorders>
                    <w:top w:val="single" w:color="auto" w:sz="4" w:space="0"/>
                    <w:left w:val="single" w:color="auto" w:sz="4" w:space="0"/>
                    <w:bottom w:val="single" w:color="auto" w:sz="4" w:space="0"/>
                    <w:right w:val="single" w:color="auto" w:sz="4" w:space="0"/>
                  </w:tcBorders>
                  <w:vAlign w:val="center"/>
                </w:tcPr>
                <w:p w14:paraId="347146AF">
                  <w:pPr>
                    <w:jc w:val="center"/>
                    <w:textAlignment w:val="baseline"/>
                    <w:rPr>
                      <w:szCs w:val="21"/>
                    </w:rPr>
                  </w:pPr>
                  <w:r>
                    <w:rPr>
                      <w:szCs w:val="21"/>
                    </w:rPr>
                    <w:t>年均值</w:t>
                  </w:r>
                </w:p>
              </w:tc>
              <w:tc>
                <w:tcPr>
                  <w:tcW w:w="810" w:type="dxa"/>
                  <w:tcBorders>
                    <w:top w:val="single" w:color="auto" w:sz="4" w:space="0"/>
                    <w:left w:val="single" w:color="auto" w:sz="4" w:space="0"/>
                    <w:bottom w:val="single" w:color="auto" w:sz="4" w:space="0"/>
                    <w:right w:val="single" w:color="auto" w:sz="4" w:space="0"/>
                  </w:tcBorders>
                  <w:vAlign w:val="center"/>
                </w:tcPr>
                <w:p w14:paraId="3B440233">
                  <w:pPr>
                    <w:jc w:val="center"/>
                    <w:textAlignment w:val="baseline"/>
                    <w:rPr>
                      <w:szCs w:val="21"/>
                    </w:rPr>
                  </w:pPr>
                  <w:r>
                    <w:rPr>
                      <w:szCs w:val="21"/>
                    </w:rPr>
                    <w:t>年均值</w:t>
                  </w:r>
                </w:p>
              </w:tc>
              <w:tc>
                <w:tcPr>
                  <w:tcW w:w="809" w:type="dxa"/>
                  <w:tcBorders>
                    <w:top w:val="single" w:color="auto" w:sz="4" w:space="0"/>
                    <w:left w:val="single" w:color="auto" w:sz="4" w:space="0"/>
                    <w:bottom w:val="single" w:color="auto" w:sz="4" w:space="0"/>
                    <w:right w:val="single" w:color="auto" w:sz="4" w:space="0"/>
                  </w:tcBorders>
                  <w:vAlign w:val="center"/>
                </w:tcPr>
                <w:p w14:paraId="7C4E29EB">
                  <w:pPr>
                    <w:jc w:val="center"/>
                    <w:textAlignment w:val="baseline"/>
                    <w:rPr>
                      <w:szCs w:val="21"/>
                    </w:rPr>
                  </w:pPr>
                  <w:r>
                    <w:rPr>
                      <w:szCs w:val="21"/>
                    </w:rPr>
                    <w:t>年均值</w:t>
                  </w:r>
                </w:p>
              </w:tc>
              <w:tc>
                <w:tcPr>
                  <w:tcW w:w="1809" w:type="dxa"/>
                  <w:tcBorders>
                    <w:top w:val="single" w:color="auto" w:sz="4" w:space="0"/>
                    <w:left w:val="single" w:color="auto" w:sz="4" w:space="0"/>
                    <w:bottom w:val="single" w:color="auto" w:sz="4" w:space="0"/>
                    <w:right w:val="single" w:color="auto" w:sz="4" w:space="0"/>
                  </w:tcBorders>
                </w:tcPr>
                <w:p w14:paraId="24074660">
                  <w:pPr>
                    <w:jc w:val="center"/>
                    <w:textAlignment w:val="baseline"/>
                    <w:rPr>
                      <w:szCs w:val="21"/>
                    </w:rPr>
                  </w:pPr>
                  <w:r>
                    <w:rPr>
                      <w:szCs w:val="21"/>
                    </w:rPr>
                    <w:t>日平均第95百分位数</w:t>
                  </w:r>
                </w:p>
              </w:tc>
              <w:tc>
                <w:tcPr>
                  <w:tcW w:w="3135" w:type="dxa"/>
                  <w:tcBorders>
                    <w:top w:val="single" w:color="auto" w:sz="4" w:space="0"/>
                    <w:left w:val="single" w:color="auto" w:sz="4" w:space="0"/>
                    <w:bottom w:val="single" w:color="auto" w:sz="4" w:space="0"/>
                    <w:right w:val="single" w:color="auto" w:sz="4" w:space="0"/>
                  </w:tcBorders>
                </w:tcPr>
                <w:p w14:paraId="6FA94846">
                  <w:pPr>
                    <w:jc w:val="center"/>
                    <w:textAlignment w:val="baseline"/>
                    <w:rPr>
                      <w:szCs w:val="21"/>
                    </w:rPr>
                  </w:pPr>
                  <w:r>
                    <w:rPr>
                      <w:rFonts w:hint="eastAsia"/>
                      <w:szCs w:val="21"/>
                    </w:rPr>
                    <w:t>日最大8小时滑动平均值第90百分位数</w:t>
                  </w:r>
                </w:p>
              </w:tc>
            </w:tr>
            <w:tr w14:paraId="7712A4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65" w:hRule="atLeast"/>
                <w:jc w:val="center"/>
              </w:trPr>
              <w:tc>
                <w:tcPr>
                  <w:tcW w:w="2030" w:type="dxa"/>
                  <w:tcBorders>
                    <w:top w:val="single" w:color="auto" w:sz="4" w:space="0"/>
                    <w:left w:val="single" w:color="auto" w:sz="4" w:space="0"/>
                    <w:bottom w:val="single" w:color="auto" w:sz="4" w:space="0"/>
                    <w:right w:val="single" w:color="auto" w:sz="4" w:space="0"/>
                  </w:tcBorders>
                  <w:vAlign w:val="center"/>
                </w:tcPr>
                <w:p w14:paraId="6311F77D">
                  <w:pPr>
                    <w:jc w:val="center"/>
                    <w:rPr>
                      <w:szCs w:val="21"/>
                    </w:rPr>
                  </w:pPr>
                  <w:r>
                    <w:rPr>
                      <w:rFonts w:hint="eastAsia"/>
                      <w:szCs w:val="21"/>
                    </w:rPr>
                    <w:t>数值</w:t>
                  </w:r>
                </w:p>
              </w:tc>
              <w:tc>
                <w:tcPr>
                  <w:tcW w:w="809" w:type="dxa"/>
                  <w:tcBorders>
                    <w:top w:val="single" w:color="auto" w:sz="4" w:space="0"/>
                    <w:left w:val="single" w:color="auto" w:sz="4" w:space="0"/>
                    <w:bottom w:val="single" w:color="auto" w:sz="4" w:space="0"/>
                    <w:right w:val="single" w:color="auto" w:sz="4" w:space="0"/>
                  </w:tcBorders>
                  <w:vAlign w:val="center"/>
                </w:tcPr>
                <w:p w14:paraId="575F80FC">
                  <w:pPr>
                    <w:adjustRightInd w:val="0"/>
                    <w:spacing w:line="0" w:lineRule="atLeast"/>
                    <w:jc w:val="center"/>
                    <w:textAlignment w:val="baseline"/>
                    <w:rPr>
                      <w:kern w:val="0"/>
                      <w:szCs w:val="21"/>
                    </w:rPr>
                  </w:pPr>
                  <w:r>
                    <w:rPr>
                      <w:kern w:val="0"/>
                      <w:szCs w:val="21"/>
                    </w:rPr>
                    <w:t>0.010</w:t>
                  </w:r>
                </w:p>
              </w:tc>
              <w:tc>
                <w:tcPr>
                  <w:tcW w:w="809" w:type="dxa"/>
                  <w:tcBorders>
                    <w:top w:val="single" w:color="auto" w:sz="4" w:space="0"/>
                    <w:left w:val="single" w:color="auto" w:sz="4" w:space="0"/>
                    <w:bottom w:val="single" w:color="auto" w:sz="4" w:space="0"/>
                    <w:right w:val="single" w:color="auto" w:sz="4" w:space="0"/>
                  </w:tcBorders>
                  <w:vAlign w:val="center"/>
                </w:tcPr>
                <w:p w14:paraId="31228BDF">
                  <w:pPr>
                    <w:adjustRightInd w:val="0"/>
                    <w:spacing w:line="0" w:lineRule="atLeast"/>
                    <w:jc w:val="center"/>
                    <w:textAlignment w:val="baseline"/>
                    <w:rPr>
                      <w:kern w:val="0"/>
                      <w:szCs w:val="21"/>
                    </w:rPr>
                  </w:pPr>
                  <w:r>
                    <w:rPr>
                      <w:kern w:val="0"/>
                      <w:szCs w:val="21"/>
                    </w:rPr>
                    <w:t>0.020</w:t>
                  </w:r>
                </w:p>
              </w:tc>
              <w:tc>
                <w:tcPr>
                  <w:tcW w:w="810" w:type="dxa"/>
                  <w:tcBorders>
                    <w:top w:val="single" w:color="auto" w:sz="4" w:space="0"/>
                    <w:left w:val="single" w:color="auto" w:sz="4" w:space="0"/>
                    <w:bottom w:val="single" w:color="auto" w:sz="4" w:space="0"/>
                    <w:right w:val="single" w:color="auto" w:sz="4" w:space="0"/>
                  </w:tcBorders>
                  <w:vAlign w:val="center"/>
                </w:tcPr>
                <w:p w14:paraId="46A10E78">
                  <w:pPr>
                    <w:adjustRightInd w:val="0"/>
                    <w:spacing w:line="0" w:lineRule="atLeast"/>
                    <w:jc w:val="center"/>
                    <w:textAlignment w:val="baseline"/>
                    <w:rPr>
                      <w:kern w:val="0"/>
                      <w:szCs w:val="21"/>
                    </w:rPr>
                  </w:pPr>
                  <w:r>
                    <w:rPr>
                      <w:kern w:val="0"/>
                      <w:szCs w:val="21"/>
                    </w:rPr>
                    <w:t>0.029</w:t>
                  </w:r>
                </w:p>
              </w:tc>
              <w:tc>
                <w:tcPr>
                  <w:tcW w:w="809" w:type="dxa"/>
                  <w:tcBorders>
                    <w:top w:val="single" w:color="auto" w:sz="4" w:space="0"/>
                    <w:left w:val="single" w:color="auto" w:sz="4" w:space="0"/>
                    <w:bottom w:val="single" w:color="auto" w:sz="4" w:space="0"/>
                    <w:right w:val="single" w:color="auto" w:sz="4" w:space="0"/>
                  </w:tcBorders>
                  <w:vAlign w:val="center"/>
                </w:tcPr>
                <w:p w14:paraId="70314EB5">
                  <w:pPr>
                    <w:adjustRightInd w:val="0"/>
                    <w:spacing w:line="0" w:lineRule="atLeast"/>
                    <w:jc w:val="center"/>
                    <w:textAlignment w:val="baseline"/>
                    <w:rPr>
                      <w:kern w:val="0"/>
                      <w:szCs w:val="21"/>
                    </w:rPr>
                  </w:pPr>
                  <w:r>
                    <w:rPr>
                      <w:kern w:val="0"/>
                      <w:szCs w:val="21"/>
                    </w:rPr>
                    <w:t>0.056</w:t>
                  </w:r>
                </w:p>
              </w:tc>
              <w:tc>
                <w:tcPr>
                  <w:tcW w:w="1809" w:type="dxa"/>
                  <w:tcBorders>
                    <w:top w:val="single" w:color="auto" w:sz="4" w:space="0"/>
                    <w:left w:val="single" w:color="auto" w:sz="4" w:space="0"/>
                    <w:bottom w:val="single" w:color="auto" w:sz="4" w:space="0"/>
                    <w:right w:val="single" w:color="auto" w:sz="4" w:space="0"/>
                  </w:tcBorders>
                </w:tcPr>
                <w:p w14:paraId="648F5B23">
                  <w:pPr>
                    <w:jc w:val="center"/>
                    <w:textAlignment w:val="baseline"/>
                    <w:rPr>
                      <w:szCs w:val="21"/>
                    </w:rPr>
                  </w:pPr>
                  <w:r>
                    <w:rPr>
                      <w:rFonts w:hint="eastAsia"/>
                      <w:szCs w:val="21"/>
                    </w:rPr>
                    <w:t>1</w:t>
                  </w:r>
                  <w:r>
                    <w:rPr>
                      <w:szCs w:val="21"/>
                    </w:rPr>
                    <w:t>.1</w:t>
                  </w:r>
                </w:p>
              </w:tc>
              <w:tc>
                <w:tcPr>
                  <w:tcW w:w="3135" w:type="dxa"/>
                  <w:tcBorders>
                    <w:top w:val="single" w:color="auto" w:sz="4" w:space="0"/>
                    <w:left w:val="single" w:color="auto" w:sz="4" w:space="0"/>
                    <w:bottom w:val="single" w:color="auto" w:sz="4" w:space="0"/>
                    <w:right w:val="single" w:color="auto" w:sz="4" w:space="0"/>
                  </w:tcBorders>
                </w:tcPr>
                <w:p w14:paraId="558035D4">
                  <w:pPr>
                    <w:jc w:val="center"/>
                    <w:textAlignment w:val="baseline"/>
                    <w:rPr>
                      <w:szCs w:val="21"/>
                    </w:rPr>
                  </w:pPr>
                  <w:r>
                    <w:rPr>
                      <w:rFonts w:hint="eastAsia"/>
                      <w:szCs w:val="21"/>
                    </w:rPr>
                    <w:t>0</w:t>
                  </w:r>
                  <w:r>
                    <w:rPr>
                      <w:szCs w:val="21"/>
                    </w:rPr>
                    <w:t>.160</w:t>
                  </w:r>
                </w:p>
              </w:tc>
            </w:tr>
            <w:tr w14:paraId="3D5C4B1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13" w:hRule="atLeast"/>
                <w:jc w:val="center"/>
              </w:trPr>
              <w:tc>
                <w:tcPr>
                  <w:tcW w:w="2030" w:type="dxa"/>
                  <w:tcBorders>
                    <w:top w:val="single" w:color="auto" w:sz="4" w:space="0"/>
                    <w:left w:val="single" w:color="auto" w:sz="4" w:space="0"/>
                    <w:bottom w:val="single" w:color="auto" w:sz="4" w:space="0"/>
                    <w:right w:val="single" w:color="auto" w:sz="4" w:space="0"/>
                  </w:tcBorders>
                  <w:vAlign w:val="center"/>
                </w:tcPr>
                <w:p w14:paraId="68EE86F7">
                  <w:pPr>
                    <w:jc w:val="center"/>
                    <w:rPr>
                      <w:szCs w:val="21"/>
                    </w:rPr>
                  </w:pPr>
                  <w:r>
                    <w:rPr>
                      <w:szCs w:val="21"/>
                    </w:rPr>
                    <w:t>标准</w:t>
                  </w:r>
                </w:p>
              </w:tc>
              <w:tc>
                <w:tcPr>
                  <w:tcW w:w="809" w:type="dxa"/>
                  <w:tcBorders>
                    <w:top w:val="single" w:color="auto" w:sz="4" w:space="0"/>
                    <w:left w:val="single" w:color="auto" w:sz="4" w:space="0"/>
                    <w:bottom w:val="single" w:color="auto" w:sz="4" w:space="0"/>
                    <w:right w:val="single" w:color="auto" w:sz="4" w:space="0"/>
                  </w:tcBorders>
                  <w:vAlign w:val="center"/>
                </w:tcPr>
                <w:p w14:paraId="74B8DA23">
                  <w:pPr>
                    <w:adjustRightInd w:val="0"/>
                    <w:spacing w:line="0" w:lineRule="atLeast"/>
                    <w:jc w:val="center"/>
                    <w:textAlignment w:val="baseline"/>
                    <w:rPr>
                      <w:kern w:val="0"/>
                      <w:szCs w:val="21"/>
                    </w:rPr>
                  </w:pPr>
                  <w:r>
                    <w:rPr>
                      <w:kern w:val="0"/>
                      <w:szCs w:val="21"/>
                    </w:rPr>
                    <w:t>0.060</w:t>
                  </w:r>
                </w:p>
              </w:tc>
              <w:tc>
                <w:tcPr>
                  <w:tcW w:w="809" w:type="dxa"/>
                  <w:tcBorders>
                    <w:top w:val="single" w:color="auto" w:sz="4" w:space="0"/>
                    <w:left w:val="single" w:color="auto" w:sz="4" w:space="0"/>
                    <w:bottom w:val="single" w:color="auto" w:sz="4" w:space="0"/>
                    <w:right w:val="single" w:color="auto" w:sz="4" w:space="0"/>
                  </w:tcBorders>
                  <w:vAlign w:val="center"/>
                </w:tcPr>
                <w:p w14:paraId="69B07E79">
                  <w:pPr>
                    <w:adjustRightInd w:val="0"/>
                    <w:spacing w:line="0" w:lineRule="atLeast"/>
                    <w:jc w:val="center"/>
                    <w:textAlignment w:val="baseline"/>
                    <w:rPr>
                      <w:kern w:val="0"/>
                      <w:szCs w:val="21"/>
                    </w:rPr>
                  </w:pPr>
                  <w:r>
                    <w:rPr>
                      <w:kern w:val="0"/>
                      <w:szCs w:val="21"/>
                    </w:rPr>
                    <w:t>0.040</w:t>
                  </w:r>
                </w:p>
              </w:tc>
              <w:tc>
                <w:tcPr>
                  <w:tcW w:w="810" w:type="dxa"/>
                  <w:tcBorders>
                    <w:top w:val="single" w:color="auto" w:sz="4" w:space="0"/>
                    <w:left w:val="single" w:color="auto" w:sz="4" w:space="0"/>
                    <w:bottom w:val="single" w:color="auto" w:sz="4" w:space="0"/>
                    <w:right w:val="single" w:color="auto" w:sz="4" w:space="0"/>
                  </w:tcBorders>
                  <w:vAlign w:val="center"/>
                </w:tcPr>
                <w:p w14:paraId="0215DAA1">
                  <w:pPr>
                    <w:adjustRightInd w:val="0"/>
                    <w:spacing w:line="0" w:lineRule="atLeast"/>
                    <w:jc w:val="center"/>
                    <w:textAlignment w:val="baseline"/>
                    <w:rPr>
                      <w:kern w:val="0"/>
                      <w:szCs w:val="21"/>
                    </w:rPr>
                  </w:pPr>
                  <w:r>
                    <w:rPr>
                      <w:kern w:val="0"/>
                      <w:szCs w:val="21"/>
                    </w:rPr>
                    <w:t>0.035</w:t>
                  </w:r>
                </w:p>
              </w:tc>
              <w:tc>
                <w:tcPr>
                  <w:tcW w:w="809" w:type="dxa"/>
                  <w:tcBorders>
                    <w:top w:val="single" w:color="auto" w:sz="4" w:space="0"/>
                    <w:left w:val="single" w:color="auto" w:sz="4" w:space="0"/>
                    <w:bottom w:val="single" w:color="auto" w:sz="4" w:space="0"/>
                    <w:right w:val="single" w:color="auto" w:sz="4" w:space="0"/>
                  </w:tcBorders>
                  <w:vAlign w:val="center"/>
                </w:tcPr>
                <w:p w14:paraId="76D4AF1E">
                  <w:pPr>
                    <w:adjustRightInd w:val="0"/>
                    <w:spacing w:line="0" w:lineRule="atLeast"/>
                    <w:jc w:val="center"/>
                    <w:textAlignment w:val="baseline"/>
                    <w:rPr>
                      <w:kern w:val="0"/>
                      <w:szCs w:val="21"/>
                    </w:rPr>
                  </w:pPr>
                  <w:r>
                    <w:rPr>
                      <w:kern w:val="0"/>
                      <w:szCs w:val="21"/>
                    </w:rPr>
                    <w:t>0.070</w:t>
                  </w:r>
                </w:p>
              </w:tc>
              <w:tc>
                <w:tcPr>
                  <w:tcW w:w="1809" w:type="dxa"/>
                  <w:tcBorders>
                    <w:top w:val="single" w:color="auto" w:sz="4" w:space="0"/>
                    <w:left w:val="single" w:color="auto" w:sz="4" w:space="0"/>
                    <w:bottom w:val="single" w:color="auto" w:sz="4" w:space="0"/>
                    <w:right w:val="single" w:color="auto" w:sz="4" w:space="0"/>
                  </w:tcBorders>
                </w:tcPr>
                <w:p w14:paraId="1AA6B169">
                  <w:pPr>
                    <w:jc w:val="center"/>
                    <w:textAlignment w:val="baseline"/>
                    <w:rPr>
                      <w:szCs w:val="21"/>
                    </w:rPr>
                  </w:pPr>
                  <w:r>
                    <w:rPr>
                      <w:szCs w:val="21"/>
                    </w:rPr>
                    <w:t>4.0</w:t>
                  </w:r>
                </w:p>
              </w:tc>
              <w:tc>
                <w:tcPr>
                  <w:tcW w:w="3135" w:type="dxa"/>
                  <w:tcBorders>
                    <w:top w:val="single" w:color="auto" w:sz="4" w:space="0"/>
                    <w:left w:val="single" w:color="auto" w:sz="4" w:space="0"/>
                    <w:bottom w:val="single" w:color="auto" w:sz="4" w:space="0"/>
                    <w:right w:val="single" w:color="auto" w:sz="4" w:space="0"/>
                  </w:tcBorders>
                </w:tcPr>
                <w:p w14:paraId="42F0E667">
                  <w:pPr>
                    <w:jc w:val="center"/>
                    <w:textAlignment w:val="baseline"/>
                    <w:rPr>
                      <w:szCs w:val="21"/>
                    </w:rPr>
                  </w:pPr>
                  <w:r>
                    <w:rPr>
                      <w:szCs w:val="21"/>
                    </w:rPr>
                    <w:t>0.</w:t>
                  </w:r>
                  <w:r>
                    <w:rPr>
                      <w:rFonts w:hint="eastAsia"/>
                      <w:szCs w:val="21"/>
                    </w:rPr>
                    <w:t>1</w:t>
                  </w:r>
                  <w:r>
                    <w:rPr>
                      <w:szCs w:val="21"/>
                    </w:rPr>
                    <w:t>60</w:t>
                  </w:r>
                </w:p>
              </w:tc>
            </w:tr>
          </w:tbl>
          <w:p w14:paraId="1E204A74">
            <w:pPr>
              <w:spacing w:line="360" w:lineRule="auto"/>
              <w:ind w:firstLine="480" w:firstLineChars="200"/>
              <w:rPr>
                <w:rFonts w:eastAsiaTheme="minorEastAsia"/>
                <w:b/>
                <w:bCs/>
                <w:sz w:val="24"/>
                <w:szCs w:val="24"/>
              </w:rPr>
            </w:pPr>
            <w:r>
              <w:rPr>
                <w:rFonts w:eastAsiaTheme="minorEastAsia"/>
                <w:kern w:val="0"/>
                <w:sz w:val="24"/>
                <w:szCs w:val="24"/>
              </w:rPr>
              <w:t>由监测结果可知，威海市区SO</w:t>
            </w:r>
            <w:r>
              <w:rPr>
                <w:rFonts w:eastAsiaTheme="minorEastAsia"/>
                <w:kern w:val="0"/>
                <w:sz w:val="24"/>
                <w:szCs w:val="24"/>
                <w:vertAlign w:val="subscript"/>
              </w:rPr>
              <w:t>2</w:t>
            </w:r>
            <w:r>
              <w:rPr>
                <w:rFonts w:eastAsiaTheme="minorEastAsia"/>
                <w:kern w:val="0"/>
                <w:sz w:val="24"/>
                <w:szCs w:val="24"/>
              </w:rPr>
              <w:t>、NO</w:t>
            </w:r>
            <w:r>
              <w:rPr>
                <w:rFonts w:eastAsiaTheme="minorEastAsia"/>
                <w:kern w:val="0"/>
                <w:sz w:val="24"/>
                <w:szCs w:val="24"/>
                <w:vertAlign w:val="subscript"/>
              </w:rPr>
              <w:t>2</w:t>
            </w:r>
            <w:r>
              <w:rPr>
                <w:rFonts w:eastAsiaTheme="minorEastAsia"/>
                <w:kern w:val="0"/>
                <w:sz w:val="24"/>
                <w:szCs w:val="24"/>
              </w:rPr>
              <w:t>、PM</w:t>
            </w:r>
            <w:r>
              <w:rPr>
                <w:rFonts w:eastAsiaTheme="minorEastAsia"/>
                <w:kern w:val="0"/>
                <w:sz w:val="24"/>
                <w:szCs w:val="24"/>
                <w:vertAlign w:val="subscript"/>
              </w:rPr>
              <w:t>10</w:t>
            </w:r>
            <w:r>
              <w:rPr>
                <w:rFonts w:eastAsiaTheme="minorEastAsia"/>
                <w:kern w:val="0"/>
                <w:sz w:val="24"/>
                <w:szCs w:val="24"/>
              </w:rPr>
              <w:t>、PM</w:t>
            </w:r>
            <w:r>
              <w:rPr>
                <w:rFonts w:eastAsiaTheme="minorEastAsia"/>
                <w:kern w:val="0"/>
                <w:sz w:val="24"/>
                <w:szCs w:val="24"/>
                <w:vertAlign w:val="subscript"/>
              </w:rPr>
              <w:t>2.5</w:t>
            </w:r>
            <w:r>
              <w:rPr>
                <w:rFonts w:eastAsiaTheme="minorEastAsia"/>
                <w:kern w:val="0"/>
                <w:sz w:val="24"/>
                <w:szCs w:val="24"/>
              </w:rPr>
              <w:t>、CO及O</w:t>
            </w:r>
            <w:r>
              <w:rPr>
                <w:rFonts w:eastAsiaTheme="minorEastAsia"/>
                <w:kern w:val="0"/>
                <w:sz w:val="24"/>
                <w:szCs w:val="24"/>
                <w:vertAlign w:val="subscript"/>
              </w:rPr>
              <w:t>3</w:t>
            </w:r>
            <w:r>
              <w:rPr>
                <w:rFonts w:eastAsiaTheme="minorEastAsia"/>
                <w:kern w:val="0"/>
                <w:sz w:val="24"/>
                <w:szCs w:val="24"/>
              </w:rPr>
              <w:t>监测值均达到了《环境空气质量标准》（GB3095-2012）及修改单中的二级标准。</w:t>
            </w:r>
          </w:p>
          <w:p w14:paraId="7EAF6C33">
            <w:pPr>
              <w:numPr>
                <w:ilvl w:val="0"/>
                <w:numId w:val="6"/>
              </w:numPr>
              <w:spacing w:line="360" w:lineRule="auto"/>
              <w:ind w:firstLine="482" w:firstLineChars="200"/>
              <w:rPr>
                <w:b/>
                <w:bCs/>
                <w:sz w:val="24"/>
                <w:szCs w:val="24"/>
              </w:rPr>
            </w:pPr>
            <w:r>
              <w:rPr>
                <w:b/>
                <w:bCs/>
                <w:sz w:val="24"/>
                <w:szCs w:val="24"/>
              </w:rPr>
              <w:t>地表水环境</w:t>
            </w:r>
          </w:p>
          <w:p w14:paraId="0A3830C7">
            <w:pPr>
              <w:spacing w:line="360" w:lineRule="auto"/>
              <w:ind w:firstLine="482"/>
              <w:rPr>
                <w:rFonts w:eastAsiaTheme="minorEastAsia"/>
                <w:sz w:val="24"/>
                <w:szCs w:val="24"/>
              </w:rPr>
            </w:pPr>
            <w:r>
              <w:rPr>
                <w:rFonts w:eastAsiaTheme="minorEastAsia"/>
                <w:sz w:val="24"/>
                <w:szCs w:val="24"/>
              </w:rPr>
              <w:t>地表水数据</w:t>
            </w:r>
            <w:r>
              <w:rPr>
                <w:rFonts w:eastAsiaTheme="minorEastAsia"/>
                <w:kern w:val="24"/>
                <w:sz w:val="24"/>
                <w:szCs w:val="24"/>
              </w:rPr>
              <w:t>引用中2019年12月份威海市河流水质监测结果中五渚河水质监测数据，</w:t>
            </w:r>
            <w:r>
              <w:rPr>
                <w:rFonts w:eastAsiaTheme="minorEastAsia"/>
                <w:sz w:val="24"/>
                <w:szCs w:val="24"/>
              </w:rPr>
              <w:t>监测结果见表</w:t>
            </w:r>
            <w:r>
              <w:rPr>
                <w:rFonts w:hint="eastAsia" w:eastAsiaTheme="minorEastAsia"/>
                <w:sz w:val="24"/>
                <w:szCs w:val="24"/>
              </w:rPr>
              <w:t>3-2</w:t>
            </w:r>
            <w:r>
              <w:rPr>
                <w:rFonts w:eastAsiaTheme="minorEastAsia"/>
                <w:sz w:val="24"/>
                <w:szCs w:val="24"/>
              </w:rPr>
              <w:t>。</w:t>
            </w:r>
          </w:p>
          <w:p w14:paraId="08ABC939">
            <w:pPr>
              <w:ind w:firstLine="474" w:firstLineChars="200"/>
              <w:jc w:val="center"/>
              <w:rPr>
                <w:rFonts w:eastAsia="黑体"/>
                <w:kern w:val="0"/>
                <w:szCs w:val="21"/>
              </w:rPr>
            </w:pPr>
            <w:r>
              <w:rPr>
                <w:rFonts w:eastAsiaTheme="minorEastAsia"/>
                <w:b/>
                <w:bCs/>
                <w:spacing w:val="-2"/>
                <w:sz w:val="24"/>
                <w:szCs w:val="24"/>
              </w:rPr>
              <w:t>表</w:t>
            </w:r>
            <w:r>
              <w:rPr>
                <w:rFonts w:hint="eastAsia" w:eastAsiaTheme="minorEastAsia"/>
                <w:b/>
                <w:bCs/>
                <w:spacing w:val="-2"/>
                <w:sz w:val="24"/>
                <w:szCs w:val="24"/>
              </w:rPr>
              <w:t>3-2</w:t>
            </w:r>
            <w:r>
              <w:rPr>
                <w:rFonts w:eastAsiaTheme="minorEastAsia"/>
                <w:b/>
                <w:bCs/>
                <w:spacing w:val="-2"/>
                <w:sz w:val="24"/>
                <w:szCs w:val="24"/>
              </w:rPr>
              <w:t xml:space="preserve"> 地表水监测结果（单位：mg/L， pH除外）</w:t>
            </w:r>
          </w:p>
          <w:tbl>
            <w:tblPr>
              <w:tblStyle w:val="27"/>
              <w:tblW w:w="102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6"/>
              <w:gridCol w:w="1333"/>
              <w:gridCol w:w="1309"/>
              <w:gridCol w:w="1309"/>
              <w:gridCol w:w="1309"/>
              <w:gridCol w:w="1309"/>
              <w:gridCol w:w="1309"/>
              <w:gridCol w:w="1327"/>
            </w:tblGrid>
            <w:tr w14:paraId="4167A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06" w:type="dxa"/>
                  <w:vAlign w:val="center"/>
                </w:tcPr>
                <w:p w14:paraId="688FDD8B">
                  <w:pPr>
                    <w:spacing w:line="360" w:lineRule="auto"/>
                    <w:jc w:val="center"/>
                    <w:rPr>
                      <w:szCs w:val="21"/>
                    </w:rPr>
                  </w:pPr>
                  <w:r>
                    <w:rPr>
                      <w:szCs w:val="21"/>
                    </w:rPr>
                    <w:t>项目</w:t>
                  </w:r>
                </w:p>
              </w:tc>
              <w:tc>
                <w:tcPr>
                  <w:tcW w:w="1333" w:type="dxa"/>
                  <w:vAlign w:val="center"/>
                </w:tcPr>
                <w:p w14:paraId="07F2AFB8">
                  <w:pPr>
                    <w:spacing w:line="360" w:lineRule="auto"/>
                    <w:jc w:val="center"/>
                    <w:rPr>
                      <w:szCs w:val="21"/>
                    </w:rPr>
                  </w:pPr>
                  <w:r>
                    <w:rPr>
                      <w:szCs w:val="21"/>
                    </w:rPr>
                    <w:t>pH</w:t>
                  </w:r>
                </w:p>
              </w:tc>
              <w:tc>
                <w:tcPr>
                  <w:tcW w:w="1309" w:type="dxa"/>
                  <w:vAlign w:val="center"/>
                </w:tcPr>
                <w:p w14:paraId="192F2B13">
                  <w:pPr>
                    <w:spacing w:line="360" w:lineRule="auto"/>
                    <w:jc w:val="center"/>
                    <w:rPr>
                      <w:szCs w:val="21"/>
                    </w:rPr>
                  </w:pPr>
                  <w:r>
                    <w:rPr>
                      <w:szCs w:val="21"/>
                    </w:rPr>
                    <w:t>COD</w:t>
                  </w:r>
                </w:p>
              </w:tc>
              <w:tc>
                <w:tcPr>
                  <w:tcW w:w="1309" w:type="dxa"/>
                  <w:vAlign w:val="center"/>
                </w:tcPr>
                <w:p w14:paraId="277D6977">
                  <w:pPr>
                    <w:spacing w:line="360" w:lineRule="auto"/>
                    <w:jc w:val="center"/>
                    <w:rPr>
                      <w:szCs w:val="21"/>
                    </w:rPr>
                  </w:pPr>
                  <w:r>
                    <w:rPr>
                      <w:szCs w:val="21"/>
                    </w:rPr>
                    <w:t>氨氮</w:t>
                  </w:r>
                </w:p>
              </w:tc>
              <w:tc>
                <w:tcPr>
                  <w:tcW w:w="1309" w:type="dxa"/>
                  <w:vAlign w:val="center"/>
                </w:tcPr>
                <w:p w14:paraId="023C114C">
                  <w:pPr>
                    <w:spacing w:line="360" w:lineRule="auto"/>
                    <w:jc w:val="center"/>
                    <w:rPr>
                      <w:szCs w:val="21"/>
                    </w:rPr>
                  </w:pPr>
                  <w:r>
                    <w:rPr>
                      <w:szCs w:val="21"/>
                    </w:rPr>
                    <w:t>DO</w:t>
                  </w:r>
                </w:p>
              </w:tc>
              <w:tc>
                <w:tcPr>
                  <w:tcW w:w="1309" w:type="dxa"/>
                  <w:vAlign w:val="center"/>
                </w:tcPr>
                <w:p w14:paraId="015018AA">
                  <w:pPr>
                    <w:spacing w:line="360" w:lineRule="auto"/>
                    <w:jc w:val="center"/>
                    <w:rPr>
                      <w:szCs w:val="21"/>
                    </w:rPr>
                  </w:pPr>
                  <w:r>
                    <w:rPr>
                      <w:rFonts w:hint="eastAsia"/>
                      <w:szCs w:val="21"/>
                    </w:rPr>
                    <w:t>总磷</w:t>
                  </w:r>
                </w:p>
              </w:tc>
              <w:tc>
                <w:tcPr>
                  <w:tcW w:w="1309" w:type="dxa"/>
                  <w:vAlign w:val="center"/>
                </w:tcPr>
                <w:p w14:paraId="46557FD5">
                  <w:pPr>
                    <w:spacing w:line="360" w:lineRule="auto"/>
                    <w:jc w:val="center"/>
                    <w:rPr>
                      <w:szCs w:val="21"/>
                    </w:rPr>
                  </w:pPr>
                  <w:r>
                    <w:rPr>
                      <w:rFonts w:hint="eastAsia"/>
                      <w:szCs w:val="21"/>
                    </w:rPr>
                    <w:t>石油类</w:t>
                  </w:r>
                </w:p>
              </w:tc>
              <w:tc>
                <w:tcPr>
                  <w:tcW w:w="1327" w:type="dxa"/>
                  <w:vAlign w:val="center"/>
                </w:tcPr>
                <w:p w14:paraId="1886DF58">
                  <w:pPr>
                    <w:spacing w:line="360" w:lineRule="auto"/>
                    <w:jc w:val="center"/>
                    <w:rPr>
                      <w:szCs w:val="21"/>
                    </w:rPr>
                  </w:pPr>
                  <w:r>
                    <w:rPr>
                      <w:szCs w:val="21"/>
                    </w:rPr>
                    <w:t>挥发酚</w:t>
                  </w:r>
                </w:p>
              </w:tc>
            </w:tr>
            <w:tr w14:paraId="21C23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006" w:type="dxa"/>
                  <w:vAlign w:val="center"/>
                </w:tcPr>
                <w:p w14:paraId="1E60AFE6">
                  <w:pPr>
                    <w:spacing w:line="360" w:lineRule="auto"/>
                    <w:jc w:val="center"/>
                    <w:rPr>
                      <w:szCs w:val="21"/>
                    </w:rPr>
                  </w:pPr>
                  <w:r>
                    <w:rPr>
                      <w:szCs w:val="21"/>
                    </w:rPr>
                    <w:t>监测值</w:t>
                  </w:r>
                </w:p>
              </w:tc>
              <w:tc>
                <w:tcPr>
                  <w:tcW w:w="1333" w:type="dxa"/>
                  <w:vAlign w:val="center"/>
                </w:tcPr>
                <w:p w14:paraId="4421F6C1">
                  <w:pPr>
                    <w:spacing w:line="360" w:lineRule="auto"/>
                    <w:jc w:val="center"/>
                    <w:rPr>
                      <w:szCs w:val="21"/>
                    </w:rPr>
                  </w:pPr>
                  <w:r>
                    <w:rPr>
                      <w:szCs w:val="21"/>
                    </w:rPr>
                    <w:t>7.97</w:t>
                  </w:r>
                </w:p>
              </w:tc>
              <w:tc>
                <w:tcPr>
                  <w:tcW w:w="1309" w:type="dxa"/>
                  <w:vAlign w:val="center"/>
                </w:tcPr>
                <w:p w14:paraId="0A8800DF">
                  <w:pPr>
                    <w:spacing w:line="360" w:lineRule="auto"/>
                    <w:jc w:val="center"/>
                    <w:rPr>
                      <w:szCs w:val="21"/>
                    </w:rPr>
                  </w:pPr>
                  <w:r>
                    <w:rPr>
                      <w:rFonts w:hint="eastAsia"/>
                      <w:szCs w:val="21"/>
                    </w:rPr>
                    <w:t>1</w:t>
                  </w:r>
                  <w:r>
                    <w:rPr>
                      <w:szCs w:val="21"/>
                    </w:rPr>
                    <w:t>8</w:t>
                  </w:r>
                </w:p>
              </w:tc>
              <w:tc>
                <w:tcPr>
                  <w:tcW w:w="1309" w:type="dxa"/>
                  <w:vAlign w:val="center"/>
                </w:tcPr>
                <w:p w14:paraId="0E3965B6">
                  <w:pPr>
                    <w:spacing w:line="360" w:lineRule="auto"/>
                    <w:jc w:val="center"/>
                    <w:rPr>
                      <w:szCs w:val="21"/>
                    </w:rPr>
                  </w:pPr>
                  <w:r>
                    <w:rPr>
                      <w:rFonts w:hint="eastAsia"/>
                      <w:szCs w:val="21"/>
                    </w:rPr>
                    <w:t>0.</w:t>
                  </w:r>
                  <w:r>
                    <w:rPr>
                      <w:szCs w:val="21"/>
                    </w:rPr>
                    <w:t>41</w:t>
                  </w:r>
                </w:p>
              </w:tc>
              <w:tc>
                <w:tcPr>
                  <w:tcW w:w="1309" w:type="dxa"/>
                  <w:vAlign w:val="center"/>
                </w:tcPr>
                <w:p w14:paraId="2B3681EC">
                  <w:pPr>
                    <w:spacing w:line="360" w:lineRule="auto"/>
                    <w:jc w:val="center"/>
                    <w:rPr>
                      <w:szCs w:val="21"/>
                    </w:rPr>
                  </w:pPr>
                  <w:r>
                    <w:rPr>
                      <w:szCs w:val="21"/>
                    </w:rPr>
                    <w:t>12.2</w:t>
                  </w:r>
                </w:p>
              </w:tc>
              <w:tc>
                <w:tcPr>
                  <w:tcW w:w="1309" w:type="dxa"/>
                  <w:vAlign w:val="center"/>
                </w:tcPr>
                <w:p w14:paraId="181F6391">
                  <w:pPr>
                    <w:spacing w:line="360" w:lineRule="auto"/>
                    <w:jc w:val="center"/>
                    <w:rPr>
                      <w:szCs w:val="21"/>
                    </w:rPr>
                  </w:pPr>
                  <w:r>
                    <w:rPr>
                      <w:rFonts w:hint="eastAsia"/>
                      <w:szCs w:val="21"/>
                    </w:rPr>
                    <w:t>0.</w:t>
                  </w:r>
                  <w:r>
                    <w:rPr>
                      <w:szCs w:val="21"/>
                    </w:rPr>
                    <w:t>04</w:t>
                  </w:r>
                </w:p>
              </w:tc>
              <w:tc>
                <w:tcPr>
                  <w:tcW w:w="1309" w:type="dxa"/>
                  <w:vAlign w:val="center"/>
                </w:tcPr>
                <w:p w14:paraId="1116E972">
                  <w:pPr>
                    <w:spacing w:line="360" w:lineRule="auto"/>
                    <w:jc w:val="center"/>
                    <w:rPr>
                      <w:szCs w:val="21"/>
                    </w:rPr>
                  </w:pPr>
                  <w:r>
                    <w:rPr>
                      <w:rFonts w:hint="eastAsia"/>
                      <w:szCs w:val="21"/>
                    </w:rPr>
                    <w:t>未检出</w:t>
                  </w:r>
                </w:p>
              </w:tc>
              <w:tc>
                <w:tcPr>
                  <w:tcW w:w="1327" w:type="dxa"/>
                  <w:vAlign w:val="center"/>
                </w:tcPr>
                <w:p w14:paraId="30B531AE">
                  <w:pPr>
                    <w:spacing w:line="360" w:lineRule="auto"/>
                    <w:jc w:val="center"/>
                    <w:rPr>
                      <w:szCs w:val="21"/>
                    </w:rPr>
                  </w:pPr>
                  <w:r>
                    <w:rPr>
                      <w:szCs w:val="21"/>
                    </w:rPr>
                    <w:t>未检出</w:t>
                  </w:r>
                </w:p>
              </w:tc>
            </w:tr>
            <w:tr w14:paraId="03290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006" w:type="dxa"/>
                  <w:vAlign w:val="center"/>
                </w:tcPr>
                <w:p w14:paraId="15C800CD">
                  <w:pPr>
                    <w:spacing w:line="360" w:lineRule="auto"/>
                    <w:jc w:val="center"/>
                    <w:rPr>
                      <w:szCs w:val="21"/>
                    </w:rPr>
                  </w:pPr>
                  <w:r>
                    <w:rPr>
                      <w:szCs w:val="21"/>
                    </w:rPr>
                    <w:t>标准值</w:t>
                  </w:r>
                </w:p>
              </w:tc>
              <w:tc>
                <w:tcPr>
                  <w:tcW w:w="1333" w:type="dxa"/>
                  <w:vAlign w:val="center"/>
                </w:tcPr>
                <w:p w14:paraId="37EF5EFB">
                  <w:pPr>
                    <w:spacing w:line="360" w:lineRule="auto"/>
                    <w:jc w:val="center"/>
                    <w:rPr>
                      <w:szCs w:val="21"/>
                    </w:rPr>
                  </w:pPr>
                  <w:r>
                    <w:rPr>
                      <w:szCs w:val="21"/>
                    </w:rPr>
                    <w:t>6～9</w:t>
                  </w:r>
                </w:p>
              </w:tc>
              <w:tc>
                <w:tcPr>
                  <w:tcW w:w="1309" w:type="dxa"/>
                  <w:vAlign w:val="center"/>
                </w:tcPr>
                <w:p w14:paraId="1FD3ADF7">
                  <w:pPr>
                    <w:spacing w:line="360" w:lineRule="auto"/>
                    <w:jc w:val="center"/>
                    <w:rPr>
                      <w:szCs w:val="21"/>
                    </w:rPr>
                  </w:pPr>
                  <w:r>
                    <w:rPr>
                      <w:szCs w:val="21"/>
                    </w:rPr>
                    <w:t>≤ 20</w:t>
                  </w:r>
                </w:p>
              </w:tc>
              <w:tc>
                <w:tcPr>
                  <w:tcW w:w="1309" w:type="dxa"/>
                  <w:vAlign w:val="center"/>
                </w:tcPr>
                <w:p w14:paraId="13E0E324">
                  <w:pPr>
                    <w:spacing w:line="360" w:lineRule="auto"/>
                    <w:jc w:val="center"/>
                    <w:rPr>
                      <w:szCs w:val="21"/>
                    </w:rPr>
                  </w:pPr>
                  <w:r>
                    <w:rPr>
                      <w:szCs w:val="21"/>
                    </w:rPr>
                    <w:t>≤ 1.0</w:t>
                  </w:r>
                </w:p>
              </w:tc>
              <w:tc>
                <w:tcPr>
                  <w:tcW w:w="1309" w:type="dxa"/>
                  <w:vAlign w:val="center"/>
                </w:tcPr>
                <w:p w14:paraId="101E0B78">
                  <w:pPr>
                    <w:spacing w:line="360" w:lineRule="auto"/>
                    <w:jc w:val="center"/>
                    <w:rPr>
                      <w:szCs w:val="21"/>
                    </w:rPr>
                  </w:pPr>
                  <w:r>
                    <w:rPr>
                      <w:szCs w:val="21"/>
                    </w:rPr>
                    <w:t>≥ 5</w:t>
                  </w:r>
                </w:p>
              </w:tc>
              <w:tc>
                <w:tcPr>
                  <w:tcW w:w="1309" w:type="dxa"/>
                  <w:vAlign w:val="center"/>
                </w:tcPr>
                <w:p w14:paraId="570ED2AE">
                  <w:pPr>
                    <w:spacing w:line="360" w:lineRule="auto"/>
                    <w:jc w:val="center"/>
                    <w:rPr>
                      <w:szCs w:val="21"/>
                    </w:rPr>
                  </w:pPr>
                  <w:r>
                    <w:rPr>
                      <w:szCs w:val="21"/>
                    </w:rPr>
                    <w:t xml:space="preserve">≤ </w:t>
                  </w:r>
                  <w:r>
                    <w:rPr>
                      <w:rFonts w:hint="eastAsia"/>
                      <w:szCs w:val="21"/>
                    </w:rPr>
                    <w:t>0.2</w:t>
                  </w:r>
                </w:p>
              </w:tc>
              <w:tc>
                <w:tcPr>
                  <w:tcW w:w="1309" w:type="dxa"/>
                  <w:vAlign w:val="center"/>
                </w:tcPr>
                <w:p w14:paraId="62A190DF">
                  <w:pPr>
                    <w:spacing w:line="360" w:lineRule="auto"/>
                    <w:jc w:val="center"/>
                    <w:rPr>
                      <w:szCs w:val="21"/>
                    </w:rPr>
                  </w:pPr>
                  <w:r>
                    <w:rPr>
                      <w:szCs w:val="21"/>
                    </w:rPr>
                    <w:t>≤</w:t>
                  </w:r>
                  <w:r>
                    <w:rPr>
                      <w:rFonts w:hint="eastAsia"/>
                      <w:szCs w:val="21"/>
                    </w:rPr>
                    <w:t>0.05</w:t>
                  </w:r>
                </w:p>
              </w:tc>
              <w:tc>
                <w:tcPr>
                  <w:tcW w:w="1327" w:type="dxa"/>
                  <w:vAlign w:val="center"/>
                </w:tcPr>
                <w:p w14:paraId="2E46C6F4">
                  <w:pPr>
                    <w:spacing w:line="360" w:lineRule="auto"/>
                    <w:jc w:val="center"/>
                    <w:rPr>
                      <w:szCs w:val="21"/>
                    </w:rPr>
                  </w:pPr>
                  <w:r>
                    <w:rPr>
                      <w:szCs w:val="21"/>
                    </w:rPr>
                    <w:t>≤ 0.005</w:t>
                  </w:r>
                </w:p>
              </w:tc>
            </w:tr>
            <w:tr w14:paraId="124D1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06" w:type="dxa"/>
                  <w:vAlign w:val="center"/>
                </w:tcPr>
                <w:p w14:paraId="5A6A2997">
                  <w:pPr>
                    <w:spacing w:line="360" w:lineRule="auto"/>
                    <w:jc w:val="center"/>
                    <w:rPr>
                      <w:szCs w:val="21"/>
                    </w:rPr>
                  </w:pPr>
                  <w:r>
                    <w:rPr>
                      <w:szCs w:val="21"/>
                    </w:rPr>
                    <w:t>项目</w:t>
                  </w:r>
                </w:p>
              </w:tc>
              <w:tc>
                <w:tcPr>
                  <w:tcW w:w="1333" w:type="dxa"/>
                  <w:vAlign w:val="center"/>
                </w:tcPr>
                <w:p w14:paraId="27E61DC1">
                  <w:pPr>
                    <w:spacing w:line="360" w:lineRule="auto"/>
                    <w:jc w:val="center"/>
                    <w:rPr>
                      <w:szCs w:val="21"/>
                    </w:rPr>
                  </w:pPr>
                  <w:r>
                    <w:rPr>
                      <w:szCs w:val="21"/>
                    </w:rPr>
                    <w:t>镉</w:t>
                  </w:r>
                </w:p>
              </w:tc>
              <w:tc>
                <w:tcPr>
                  <w:tcW w:w="1309" w:type="dxa"/>
                  <w:vAlign w:val="center"/>
                </w:tcPr>
                <w:p w14:paraId="5F7795E7">
                  <w:pPr>
                    <w:spacing w:line="360" w:lineRule="auto"/>
                    <w:jc w:val="center"/>
                    <w:rPr>
                      <w:szCs w:val="21"/>
                    </w:rPr>
                  </w:pPr>
                  <w:r>
                    <w:rPr>
                      <w:szCs w:val="21"/>
                    </w:rPr>
                    <w:t>锌</w:t>
                  </w:r>
                </w:p>
              </w:tc>
              <w:tc>
                <w:tcPr>
                  <w:tcW w:w="1309" w:type="dxa"/>
                  <w:vAlign w:val="center"/>
                </w:tcPr>
                <w:p w14:paraId="63D0E4F9">
                  <w:pPr>
                    <w:spacing w:line="360" w:lineRule="auto"/>
                    <w:jc w:val="center"/>
                    <w:rPr>
                      <w:szCs w:val="21"/>
                    </w:rPr>
                  </w:pPr>
                  <w:r>
                    <w:rPr>
                      <w:szCs w:val="21"/>
                    </w:rPr>
                    <w:t>铜</w:t>
                  </w:r>
                </w:p>
              </w:tc>
              <w:tc>
                <w:tcPr>
                  <w:tcW w:w="1309" w:type="dxa"/>
                  <w:vAlign w:val="center"/>
                </w:tcPr>
                <w:p w14:paraId="0E2D2675">
                  <w:pPr>
                    <w:spacing w:line="360" w:lineRule="auto"/>
                    <w:jc w:val="center"/>
                    <w:rPr>
                      <w:szCs w:val="21"/>
                    </w:rPr>
                  </w:pPr>
                  <w:r>
                    <w:rPr>
                      <w:szCs w:val="21"/>
                    </w:rPr>
                    <w:t>砷</w:t>
                  </w:r>
                </w:p>
              </w:tc>
              <w:tc>
                <w:tcPr>
                  <w:tcW w:w="1309" w:type="dxa"/>
                  <w:vAlign w:val="center"/>
                </w:tcPr>
                <w:p w14:paraId="2A7A96B1">
                  <w:pPr>
                    <w:spacing w:line="360" w:lineRule="auto"/>
                    <w:jc w:val="center"/>
                    <w:rPr>
                      <w:szCs w:val="21"/>
                    </w:rPr>
                  </w:pPr>
                  <w:r>
                    <w:rPr>
                      <w:szCs w:val="21"/>
                    </w:rPr>
                    <w:t>六价铬</w:t>
                  </w:r>
                </w:p>
              </w:tc>
              <w:tc>
                <w:tcPr>
                  <w:tcW w:w="2636" w:type="dxa"/>
                  <w:gridSpan w:val="2"/>
                  <w:vAlign w:val="center"/>
                </w:tcPr>
                <w:p w14:paraId="2583D78C">
                  <w:pPr>
                    <w:spacing w:line="360" w:lineRule="auto"/>
                    <w:jc w:val="center"/>
                    <w:rPr>
                      <w:szCs w:val="21"/>
                    </w:rPr>
                  </w:pPr>
                  <w:r>
                    <w:rPr>
                      <w:szCs w:val="21"/>
                    </w:rPr>
                    <w:t>高锰酸盐指数</w:t>
                  </w:r>
                </w:p>
              </w:tc>
            </w:tr>
            <w:tr w14:paraId="2E01E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006" w:type="dxa"/>
                  <w:vAlign w:val="center"/>
                </w:tcPr>
                <w:p w14:paraId="61488646">
                  <w:pPr>
                    <w:spacing w:line="360" w:lineRule="auto"/>
                    <w:jc w:val="center"/>
                    <w:rPr>
                      <w:szCs w:val="21"/>
                    </w:rPr>
                  </w:pPr>
                  <w:r>
                    <w:rPr>
                      <w:szCs w:val="21"/>
                    </w:rPr>
                    <w:t>监</w:t>
                  </w:r>
                  <w:r>
                    <w:rPr>
                      <w:szCs w:val="21"/>
                    </w:rPr>
                    <w:cr/>
                  </w:r>
                  <w:r>
                    <w:rPr>
                      <w:szCs w:val="21"/>
                    </w:rPr>
                    <w:t>值</w:t>
                  </w:r>
                </w:p>
              </w:tc>
              <w:tc>
                <w:tcPr>
                  <w:tcW w:w="1333" w:type="dxa"/>
                  <w:vAlign w:val="center"/>
                </w:tcPr>
                <w:p w14:paraId="0AB68402">
                  <w:pPr>
                    <w:spacing w:line="360" w:lineRule="auto"/>
                    <w:jc w:val="center"/>
                    <w:rPr>
                      <w:szCs w:val="21"/>
                    </w:rPr>
                  </w:pPr>
                  <w:r>
                    <w:rPr>
                      <w:szCs w:val="21"/>
                    </w:rPr>
                    <w:t>未检出</w:t>
                  </w:r>
                </w:p>
              </w:tc>
              <w:tc>
                <w:tcPr>
                  <w:tcW w:w="1309" w:type="dxa"/>
                  <w:vAlign w:val="center"/>
                </w:tcPr>
                <w:p w14:paraId="68B058FE">
                  <w:pPr>
                    <w:spacing w:line="360" w:lineRule="auto"/>
                    <w:jc w:val="center"/>
                    <w:rPr>
                      <w:szCs w:val="21"/>
                    </w:rPr>
                  </w:pPr>
                  <w:r>
                    <w:rPr>
                      <w:szCs w:val="21"/>
                    </w:rPr>
                    <w:t>未检出</w:t>
                  </w:r>
                </w:p>
              </w:tc>
              <w:tc>
                <w:tcPr>
                  <w:tcW w:w="1309" w:type="dxa"/>
                  <w:vAlign w:val="center"/>
                </w:tcPr>
                <w:p w14:paraId="76D5B666">
                  <w:pPr>
                    <w:spacing w:line="360" w:lineRule="auto"/>
                    <w:jc w:val="center"/>
                    <w:rPr>
                      <w:szCs w:val="21"/>
                    </w:rPr>
                  </w:pPr>
                  <w:r>
                    <w:rPr>
                      <w:rFonts w:hint="eastAsia"/>
                      <w:szCs w:val="21"/>
                    </w:rPr>
                    <w:t>0.00</w:t>
                  </w:r>
                  <w:r>
                    <w:rPr>
                      <w:szCs w:val="21"/>
                    </w:rPr>
                    <w:t>918</w:t>
                  </w:r>
                </w:p>
              </w:tc>
              <w:tc>
                <w:tcPr>
                  <w:tcW w:w="1309" w:type="dxa"/>
                  <w:vAlign w:val="center"/>
                </w:tcPr>
                <w:p w14:paraId="7C9E223A">
                  <w:pPr>
                    <w:spacing w:line="360" w:lineRule="auto"/>
                    <w:jc w:val="center"/>
                    <w:rPr>
                      <w:szCs w:val="21"/>
                    </w:rPr>
                  </w:pPr>
                  <w:r>
                    <w:rPr>
                      <w:rFonts w:hint="eastAsia"/>
                      <w:szCs w:val="21"/>
                    </w:rPr>
                    <w:t>0.00</w:t>
                  </w:r>
                  <w:r>
                    <w:rPr>
                      <w:szCs w:val="21"/>
                    </w:rPr>
                    <w:t>12</w:t>
                  </w:r>
                </w:p>
              </w:tc>
              <w:tc>
                <w:tcPr>
                  <w:tcW w:w="1309" w:type="dxa"/>
                  <w:vAlign w:val="center"/>
                </w:tcPr>
                <w:p w14:paraId="6C675DAC">
                  <w:pPr>
                    <w:spacing w:line="360" w:lineRule="auto"/>
                    <w:jc w:val="center"/>
                    <w:rPr>
                      <w:szCs w:val="21"/>
                    </w:rPr>
                  </w:pPr>
                  <w:r>
                    <w:rPr>
                      <w:szCs w:val="21"/>
                    </w:rPr>
                    <w:t>未检出</w:t>
                  </w:r>
                </w:p>
              </w:tc>
              <w:tc>
                <w:tcPr>
                  <w:tcW w:w="2636" w:type="dxa"/>
                  <w:gridSpan w:val="2"/>
                  <w:vAlign w:val="center"/>
                </w:tcPr>
                <w:p w14:paraId="6F04A0FB">
                  <w:pPr>
                    <w:spacing w:line="360" w:lineRule="auto"/>
                    <w:jc w:val="center"/>
                    <w:rPr>
                      <w:szCs w:val="21"/>
                    </w:rPr>
                  </w:pPr>
                  <w:r>
                    <w:rPr>
                      <w:szCs w:val="21"/>
                    </w:rPr>
                    <w:t>4.8</w:t>
                  </w:r>
                </w:p>
              </w:tc>
            </w:tr>
            <w:tr w14:paraId="24E87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006" w:type="dxa"/>
                  <w:vAlign w:val="center"/>
                </w:tcPr>
                <w:p w14:paraId="6A4D282C">
                  <w:pPr>
                    <w:spacing w:line="360" w:lineRule="auto"/>
                    <w:jc w:val="center"/>
                    <w:rPr>
                      <w:szCs w:val="21"/>
                    </w:rPr>
                  </w:pPr>
                  <w:r>
                    <w:rPr>
                      <w:szCs w:val="21"/>
                    </w:rPr>
                    <w:t>标准值</w:t>
                  </w:r>
                </w:p>
              </w:tc>
              <w:tc>
                <w:tcPr>
                  <w:tcW w:w="1333" w:type="dxa"/>
                  <w:vAlign w:val="center"/>
                </w:tcPr>
                <w:p w14:paraId="11567802">
                  <w:pPr>
                    <w:spacing w:line="360" w:lineRule="auto"/>
                    <w:jc w:val="center"/>
                    <w:rPr>
                      <w:szCs w:val="21"/>
                    </w:rPr>
                  </w:pPr>
                  <w:r>
                    <w:rPr>
                      <w:szCs w:val="21"/>
                    </w:rPr>
                    <w:t>≤ 0.005</w:t>
                  </w:r>
                </w:p>
              </w:tc>
              <w:tc>
                <w:tcPr>
                  <w:tcW w:w="1309" w:type="dxa"/>
                  <w:vAlign w:val="center"/>
                </w:tcPr>
                <w:p w14:paraId="46E69E83">
                  <w:pPr>
                    <w:spacing w:line="360" w:lineRule="auto"/>
                    <w:jc w:val="center"/>
                    <w:rPr>
                      <w:szCs w:val="21"/>
                    </w:rPr>
                  </w:pPr>
                  <w:r>
                    <w:rPr>
                      <w:szCs w:val="21"/>
                    </w:rPr>
                    <w:t>≤ 1</w:t>
                  </w:r>
                </w:p>
              </w:tc>
              <w:tc>
                <w:tcPr>
                  <w:tcW w:w="1309" w:type="dxa"/>
                  <w:vAlign w:val="center"/>
                </w:tcPr>
                <w:p w14:paraId="5AD06B88">
                  <w:pPr>
                    <w:spacing w:line="360" w:lineRule="auto"/>
                    <w:jc w:val="center"/>
                    <w:rPr>
                      <w:szCs w:val="21"/>
                    </w:rPr>
                  </w:pPr>
                  <w:r>
                    <w:rPr>
                      <w:szCs w:val="21"/>
                    </w:rPr>
                    <w:t>≤ 1</w:t>
                  </w:r>
                </w:p>
              </w:tc>
              <w:tc>
                <w:tcPr>
                  <w:tcW w:w="1309" w:type="dxa"/>
                  <w:vAlign w:val="center"/>
                </w:tcPr>
                <w:p w14:paraId="6671F339">
                  <w:pPr>
                    <w:spacing w:line="360" w:lineRule="auto"/>
                    <w:jc w:val="center"/>
                    <w:rPr>
                      <w:szCs w:val="21"/>
                    </w:rPr>
                  </w:pPr>
                  <w:r>
                    <w:rPr>
                      <w:szCs w:val="21"/>
                    </w:rPr>
                    <w:t>≤ 0.05</w:t>
                  </w:r>
                </w:p>
              </w:tc>
              <w:tc>
                <w:tcPr>
                  <w:tcW w:w="1309" w:type="dxa"/>
                  <w:vAlign w:val="center"/>
                </w:tcPr>
                <w:p w14:paraId="4A30052E">
                  <w:pPr>
                    <w:spacing w:line="360" w:lineRule="auto"/>
                    <w:jc w:val="center"/>
                    <w:rPr>
                      <w:szCs w:val="21"/>
                    </w:rPr>
                  </w:pPr>
                  <w:r>
                    <w:rPr>
                      <w:szCs w:val="21"/>
                    </w:rPr>
                    <w:t>≤ 0.05</w:t>
                  </w:r>
                </w:p>
              </w:tc>
              <w:tc>
                <w:tcPr>
                  <w:tcW w:w="2636" w:type="dxa"/>
                  <w:gridSpan w:val="2"/>
                  <w:vAlign w:val="center"/>
                </w:tcPr>
                <w:p w14:paraId="7AA04B3C">
                  <w:pPr>
                    <w:spacing w:line="360" w:lineRule="auto"/>
                    <w:jc w:val="center"/>
                    <w:rPr>
                      <w:szCs w:val="21"/>
                    </w:rPr>
                  </w:pPr>
                  <w:r>
                    <w:rPr>
                      <w:szCs w:val="21"/>
                    </w:rPr>
                    <w:t>≤ 6</w:t>
                  </w:r>
                </w:p>
              </w:tc>
            </w:tr>
          </w:tbl>
          <w:p w14:paraId="05E0848C">
            <w:pPr>
              <w:widowControl/>
              <w:spacing w:line="360" w:lineRule="auto"/>
              <w:ind w:firstLine="480" w:firstLineChars="200"/>
              <w:rPr>
                <w:kern w:val="24"/>
                <w:sz w:val="24"/>
                <w:szCs w:val="24"/>
              </w:rPr>
            </w:pPr>
            <w:r>
              <w:rPr>
                <w:kern w:val="0"/>
                <w:sz w:val="24"/>
                <w:szCs w:val="24"/>
              </w:rPr>
              <w:t>监测结果表明，各项指标均符合应执行的《地表水环境质量标准》（GB 3838-2002）</w:t>
            </w:r>
            <w:r>
              <w:rPr>
                <w:rFonts w:hint="eastAsia" w:cs="宋体"/>
                <w:kern w:val="0"/>
                <w:sz w:val="24"/>
                <w:szCs w:val="24"/>
              </w:rPr>
              <w:t>Ⅲ</w:t>
            </w:r>
            <w:r>
              <w:rPr>
                <w:kern w:val="0"/>
                <w:sz w:val="24"/>
                <w:szCs w:val="24"/>
              </w:rPr>
              <w:t>类标准要求。</w:t>
            </w:r>
          </w:p>
          <w:p w14:paraId="29742435">
            <w:pPr>
              <w:spacing w:line="360" w:lineRule="auto"/>
              <w:ind w:firstLine="482" w:firstLineChars="200"/>
              <w:rPr>
                <w:b/>
                <w:bCs/>
                <w:sz w:val="24"/>
                <w:szCs w:val="24"/>
              </w:rPr>
            </w:pPr>
            <w:r>
              <w:rPr>
                <w:rFonts w:hint="eastAsia"/>
                <w:b/>
                <w:bCs/>
                <w:sz w:val="24"/>
                <w:szCs w:val="24"/>
              </w:rPr>
              <w:t>三</w:t>
            </w:r>
            <w:r>
              <w:rPr>
                <w:b/>
                <w:bCs/>
                <w:sz w:val="24"/>
                <w:szCs w:val="24"/>
              </w:rPr>
              <w:t>、声环境</w:t>
            </w:r>
          </w:p>
          <w:p w14:paraId="4BB6FF14">
            <w:pPr>
              <w:spacing w:line="360" w:lineRule="auto"/>
              <w:ind w:firstLine="480" w:firstLineChars="200"/>
              <w:rPr>
                <w:sz w:val="24"/>
                <w:szCs w:val="24"/>
              </w:rPr>
            </w:pPr>
            <w:r>
              <w:rPr>
                <w:sz w:val="24"/>
                <w:szCs w:val="24"/>
              </w:rPr>
              <w:t>根据威海市声功能区划，项目所在区域声环境质量应执行《声环境质量标准》（GB3096-2008）</w:t>
            </w:r>
            <w:r>
              <w:rPr>
                <w:rFonts w:hint="eastAsia"/>
                <w:sz w:val="24"/>
                <w:szCs w:val="24"/>
              </w:rPr>
              <w:t>2</w:t>
            </w:r>
            <w:r>
              <w:rPr>
                <w:sz w:val="24"/>
                <w:szCs w:val="24"/>
              </w:rPr>
              <w:t>类标准。</w:t>
            </w:r>
            <w:r>
              <w:rPr>
                <w:rFonts w:hint="eastAsia" w:ascii="宋体" w:hAnsi="宋体"/>
                <w:color w:val="000000"/>
                <w:sz w:val="24"/>
                <w:szCs w:val="24"/>
              </w:rPr>
              <w:t>根据威海市</w:t>
            </w:r>
            <w:r>
              <w:rPr>
                <w:rFonts w:hint="eastAsia"/>
                <w:color w:val="000000"/>
                <w:sz w:val="24"/>
                <w:szCs w:val="24"/>
              </w:rPr>
              <w:t>2019</w:t>
            </w:r>
            <w:r>
              <w:rPr>
                <w:rFonts w:hint="eastAsia" w:ascii="宋体" w:hAnsi="宋体"/>
                <w:color w:val="000000"/>
                <w:sz w:val="24"/>
                <w:szCs w:val="24"/>
              </w:rPr>
              <w:t>年威海市生态环境质量公报</w:t>
            </w:r>
            <w:r>
              <w:rPr>
                <w:sz w:val="24"/>
                <w:szCs w:val="24"/>
              </w:rPr>
              <w:t>，</w:t>
            </w:r>
            <w:r>
              <w:rPr>
                <w:rFonts w:hint="eastAsia"/>
                <w:sz w:val="24"/>
                <w:szCs w:val="24"/>
              </w:rPr>
              <w:t>全市0至4类功能区声环境质量昼、夜平均等效声级范围分别为46.7～38.7分贝、48.6～39.8分贝、52.3～41.3分贝、55.8～47.8分贝、58.5～52.2分贝，均达到声环境相应功能区标准</w:t>
            </w:r>
            <w:r>
              <w:rPr>
                <w:sz w:val="24"/>
                <w:szCs w:val="24"/>
              </w:rPr>
              <w:t>。</w:t>
            </w:r>
          </w:p>
          <w:p w14:paraId="6D11F9E5">
            <w:pPr>
              <w:adjustRightInd w:val="0"/>
              <w:snapToGrid w:val="0"/>
              <w:spacing w:line="360" w:lineRule="auto"/>
              <w:ind w:firstLine="482" w:firstLineChars="200"/>
              <w:rPr>
                <w:b/>
                <w:bCs/>
                <w:sz w:val="24"/>
                <w:szCs w:val="24"/>
              </w:rPr>
            </w:pPr>
            <w:r>
              <w:rPr>
                <w:rFonts w:hint="eastAsia"/>
                <w:b/>
                <w:bCs/>
                <w:sz w:val="24"/>
                <w:szCs w:val="24"/>
              </w:rPr>
              <w:t>四</w:t>
            </w:r>
            <w:r>
              <w:rPr>
                <w:b/>
                <w:bCs/>
                <w:sz w:val="24"/>
                <w:szCs w:val="24"/>
              </w:rPr>
              <w:t>、生态环境</w:t>
            </w:r>
          </w:p>
          <w:p w14:paraId="520E52B5">
            <w:pPr>
              <w:spacing w:line="360" w:lineRule="auto"/>
              <w:ind w:left="105" w:leftChars="50" w:right="105" w:rightChars="50" w:firstLine="480" w:firstLineChars="200"/>
              <w:rPr>
                <w:rFonts w:ascii="宋体" w:hAnsi="宋体"/>
                <w:color w:val="000000"/>
                <w:sz w:val="24"/>
                <w:szCs w:val="24"/>
              </w:rPr>
            </w:pPr>
            <w:r>
              <w:rPr>
                <w:rFonts w:hint="eastAsia" w:ascii="宋体" w:hAnsi="宋体"/>
                <w:color w:val="000000"/>
                <w:sz w:val="24"/>
                <w:szCs w:val="24"/>
              </w:rPr>
              <w:t>根据威海市</w:t>
            </w:r>
            <w:r>
              <w:rPr>
                <w:rFonts w:hint="eastAsia"/>
                <w:color w:val="000000"/>
                <w:sz w:val="24"/>
                <w:szCs w:val="24"/>
              </w:rPr>
              <w:t>2019</w:t>
            </w:r>
            <w:r>
              <w:rPr>
                <w:rFonts w:hint="eastAsia" w:ascii="宋体" w:hAnsi="宋体"/>
                <w:color w:val="000000"/>
                <w:sz w:val="24"/>
                <w:szCs w:val="24"/>
              </w:rPr>
              <w:t>年威海市生态环境质量公报，</w:t>
            </w:r>
            <w:r>
              <w:rPr>
                <w:rFonts w:hint="eastAsia"/>
                <w:sz w:val="24"/>
                <w:szCs w:val="24"/>
              </w:rPr>
              <w:t>全市生态环境状况指数为65.79，全省最好，达到国家生态文明建设示范市指标要求（≥60）</w:t>
            </w:r>
            <w:r>
              <w:rPr>
                <w:sz w:val="24"/>
                <w:szCs w:val="24"/>
              </w:rPr>
              <w:t>。</w:t>
            </w:r>
          </w:p>
          <w:p w14:paraId="4B922247">
            <w:pPr>
              <w:spacing w:line="360" w:lineRule="auto"/>
              <w:ind w:left="105" w:leftChars="50" w:right="105" w:rightChars="50" w:firstLine="480" w:firstLineChars="200"/>
              <w:rPr>
                <w:rFonts w:ascii="宋体" w:hAnsi="宋体"/>
                <w:color w:val="000000"/>
                <w:sz w:val="24"/>
                <w:szCs w:val="24"/>
              </w:rPr>
            </w:pPr>
          </w:p>
          <w:p w14:paraId="06DB671E">
            <w:pPr>
              <w:spacing w:line="360" w:lineRule="auto"/>
              <w:ind w:left="105" w:leftChars="50" w:right="105" w:rightChars="50" w:firstLine="480" w:firstLineChars="200"/>
              <w:rPr>
                <w:rFonts w:ascii="宋体" w:hAnsi="宋体"/>
                <w:color w:val="000000"/>
                <w:sz w:val="24"/>
                <w:szCs w:val="24"/>
              </w:rPr>
            </w:pPr>
          </w:p>
          <w:p w14:paraId="435BB27B">
            <w:pPr>
              <w:spacing w:line="360" w:lineRule="auto"/>
              <w:ind w:left="105" w:leftChars="50" w:right="105" w:rightChars="50" w:firstLine="480" w:firstLineChars="200"/>
              <w:rPr>
                <w:rFonts w:ascii="宋体" w:hAnsi="宋体"/>
                <w:color w:val="000000"/>
                <w:sz w:val="24"/>
                <w:szCs w:val="24"/>
              </w:rPr>
            </w:pPr>
          </w:p>
          <w:p w14:paraId="44C9EC6A">
            <w:pPr>
              <w:spacing w:line="360" w:lineRule="auto"/>
              <w:ind w:left="105" w:leftChars="50" w:right="105" w:rightChars="50" w:firstLine="480" w:firstLineChars="200"/>
              <w:rPr>
                <w:rFonts w:ascii="宋体" w:hAnsi="宋体"/>
                <w:color w:val="000000"/>
                <w:sz w:val="24"/>
                <w:szCs w:val="24"/>
              </w:rPr>
            </w:pPr>
          </w:p>
          <w:p w14:paraId="3149A89E">
            <w:pPr>
              <w:pStyle w:val="37"/>
              <w:ind w:firstLine="0" w:firstLineChars="0"/>
            </w:pPr>
          </w:p>
          <w:p w14:paraId="625C9C71">
            <w:pPr>
              <w:spacing w:line="360" w:lineRule="auto"/>
              <w:ind w:right="105" w:rightChars="50"/>
              <w:rPr>
                <w:rFonts w:ascii="宋体" w:hAnsi="宋体"/>
                <w:color w:val="000000"/>
                <w:sz w:val="24"/>
                <w:szCs w:val="24"/>
              </w:rPr>
            </w:pPr>
          </w:p>
          <w:p w14:paraId="443B17C3">
            <w:pPr>
              <w:spacing w:line="360" w:lineRule="auto"/>
              <w:ind w:left="105" w:leftChars="50" w:right="105" w:rightChars="50" w:firstLine="480" w:firstLineChars="200"/>
              <w:rPr>
                <w:bCs/>
                <w:sz w:val="24"/>
                <w:szCs w:val="24"/>
              </w:rPr>
            </w:pPr>
          </w:p>
        </w:tc>
      </w:tr>
      <w:tr w14:paraId="6F2DF49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76" w:hRule="atLeast"/>
          <w:jc w:val="center"/>
        </w:trPr>
        <w:tc>
          <w:tcPr>
            <w:tcW w:w="9356" w:type="dxa"/>
          </w:tcPr>
          <w:p w14:paraId="64024F46">
            <w:pPr>
              <w:spacing w:line="360" w:lineRule="auto"/>
              <w:rPr>
                <w:b/>
                <w:bCs/>
                <w:sz w:val="24"/>
                <w:szCs w:val="24"/>
              </w:rPr>
            </w:pPr>
            <w:r>
              <w:rPr>
                <w:b/>
                <w:bCs/>
                <w:sz w:val="24"/>
                <w:szCs w:val="24"/>
              </w:rPr>
              <w:t>主要环境保护目标（列出名单及保护级别）：</w:t>
            </w:r>
          </w:p>
          <w:p w14:paraId="7E212A07">
            <w:pPr>
              <w:snapToGrid w:val="0"/>
              <w:spacing w:line="360" w:lineRule="auto"/>
              <w:ind w:firstLine="480" w:firstLineChars="200"/>
              <w:rPr>
                <w:sz w:val="24"/>
                <w:szCs w:val="24"/>
              </w:rPr>
            </w:pPr>
            <w:r>
              <w:rPr>
                <w:sz w:val="24"/>
                <w:szCs w:val="24"/>
              </w:rPr>
              <w:t>经调查本地区不属于特殊保护区、社会关注区、生态脆弱区和特殊地貌景观区。评价区内无重点保护植物、动物及人文景观等，主要保护目标具体如下（项目四周敏感目标分布图见</w:t>
            </w:r>
            <w:r>
              <w:rPr>
                <w:rFonts w:hint="eastAsia"/>
                <w:sz w:val="24"/>
                <w:szCs w:val="24"/>
              </w:rPr>
              <w:t>附图五</w:t>
            </w:r>
            <w:r>
              <w:rPr>
                <w:sz w:val="24"/>
                <w:szCs w:val="24"/>
              </w:rPr>
              <w:t>）。</w:t>
            </w:r>
          </w:p>
          <w:p w14:paraId="48E4D75C">
            <w:pPr>
              <w:snapToGrid w:val="0"/>
              <w:spacing w:line="360" w:lineRule="auto"/>
              <w:ind w:firstLine="482" w:firstLineChars="200"/>
              <w:jc w:val="center"/>
              <w:rPr>
                <w:b/>
                <w:bCs/>
                <w:sz w:val="24"/>
                <w:szCs w:val="24"/>
              </w:rPr>
            </w:pPr>
            <w:r>
              <w:rPr>
                <w:b/>
                <w:bCs/>
                <w:sz w:val="24"/>
                <w:szCs w:val="24"/>
              </w:rPr>
              <w:t>表3-</w:t>
            </w:r>
            <w:r>
              <w:rPr>
                <w:rFonts w:hint="eastAsia"/>
                <w:b/>
                <w:bCs/>
                <w:sz w:val="24"/>
                <w:szCs w:val="24"/>
              </w:rPr>
              <w:t>3</w:t>
            </w:r>
            <w:r>
              <w:rPr>
                <w:b/>
                <w:bCs/>
                <w:sz w:val="24"/>
                <w:szCs w:val="24"/>
              </w:rPr>
              <w:t xml:space="preserve">  主要环境保护目标</w:t>
            </w:r>
          </w:p>
          <w:tbl>
            <w:tblPr>
              <w:tblStyle w:val="27"/>
              <w:tblW w:w="9003"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32"/>
              <w:gridCol w:w="1717"/>
              <w:gridCol w:w="1080"/>
              <w:gridCol w:w="1908"/>
              <w:gridCol w:w="2766"/>
            </w:tblGrid>
            <w:tr w14:paraId="6BE667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1532" w:type="dxa"/>
                  <w:tcBorders>
                    <w:tl2br w:val="nil"/>
                    <w:tr2bl w:val="nil"/>
                  </w:tcBorders>
                  <w:vAlign w:val="center"/>
                </w:tcPr>
                <w:p w14:paraId="34144AD9">
                  <w:pPr>
                    <w:widowControl/>
                    <w:adjustRightInd w:val="0"/>
                    <w:snapToGrid w:val="0"/>
                    <w:jc w:val="center"/>
                    <w:rPr>
                      <w:szCs w:val="21"/>
                    </w:rPr>
                  </w:pPr>
                  <w:r>
                    <w:rPr>
                      <w:szCs w:val="21"/>
                    </w:rPr>
                    <w:t>环境专题</w:t>
                  </w:r>
                </w:p>
              </w:tc>
              <w:tc>
                <w:tcPr>
                  <w:tcW w:w="1717" w:type="dxa"/>
                  <w:tcBorders>
                    <w:tl2br w:val="nil"/>
                    <w:tr2bl w:val="nil"/>
                  </w:tcBorders>
                  <w:vAlign w:val="center"/>
                </w:tcPr>
                <w:p w14:paraId="0F43D48A">
                  <w:pPr>
                    <w:widowControl/>
                    <w:adjustRightInd w:val="0"/>
                    <w:snapToGrid w:val="0"/>
                    <w:jc w:val="center"/>
                    <w:rPr>
                      <w:szCs w:val="21"/>
                    </w:rPr>
                  </w:pPr>
                  <w:r>
                    <w:rPr>
                      <w:szCs w:val="21"/>
                    </w:rPr>
                    <w:t>保护目标</w:t>
                  </w:r>
                </w:p>
              </w:tc>
              <w:tc>
                <w:tcPr>
                  <w:tcW w:w="1080" w:type="dxa"/>
                  <w:tcBorders>
                    <w:tl2br w:val="nil"/>
                    <w:tr2bl w:val="nil"/>
                  </w:tcBorders>
                  <w:vAlign w:val="center"/>
                </w:tcPr>
                <w:p w14:paraId="1EAD5F60">
                  <w:pPr>
                    <w:widowControl/>
                    <w:adjustRightInd w:val="0"/>
                    <w:snapToGrid w:val="0"/>
                    <w:jc w:val="center"/>
                    <w:rPr>
                      <w:szCs w:val="21"/>
                    </w:rPr>
                  </w:pPr>
                  <w:r>
                    <w:rPr>
                      <w:szCs w:val="21"/>
                    </w:rPr>
                    <w:t>方位</w:t>
                  </w:r>
                </w:p>
              </w:tc>
              <w:tc>
                <w:tcPr>
                  <w:tcW w:w="1908" w:type="dxa"/>
                  <w:tcBorders>
                    <w:tl2br w:val="nil"/>
                    <w:tr2bl w:val="nil"/>
                  </w:tcBorders>
                  <w:vAlign w:val="center"/>
                </w:tcPr>
                <w:p w14:paraId="3D6F252D">
                  <w:pPr>
                    <w:widowControl/>
                    <w:adjustRightInd w:val="0"/>
                    <w:snapToGrid w:val="0"/>
                    <w:jc w:val="center"/>
                    <w:rPr>
                      <w:szCs w:val="21"/>
                    </w:rPr>
                  </w:pPr>
                  <w:r>
                    <w:rPr>
                      <w:szCs w:val="21"/>
                    </w:rPr>
                    <w:t>厂界最近距离</w:t>
                  </w:r>
                </w:p>
              </w:tc>
              <w:tc>
                <w:tcPr>
                  <w:tcW w:w="2766" w:type="dxa"/>
                  <w:tcBorders>
                    <w:tl2br w:val="nil"/>
                    <w:tr2bl w:val="nil"/>
                  </w:tcBorders>
                  <w:vAlign w:val="center"/>
                </w:tcPr>
                <w:p w14:paraId="704EA5C9">
                  <w:pPr>
                    <w:widowControl/>
                    <w:adjustRightInd w:val="0"/>
                    <w:snapToGrid w:val="0"/>
                    <w:jc w:val="center"/>
                    <w:rPr>
                      <w:szCs w:val="21"/>
                    </w:rPr>
                  </w:pPr>
                  <w:r>
                    <w:rPr>
                      <w:szCs w:val="21"/>
                    </w:rPr>
                    <w:t>保护级别</w:t>
                  </w:r>
                </w:p>
              </w:tc>
            </w:tr>
            <w:tr w14:paraId="760AE13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532" w:type="dxa"/>
                  <w:vMerge w:val="restart"/>
                  <w:tcBorders>
                    <w:tl2br w:val="nil"/>
                    <w:tr2bl w:val="nil"/>
                  </w:tcBorders>
                  <w:vAlign w:val="center"/>
                </w:tcPr>
                <w:p w14:paraId="140C9280">
                  <w:pPr>
                    <w:widowControl/>
                    <w:adjustRightInd w:val="0"/>
                    <w:snapToGrid w:val="0"/>
                    <w:jc w:val="center"/>
                    <w:rPr>
                      <w:szCs w:val="21"/>
                    </w:rPr>
                  </w:pPr>
                  <w:r>
                    <w:rPr>
                      <w:szCs w:val="21"/>
                    </w:rPr>
                    <w:t>大气环境和环境风险</w:t>
                  </w:r>
                </w:p>
              </w:tc>
              <w:tc>
                <w:tcPr>
                  <w:tcW w:w="1717" w:type="dxa"/>
                  <w:tcBorders>
                    <w:tl2br w:val="nil"/>
                    <w:tr2bl w:val="nil"/>
                  </w:tcBorders>
                  <w:vAlign w:val="center"/>
                </w:tcPr>
                <w:p w14:paraId="5D782031">
                  <w:pPr>
                    <w:widowControl/>
                    <w:adjustRightInd w:val="0"/>
                    <w:snapToGrid w:val="0"/>
                    <w:jc w:val="center"/>
                    <w:rPr>
                      <w:szCs w:val="21"/>
                    </w:rPr>
                  </w:pPr>
                  <w:r>
                    <w:rPr>
                      <w:rFonts w:hint="eastAsia"/>
                      <w:szCs w:val="21"/>
                    </w:rPr>
                    <w:t>刘家台村</w:t>
                  </w:r>
                </w:p>
              </w:tc>
              <w:tc>
                <w:tcPr>
                  <w:tcW w:w="1080" w:type="dxa"/>
                  <w:tcBorders>
                    <w:tl2br w:val="nil"/>
                    <w:tr2bl w:val="nil"/>
                  </w:tcBorders>
                  <w:vAlign w:val="center"/>
                </w:tcPr>
                <w:p w14:paraId="6F034366">
                  <w:pPr>
                    <w:adjustRightInd w:val="0"/>
                    <w:snapToGrid w:val="0"/>
                    <w:jc w:val="center"/>
                    <w:rPr>
                      <w:szCs w:val="21"/>
                    </w:rPr>
                  </w:pPr>
                  <w:r>
                    <w:rPr>
                      <w:szCs w:val="21"/>
                    </w:rPr>
                    <w:t>西</w:t>
                  </w:r>
                  <w:r>
                    <w:rPr>
                      <w:rFonts w:hint="eastAsia"/>
                      <w:szCs w:val="21"/>
                    </w:rPr>
                    <w:t>北</w:t>
                  </w:r>
                </w:p>
              </w:tc>
              <w:tc>
                <w:tcPr>
                  <w:tcW w:w="1908" w:type="dxa"/>
                  <w:tcBorders>
                    <w:tl2br w:val="nil"/>
                    <w:tr2bl w:val="nil"/>
                  </w:tcBorders>
                  <w:vAlign w:val="center"/>
                </w:tcPr>
                <w:p w14:paraId="6D6459AA">
                  <w:pPr>
                    <w:adjustRightInd w:val="0"/>
                    <w:snapToGrid w:val="0"/>
                    <w:jc w:val="center"/>
                    <w:rPr>
                      <w:szCs w:val="21"/>
                    </w:rPr>
                  </w:pPr>
                  <w:r>
                    <w:rPr>
                      <w:rFonts w:hint="eastAsia"/>
                      <w:szCs w:val="21"/>
                    </w:rPr>
                    <w:t>50</w:t>
                  </w:r>
                  <w:r>
                    <w:rPr>
                      <w:szCs w:val="21"/>
                    </w:rPr>
                    <w:t>m</w:t>
                  </w:r>
                </w:p>
              </w:tc>
              <w:tc>
                <w:tcPr>
                  <w:tcW w:w="2766" w:type="dxa"/>
                  <w:vMerge w:val="restart"/>
                  <w:tcBorders>
                    <w:tl2br w:val="nil"/>
                    <w:tr2bl w:val="nil"/>
                  </w:tcBorders>
                  <w:vAlign w:val="center"/>
                </w:tcPr>
                <w:p w14:paraId="0922C57D">
                  <w:pPr>
                    <w:widowControl/>
                    <w:adjustRightInd w:val="0"/>
                    <w:snapToGrid w:val="0"/>
                    <w:jc w:val="center"/>
                    <w:rPr>
                      <w:szCs w:val="21"/>
                    </w:rPr>
                  </w:pPr>
                  <w:r>
                    <w:rPr>
                      <w:szCs w:val="21"/>
                    </w:rPr>
                    <w:t>《环境空气质量标准》（GB3095-2012）二级</w:t>
                  </w:r>
                  <w:r>
                    <w:rPr>
                      <w:rFonts w:hint="eastAsia"/>
                      <w:szCs w:val="21"/>
                    </w:rPr>
                    <w:t>标准及修改单</w:t>
                  </w:r>
                </w:p>
              </w:tc>
            </w:tr>
            <w:tr w14:paraId="7CAC639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532" w:type="dxa"/>
                  <w:vMerge w:val="continue"/>
                  <w:tcBorders>
                    <w:tl2br w:val="nil"/>
                    <w:tr2bl w:val="nil"/>
                  </w:tcBorders>
                  <w:vAlign w:val="center"/>
                </w:tcPr>
                <w:p w14:paraId="61F62FEE">
                  <w:pPr>
                    <w:widowControl/>
                    <w:adjustRightInd w:val="0"/>
                    <w:snapToGrid w:val="0"/>
                    <w:jc w:val="center"/>
                    <w:rPr>
                      <w:szCs w:val="21"/>
                    </w:rPr>
                  </w:pPr>
                </w:p>
              </w:tc>
              <w:tc>
                <w:tcPr>
                  <w:tcW w:w="1717" w:type="dxa"/>
                  <w:tcBorders>
                    <w:tl2br w:val="nil"/>
                    <w:tr2bl w:val="nil"/>
                  </w:tcBorders>
                  <w:vAlign w:val="center"/>
                </w:tcPr>
                <w:p w14:paraId="0B77B3D0">
                  <w:pPr>
                    <w:widowControl/>
                    <w:adjustRightInd w:val="0"/>
                    <w:snapToGrid w:val="0"/>
                    <w:jc w:val="center"/>
                    <w:rPr>
                      <w:szCs w:val="21"/>
                    </w:rPr>
                  </w:pPr>
                  <w:r>
                    <w:rPr>
                      <w:rFonts w:hint="eastAsia"/>
                      <w:szCs w:val="21"/>
                    </w:rPr>
                    <w:t>小南山村</w:t>
                  </w:r>
                </w:p>
              </w:tc>
              <w:tc>
                <w:tcPr>
                  <w:tcW w:w="1080" w:type="dxa"/>
                  <w:tcBorders>
                    <w:tl2br w:val="nil"/>
                    <w:tr2bl w:val="nil"/>
                  </w:tcBorders>
                  <w:vAlign w:val="center"/>
                </w:tcPr>
                <w:p w14:paraId="2D4D0F65">
                  <w:pPr>
                    <w:adjustRightInd w:val="0"/>
                    <w:snapToGrid w:val="0"/>
                    <w:jc w:val="center"/>
                    <w:rPr>
                      <w:szCs w:val="21"/>
                    </w:rPr>
                  </w:pPr>
                  <w:r>
                    <w:rPr>
                      <w:rFonts w:hint="eastAsia"/>
                      <w:szCs w:val="21"/>
                    </w:rPr>
                    <w:t>南</w:t>
                  </w:r>
                </w:p>
              </w:tc>
              <w:tc>
                <w:tcPr>
                  <w:tcW w:w="1908" w:type="dxa"/>
                  <w:tcBorders>
                    <w:tl2br w:val="nil"/>
                    <w:tr2bl w:val="nil"/>
                  </w:tcBorders>
                  <w:vAlign w:val="center"/>
                </w:tcPr>
                <w:p w14:paraId="321CFE3A">
                  <w:pPr>
                    <w:adjustRightInd w:val="0"/>
                    <w:snapToGrid w:val="0"/>
                    <w:jc w:val="center"/>
                    <w:rPr>
                      <w:szCs w:val="21"/>
                    </w:rPr>
                  </w:pPr>
                  <w:r>
                    <w:rPr>
                      <w:rFonts w:hint="eastAsia"/>
                      <w:szCs w:val="21"/>
                    </w:rPr>
                    <w:t>290m</w:t>
                  </w:r>
                </w:p>
              </w:tc>
              <w:tc>
                <w:tcPr>
                  <w:tcW w:w="2766" w:type="dxa"/>
                  <w:vMerge w:val="continue"/>
                  <w:tcBorders>
                    <w:tl2br w:val="nil"/>
                    <w:tr2bl w:val="nil"/>
                  </w:tcBorders>
                  <w:vAlign w:val="center"/>
                </w:tcPr>
                <w:p w14:paraId="56F6CE28">
                  <w:pPr>
                    <w:widowControl/>
                    <w:adjustRightInd w:val="0"/>
                    <w:snapToGrid w:val="0"/>
                    <w:jc w:val="center"/>
                    <w:rPr>
                      <w:szCs w:val="21"/>
                    </w:rPr>
                  </w:pPr>
                </w:p>
              </w:tc>
            </w:tr>
            <w:tr w14:paraId="33580AA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532" w:type="dxa"/>
                  <w:vMerge w:val="continue"/>
                  <w:tcBorders>
                    <w:tl2br w:val="nil"/>
                    <w:tr2bl w:val="nil"/>
                  </w:tcBorders>
                  <w:vAlign w:val="center"/>
                </w:tcPr>
                <w:p w14:paraId="67C6E55E">
                  <w:pPr>
                    <w:widowControl/>
                    <w:adjustRightInd w:val="0"/>
                    <w:snapToGrid w:val="0"/>
                    <w:jc w:val="center"/>
                    <w:rPr>
                      <w:szCs w:val="21"/>
                    </w:rPr>
                  </w:pPr>
                </w:p>
              </w:tc>
              <w:tc>
                <w:tcPr>
                  <w:tcW w:w="1717" w:type="dxa"/>
                  <w:tcBorders>
                    <w:tl2br w:val="nil"/>
                    <w:tr2bl w:val="nil"/>
                  </w:tcBorders>
                  <w:vAlign w:val="center"/>
                </w:tcPr>
                <w:p w14:paraId="7EF814F8">
                  <w:pPr>
                    <w:widowControl/>
                    <w:adjustRightInd w:val="0"/>
                    <w:snapToGrid w:val="0"/>
                    <w:jc w:val="center"/>
                    <w:rPr>
                      <w:szCs w:val="21"/>
                    </w:rPr>
                  </w:pPr>
                  <w:r>
                    <w:rPr>
                      <w:rFonts w:hint="eastAsia"/>
                      <w:szCs w:val="21"/>
                    </w:rPr>
                    <w:t>威胜南苑泉都</w:t>
                  </w:r>
                </w:p>
              </w:tc>
              <w:tc>
                <w:tcPr>
                  <w:tcW w:w="1080" w:type="dxa"/>
                  <w:tcBorders>
                    <w:tl2br w:val="nil"/>
                    <w:tr2bl w:val="nil"/>
                  </w:tcBorders>
                  <w:vAlign w:val="center"/>
                </w:tcPr>
                <w:p w14:paraId="7DF9B69F">
                  <w:pPr>
                    <w:adjustRightInd w:val="0"/>
                    <w:snapToGrid w:val="0"/>
                    <w:jc w:val="center"/>
                    <w:rPr>
                      <w:szCs w:val="21"/>
                    </w:rPr>
                  </w:pPr>
                  <w:r>
                    <w:rPr>
                      <w:szCs w:val="21"/>
                    </w:rPr>
                    <w:t>西</w:t>
                  </w:r>
                </w:p>
              </w:tc>
              <w:tc>
                <w:tcPr>
                  <w:tcW w:w="1908" w:type="dxa"/>
                  <w:tcBorders>
                    <w:tl2br w:val="nil"/>
                    <w:tr2bl w:val="nil"/>
                  </w:tcBorders>
                  <w:vAlign w:val="center"/>
                </w:tcPr>
                <w:p w14:paraId="2F4AAE10">
                  <w:pPr>
                    <w:adjustRightInd w:val="0"/>
                    <w:snapToGrid w:val="0"/>
                    <w:jc w:val="center"/>
                    <w:rPr>
                      <w:szCs w:val="21"/>
                    </w:rPr>
                  </w:pPr>
                  <w:r>
                    <w:rPr>
                      <w:rFonts w:hint="eastAsia"/>
                      <w:szCs w:val="21"/>
                    </w:rPr>
                    <w:t>325</w:t>
                  </w:r>
                  <w:r>
                    <w:rPr>
                      <w:szCs w:val="21"/>
                    </w:rPr>
                    <w:t>m</w:t>
                  </w:r>
                </w:p>
              </w:tc>
              <w:tc>
                <w:tcPr>
                  <w:tcW w:w="2766" w:type="dxa"/>
                  <w:vMerge w:val="continue"/>
                  <w:tcBorders>
                    <w:tl2br w:val="nil"/>
                    <w:tr2bl w:val="nil"/>
                  </w:tcBorders>
                  <w:vAlign w:val="center"/>
                </w:tcPr>
                <w:p w14:paraId="31F8718F">
                  <w:pPr>
                    <w:widowControl/>
                    <w:adjustRightInd w:val="0"/>
                    <w:snapToGrid w:val="0"/>
                    <w:jc w:val="center"/>
                    <w:rPr>
                      <w:szCs w:val="21"/>
                    </w:rPr>
                  </w:pPr>
                </w:p>
              </w:tc>
            </w:tr>
            <w:tr w14:paraId="5037BFA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1532" w:type="dxa"/>
                  <w:tcBorders>
                    <w:tl2br w:val="nil"/>
                    <w:tr2bl w:val="nil"/>
                  </w:tcBorders>
                  <w:vAlign w:val="center"/>
                </w:tcPr>
                <w:p w14:paraId="4EEA567D">
                  <w:pPr>
                    <w:widowControl/>
                    <w:adjustRightInd w:val="0"/>
                    <w:snapToGrid w:val="0"/>
                    <w:jc w:val="center"/>
                    <w:rPr>
                      <w:szCs w:val="21"/>
                    </w:rPr>
                  </w:pPr>
                  <w:r>
                    <w:rPr>
                      <w:szCs w:val="21"/>
                    </w:rPr>
                    <w:t>地表水</w:t>
                  </w:r>
                </w:p>
              </w:tc>
              <w:tc>
                <w:tcPr>
                  <w:tcW w:w="1717" w:type="dxa"/>
                  <w:tcBorders>
                    <w:tl2br w:val="nil"/>
                    <w:tr2bl w:val="nil"/>
                  </w:tcBorders>
                  <w:vAlign w:val="center"/>
                </w:tcPr>
                <w:p w14:paraId="38E13D5D">
                  <w:pPr>
                    <w:widowControl/>
                    <w:adjustRightInd w:val="0"/>
                    <w:snapToGrid w:val="0"/>
                    <w:jc w:val="center"/>
                    <w:rPr>
                      <w:szCs w:val="21"/>
                    </w:rPr>
                  </w:pPr>
                  <w:r>
                    <w:rPr>
                      <w:rFonts w:hint="eastAsia"/>
                      <w:szCs w:val="21"/>
                    </w:rPr>
                    <w:t>五渚河</w:t>
                  </w:r>
                </w:p>
              </w:tc>
              <w:tc>
                <w:tcPr>
                  <w:tcW w:w="1080" w:type="dxa"/>
                  <w:tcBorders>
                    <w:tl2br w:val="nil"/>
                    <w:tr2bl w:val="nil"/>
                  </w:tcBorders>
                  <w:vAlign w:val="center"/>
                </w:tcPr>
                <w:p w14:paraId="5DA39EFB">
                  <w:pPr>
                    <w:widowControl/>
                    <w:adjustRightInd w:val="0"/>
                    <w:snapToGrid w:val="0"/>
                    <w:jc w:val="center"/>
                    <w:rPr>
                      <w:szCs w:val="21"/>
                    </w:rPr>
                  </w:pPr>
                  <w:r>
                    <w:rPr>
                      <w:rFonts w:hint="eastAsia"/>
                      <w:szCs w:val="21"/>
                    </w:rPr>
                    <w:t>东</w:t>
                  </w:r>
                </w:p>
              </w:tc>
              <w:tc>
                <w:tcPr>
                  <w:tcW w:w="1908" w:type="dxa"/>
                  <w:tcBorders>
                    <w:tl2br w:val="nil"/>
                    <w:tr2bl w:val="nil"/>
                  </w:tcBorders>
                  <w:vAlign w:val="center"/>
                </w:tcPr>
                <w:p w14:paraId="52C7FF63">
                  <w:pPr>
                    <w:widowControl/>
                    <w:adjustRightInd w:val="0"/>
                    <w:snapToGrid w:val="0"/>
                    <w:jc w:val="center"/>
                    <w:rPr>
                      <w:szCs w:val="21"/>
                    </w:rPr>
                  </w:pPr>
                  <w:r>
                    <w:rPr>
                      <w:rFonts w:hint="eastAsia"/>
                      <w:szCs w:val="21"/>
                    </w:rPr>
                    <w:t>401</w:t>
                  </w:r>
                  <w:r>
                    <w:rPr>
                      <w:szCs w:val="21"/>
                    </w:rPr>
                    <w:t>m</w:t>
                  </w:r>
                </w:p>
              </w:tc>
              <w:tc>
                <w:tcPr>
                  <w:tcW w:w="2766" w:type="dxa"/>
                  <w:tcBorders>
                    <w:tl2br w:val="nil"/>
                    <w:tr2bl w:val="nil"/>
                  </w:tcBorders>
                  <w:vAlign w:val="center"/>
                </w:tcPr>
                <w:p w14:paraId="450A7543">
                  <w:pPr>
                    <w:jc w:val="center"/>
                    <w:rPr>
                      <w:kern w:val="0"/>
                      <w:szCs w:val="21"/>
                    </w:rPr>
                  </w:pPr>
                  <w:r>
                    <w:rPr>
                      <w:szCs w:val="21"/>
                    </w:rPr>
                    <w:t>《地表水环境质量标准》（GB3838-2002）</w:t>
                  </w:r>
                  <w:r>
                    <w:rPr>
                      <w:rFonts w:hint="eastAsia"/>
                      <w:szCs w:val="21"/>
                    </w:rPr>
                    <w:t>Ⅲ</w:t>
                  </w:r>
                  <w:r>
                    <w:rPr>
                      <w:szCs w:val="21"/>
                    </w:rPr>
                    <w:t>类</w:t>
                  </w:r>
                </w:p>
              </w:tc>
            </w:tr>
            <w:tr w14:paraId="4562374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532" w:type="dxa"/>
                  <w:tcBorders>
                    <w:tl2br w:val="nil"/>
                    <w:tr2bl w:val="nil"/>
                  </w:tcBorders>
                  <w:vAlign w:val="center"/>
                </w:tcPr>
                <w:p w14:paraId="772201BF">
                  <w:pPr>
                    <w:widowControl/>
                    <w:adjustRightInd w:val="0"/>
                    <w:snapToGrid w:val="0"/>
                    <w:jc w:val="center"/>
                    <w:rPr>
                      <w:szCs w:val="21"/>
                    </w:rPr>
                  </w:pPr>
                  <w:r>
                    <w:rPr>
                      <w:szCs w:val="21"/>
                    </w:rPr>
                    <w:t>地下水</w:t>
                  </w:r>
                </w:p>
              </w:tc>
              <w:tc>
                <w:tcPr>
                  <w:tcW w:w="1717" w:type="dxa"/>
                  <w:tcBorders>
                    <w:tl2br w:val="nil"/>
                    <w:tr2bl w:val="nil"/>
                  </w:tcBorders>
                  <w:vAlign w:val="center"/>
                </w:tcPr>
                <w:p w14:paraId="6EAF21CF">
                  <w:pPr>
                    <w:widowControl/>
                    <w:adjustRightInd w:val="0"/>
                    <w:snapToGrid w:val="0"/>
                    <w:jc w:val="center"/>
                    <w:rPr>
                      <w:szCs w:val="21"/>
                    </w:rPr>
                  </w:pPr>
                  <w:r>
                    <w:rPr>
                      <w:szCs w:val="21"/>
                    </w:rPr>
                    <w:t>项目周围地下水</w:t>
                  </w:r>
                </w:p>
              </w:tc>
              <w:tc>
                <w:tcPr>
                  <w:tcW w:w="1080" w:type="dxa"/>
                  <w:tcBorders>
                    <w:tl2br w:val="nil"/>
                    <w:tr2bl w:val="nil"/>
                  </w:tcBorders>
                  <w:vAlign w:val="center"/>
                </w:tcPr>
                <w:p w14:paraId="3DF201B5">
                  <w:pPr>
                    <w:widowControl/>
                    <w:adjustRightInd w:val="0"/>
                    <w:snapToGrid w:val="0"/>
                    <w:jc w:val="center"/>
                    <w:rPr>
                      <w:szCs w:val="21"/>
                    </w:rPr>
                  </w:pPr>
                  <w:r>
                    <w:rPr>
                      <w:szCs w:val="21"/>
                    </w:rPr>
                    <w:t>/</w:t>
                  </w:r>
                </w:p>
              </w:tc>
              <w:tc>
                <w:tcPr>
                  <w:tcW w:w="1908" w:type="dxa"/>
                  <w:tcBorders>
                    <w:tl2br w:val="nil"/>
                    <w:tr2bl w:val="nil"/>
                  </w:tcBorders>
                  <w:vAlign w:val="center"/>
                </w:tcPr>
                <w:p w14:paraId="12396AE6">
                  <w:pPr>
                    <w:widowControl/>
                    <w:adjustRightInd w:val="0"/>
                    <w:snapToGrid w:val="0"/>
                    <w:jc w:val="center"/>
                    <w:rPr>
                      <w:szCs w:val="21"/>
                    </w:rPr>
                  </w:pPr>
                  <w:r>
                    <w:rPr>
                      <w:szCs w:val="21"/>
                    </w:rPr>
                    <w:t>/</w:t>
                  </w:r>
                </w:p>
              </w:tc>
              <w:tc>
                <w:tcPr>
                  <w:tcW w:w="2766" w:type="dxa"/>
                  <w:tcBorders>
                    <w:tl2br w:val="nil"/>
                    <w:tr2bl w:val="nil"/>
                  </w:tcBorders>
                  <w:vAlign w:val="center"/>
                </w:tcPr>
                <w:p w14:paraId="3FF4AA0B">
                  <w:pPr>
                    <w:jc w:val="center"/>
                    <w:rPr>
                      <w:szCs w:val="21"/>
                    </w:rPr>
                  </w:pPr>
                  <w:r>
                    <w:rPr>
                      <w:kern w:val="0"/>
                      <w:szCs w:val="21"/>
                    </w:rPr>
                    <w:t>《地下水质量标准》（GB/T14848-2017）Ⅲ类</w:t>
                  </w:r>
                </w:p>
              </w:tc>
            </w:tr>
            <w:tr w14:paraId="50B90B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1" w:hRule="atLeast"/>
                <w:jc w:val="center"/>
              </w:trPr>
              <w:tc>
                <w:tcPr>
                  <w:tcW w:w="1532" w:type="dxa"/>
                  <w:tcBorders>
                    <w:tl2br w:val="nil"/>
                    <w:tr2bl w:val="nil"/>
                  </w:tcBorders>
                  <w:vAlign w:val="center"/>
                </w:tcPr>
                <w:p w14:paraId="49455372">
                  <w:pPr>
                    <w:widowControl/>
                    <w:adjustRightInd w:val="0"/>
                    <w:snapToGrid w:val="0"/>
                    <w:jc w:val="center"/>
                    <w:rPr>
                      <w:szCs w:val="21"/>
                    </w:rPr>
                  </w:pPr>
                  <w:r>
                    <w:rPr>
                      <w:szCs w:val="21"/>
                    </w:rPr>
                    <w:t>声环境</w:t>
                  </w:r>
                </w:p>
              </w:tc>
              <w:tc>
                <w:tcPr>
                  <w:tcW w:w="1717" w:type="dxa"/>
                  <w:tcBorders>
                    <w:tl2br w:val="nil"/>
                    <w:tr2bl w:val="nil"/>
                  </w:tcBorders>
                  <w:vAlign w:val="center"/>
                </w:tcPr>
                <w:p w14:paraId="1691E7BD">
                  <w:pPr>
                    <w:widowControl/>
                    <w:adjustRightInd w:val="0"/>
                    <w:snapToGrid w:val="0"/>
                    <w:jc w:val="center"/>
                    <w:rPr>
                      <w:szCs w:val="21"/>
                    </w:rPr>
                  </w:pPr>
                  <w:r>
                    <w:rPr>
                      <w:szCs w:val="21"/>
                    </w:rPr>
                    <w:t>厂区边界</w:t>
                  </w:r>
                </w:p>
              </w:tc>
              <w:tc>
                <w:tcPr>
                  <w:tcW w:w="1080" w:type="dxa"/>
                  <w:tcBorders>
                    <w:tl2br w:val="nil"/>
                    <w:tr2bl w:val="nil"/>
                  </w:tcBorders>
                  <w:vAlign w:val="center"/>
                </w:tcPr>
                <w:p w14:paraId="3CDD2A8C">
                  <w:pPr>
                    <w:adjustRightInd w:val="0"/>
                    <w:snapToGrid w:val="0"/>
                    <w:jc w:val="center"/>
                    <w:rPr>
                      <w:szCs w:val="21"/>
                    </w:rPr>
                  </w:pPr>
                  <w:r>
                    <w:rPr>
                      <w:szCs w:val="21"/>
                    </w:rPr>
                    <w:t>/</w:t>
                  </w:r>
                </w:p>
              </w:tc>
              <w:tc>
                <w:tcPr>
                  <w:tcW w:w="1908" w:type="dxa"/>
                  <w:tcBorders>
                    <w:tl2br w:val="nil"/>
                    <w:tr2bl w:val="nil"/>
                  </w:tcBorders>
                  <w:vAlign w:val="center"/>
                </w:tcPr>
                <w:p w14:paraId="07AFF3A2">
                  <w:pPr>
                    <w:adjustRightInd w:val="0"/>
                    <w:snapToGrid w:val="0"/>
                    <w:jc w:val="center"/>
                    <w:rPr>
                      <w:szCs w:val="21"/>
                      <w:highlight w:val="green"/>
                    </w:rPr>
                  </w:pPr>
                  <w:r>
                    <w:rPr>
                      <w:szCs w:val="21"/>
                    </w:rPr>
                    <w:t>厂区边界1m范围及其周围200m内的敏感目标</w:t>
                  </w:r>
                </w:p>
              </w:tc>
              <w:tc>
                <w:tcPr>
                  <w:tcW w:w="2766" w:type="dxa"/>
                  <w:tcBorders>
                    <w:tl2br w:val="nil"/>
                    <w:tr2bl w:val="nil"/>
                  </w:tcBorders>
                  <w:vAlign w:val="center"/>
                </w:tcPr>
                <w:p w14:paraId="2324D635">
                  <w:pPr>
                    <w:widowControl/>
                    <w:adjustRightInd w:val="0"/>
                    <w:snapToGrid w:val="0"/>
                    <w:jc w:val="center"/>
                    <w:rPr>
                      <w:szCs w:val="21"/>
                    </w:rPr>
                  </w:pPr>
                  <w:r>
                    <w:rPr>
                      <w:kern w:val="0"/>
                      <w:szCs w:val="21"/>
                    </w:rPr>
                    <w:t>《声环境质量标准》（GB 3096-2008）</w:t>
                  </w:r>
                  <w:r>
                    <w:rPr>
                      <w:rFonts w:hint="eastAsia"/>
                      <w:kern w:val="0"/>
                      <w:szCs w:val="21"/>
                    </w:rPr>
                    <w:t>2</w:t>
                  </w:r>
                  <w:r>
                    <w:rPr>
                      <w:kern w:val="0"/>
                      <w:szCs w:val="21"/>
                    </w:rPr>
                    <w:t>类</w:t>
                  </w:r>
                </w:p>
              </w:tc>
            </w:tr>
          </w:tbl>
          <w:p w14:paraId="0F6789F6">
            <w:pPr>
              <w:pStyle w:val="36"/>
              <w:ind w:firstLine="0" w:firstLineChars="0"/>
              <w:rPr>
                <w:b/>
                <w:bCs/>
                <w:szCs w:val="24"/>
              </w:rPr>
            </w:pPr>
          </w:p>
          <w:p w14:paraId="20B14DAE">
            <w:pPr>
              <w:pStyle w:val="36"/>
              <w:ind w:firstLine="482"/>
              <w:rPr>
                <w:b/>
                <w:bCs/>
                <w:szCs w:val="24"/>
              </w:rPr>
            </w:pPr>
          </w:p>
          <w:p w14:paraId="1F129B39">
            <w:pPr>
              <w:pStyle w:val="41"/>
              <w:rPr>
                <w:rFonts w:ascii="Times New Roman" w:cs="Times New Roman"/>
                <w:color w:val="auto"/>
              </w:rPr>
            </w:pPr>
          </w:p>
          <w:p w14:paraId="74073E82">
            <w:pPr>
              <w:pStyle w:val="41"/>
              <w:rPr>
                <w:rFonts w:ascii="Times New Roman" w:cs="Times New Roman"/>
                <w:color w:val="auto"/>
              </w:rPr>
            </w:pPr>
          </w:p>
        </w:tc>
      </w:tr>
    </w:tbl>
    <w:p w14:paraId="69AD6B84">
      <w:pPr>
        <w:pStyle w:val="41"/>
        <w:rPr>
          <w:rFonts w:eastAsia="黑体"/>
          <w:sz w:val="30"/>
          <w:szCs w:val="30"/>
        </w:rPr>
        <w:sectPr>
          <w:footerReference r:id="rId6" w:type="default"/>
          <w:pgSz w:w="11907" w:h="16840"/>
          <w:pgMar w:top="1402" w:right="1797" w:bottom="1558" w:left="1797" w:header="851" w:footer="992" w:gutter="0"/>
          <w:pgNumType w:fmt="decimal"/>
          <w:cols w:space="720" w:num="1"/>
          <w:docGrid w:type="lines" w:linePitch="312" w:charSpace="0"/>
        </w:sectPr>
      </w:pPr>
    </w:p>
    <w:p w14:paraId="29764062">
      <w:pPr>
        <w:rPr>
          <w:rFonts w:ascii="黑体" w:hAnsi="黑体" w:eastAsia="黑体" w:cs="黑体"/>
          <w:sz w:val="30"/>
          <w:szCs w:val="30"/>
        </w:rPr>
      </w:pPr>
      <w:r>
        <w:rPr>
          <w:rFonts w:hint="eastAsia" w:ascii="黑体" w:hAnsi="黑体" w:eastAsia="黑体" w:cs="黑体"/>
          <w:sz w:val="30"/>
          <w:szCs w:val="30"/>
        </w:rPr>
        <w:t>四、评价适用标准</w:t>
      </w:r>
    </w:p>
    <w:tbl>
      <w:tblPr>
        <w:tblStyle w:val="27"/>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22"/>
        <w:gridCol w:w="8834"/>
      </w:tblGrid>
      <w:tr w14:paraId="388A911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53" w:hRule="atLeast"/>
          <w:jc w:val="center"/>
        </w:trPr>
        <w:tc>
          <w:tcPr>
            <w:tcW w:w="522" w:type="dxa"/>
            <w:vAlign w:val="center"/>
          </w:tcPr>
          <w:p w14:paraId="559C589F">
            <w:pPr>
              <w:jc w:val="center"/>
              <w:rPr>
                <w:sz w:val="24"/>
                <w:szCs w:val="24"/>
              </w:rPr>
            </w:pPr>
            <w:r>
              <w:rPr>
                <w:sz w:val="24"/>
                <w:szCs w:val="24"/>
              </w:rPr>
              <w:t>环</w:t>
            </w:r>
          </w:p>
          <w:p w14:paraId="1F864B41">
            <w:pPr>
              <w:jc w:val="center"/>
              <w:rPr>
                <w:sz w:val="24"/>
                <w:szCs w:val="24"/>
              </w:rPr>
            </w:pPr>
            <w:r>
              <w:rPr>
                <w:sz w:val="24"/>
                <w:szCs w:val="24"/>
              </w:rPr>
              <w:t>境</w:t>
            </w:r>
          </w:p>
          <w:p w14:paraId="537FBF1D">
            <w:pPr>
              <w:jc w:val="center"/>
              <w:rPr>
                <w:sz w:val="24"/>
                <w:szCs w:val="24"/>
              </w:rPr>
            </w:pPr>
            <w:r>
              <w:rPr>
                <w:sz w:val="24"/>
                <w:szCs w:val="24"/>
              </w:rPr>
              <w:t>质</w:t>
            </w:r>
          </w:p>
          <w:p w14:paraId="6C75F39D">
            <w:pPr>
              <w:jc w:val="center"/>
              <w:rPr>
                <w:sz w:val="24"/>
                <w:szCs w:val="24"/>
              </w:rPr>
            </w:pPr>
            <w:r>
              <w:rPr>
                <w:sz w:val="24"/>
                <w:szCs w:val="24"/>
              </w:rPr>
              <w:t>量</w:t>
            </w:r>
          </w:p>
          <w:p w14:paraId="1DE79639">
            <w:pPr>
              <w:jc w:val="center"/>
              <w:rPr>
                <w:sz w:val="24"/>
                <w:szCs w:val="24"/>
              </w:rPr>
            </w:pPr>
            <w:r>
              <w:rPr>
                <w:sz w:val="24"/>
                <w:szCs w:val="24"/>
              </w:rPr>
              <w:t>标</w:t>
            </w:r>
          </w:p>
          <w:p w14:paraId="7400A464">
            <w:pPr>
              <w:jc w:val="center"/>
              <w:rPr>
                <w:sz w:val="28"/>
                <w:szCs w:val="28"/>
              </w:rPr>
            </w:pPr>
            <w:r>
              <w:rPr>
                <w:sz w:val="24"/>
                <w:szCs w:val="24"/>
              </w:rPr>
              <w:t>准</w:t>
            </w:r>
          </w:p>
        </w:tc>
        <w:tc>
          <w:tcPr>
            <w:tcW w:w="8834" w:type="dxa"/>
            <w:vAlign w:val="center"/>
          </w:tcPr>
          <w:p w14:paraId="66A66A02">
            <w:pPr>
              <w:spacing w:line="360" w:lineRule="auto"/>
              <w:ind w:firstLine="240" w:firstLineChars="100"/>
              <w:rPr>
                <w:sz w:val="24"/>
                <w:szCs w:val="24"/>
              </w:rPr>
            </w:pPr>
            <w:r>
              <w:rPr>
                <w:sz w:val="24"/>
                <w:szCs w:val="24"/>
              </w:rPr>
              <w:t>1、环境空气执行《环境空气质量标准》(GB3095-2012)二级</w:t>
            </w:r>
            <w:r>
              <w:rPr>
                <w:rFonts w:hint="eastAsia"/>
                <w:sz w:val="24"/>
                <w:szCs w:val="24"/>
              </w:rPr>
              <w:t>及修改单</w:t>
            </w:r>
            <w:r>
              <w:rPr>
                <w:sz w:val="24"/>
                <w:szCs w:val="24"/>
              </w:rPr>
              <w:t>标准；</w:t>
            </w:r>
          </w:p>
          <w:p w14:paraId="46928658">
            <w:pPr>
              <w:spacing w:line="360" w:lineRule="auto"/>
              <w:ind w:firstLine="240" w:firstLineChars="100"/>
              <w:rPr>
                <w:sz w:val="24"/>
                <w:szCs w:val="24"/>
              </w:rPr>
            </w:pPr>
            <w:r>
              <w:rPr>
                <w:sz w:val="24"/>
                <w:szCs w:val="24"/>
              </w:rPr>
              <w:t>2、地下水执行《地下水质量标准》（GB/T14848-</w:t>
            </w:r>
            <w:r>
              <w:rPr>
                <w:rFonts w:hint="eastAsia"/>
                <w:sz w:val="24"/>
                <w:szCs w:val="24"/>
              </w:rPr>
              <w:t>2017</w:t>
            </w:r>
            <w:r>
              <w:rPr>
                <w:sz w:val="24"/>
                <w:szCs w:val="24"/>
              </w:rPr>
              <w:t>）Ⅲ类标准；</w:t>
            </w:r>
          </w:p>
          <w:p w14:paraId="0BF9C22E">
            <w:pPr>
              <w:spacing w:line="360" w:lineRule="auto"/>
              <w:ind w:firstLine="240" w:firstLineChars="100"/>
              <w:rPr>
                <w:sz w:val="24"/>
                <w:szCs w:val="24"/>
              </w:rPr>
            </w:pPr>
            <w:r>
              <w:rPr>
                <w:sz w:val="24"/>
                <w:szCs w:val="24"/>
              </w:rPr>
              <w:t>3、地表水执行《地表水环境质量标准》（GB3838-2002）中的</w:t>
            </w:r>
            <w:r>
              <w:rPr>
                <w:rFonts w:hint="eastAsia" w:ascii="宋体" w:hAnsi="宋体" w:cs="宋体"/>
                <w:sz w:val="24"/>
                <w:szCs w:val="24"/>
              </w:rPr>
              <w:t>Ⅳ</w:t>
            </w:r>
            <w:r>
              <w:rPr>
                <w:sz w:val="24"/>
                <w:szCs w:val="24"/>
              </w:rPr>
              <w:t>类标准；</w:t>
            </w:r>
          </w:p>
          <w:p w14:paraId="2BD1D577">
            <w:pPr>
              <w:spacing w:line="360" w:lineRule="auto"/>
              <w:ind w:firstLine="240" w:firstLineChars="100"/>
            </w:pPr>
            <w:r>
              <w:rPr>
                <w:sz w:val="24"/>
                <w:szCs w:val="24"/>
              </w:rPr>
              <w:t>4、声环境执行《声环境质量标准》（GB3096-2008）</w:t>
            </w:r>
            <w:r>
              <w:rPr>
                <w:rFonts w:hint="eastAsia"/>
                <w:sz w:val="24"/>
                <w:szCs w:val="24"/>
              </w:rPr>
              <w:t>2</w:t>
            </w:r>
            <w:r>
              <w:rPr>
                <w:sz w:val="24"/>
                <w:szCs w:val="24"/>
              </w:rPr>
              <w:t>类标准</w:t>
            </w:r>
            <w:r>
              <w:rPr>
                <w:rFonts w:hint="eastAsia"/>
                <w:sz w:val="24"/>
                <w:szCs w:val="24"/>
              </w:rPr>
              <w:t>。</w:t>
            </w:r>
          </w:p>
        </w:tc>
      </w:tr>
      <w:tr w14:paraId="7EC8D1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77" w:hRule="atLeast"/>
          <w:jc w:val="center"/>
        </w:trPr>
        <w:tc>
          <w:tcPr>
            <w:tcW w:w="522" w:type="dxa"/>
            <w:vAlign w:val="center"/>
          </w:tcPr>
          <w:p w14:paraId="6D05A2D4">
            <w:pPr>
              <w:spacing w:line="360" w:lineRule="auto"/>
              <w:jc w:val="center"/>
              <w:rPr>
                <w:sz w:val="24"/>
                <w:szCs w:val="24"/>
              </w:rPr>
            </w:pPr>
            <w:r>
              <w:rPr>
                <w:sz w:val="24"/>
                <w:szCs w:val="24"/>
              </w:rPr>
              <w:t>污</w:t>
            </w:r>
          </w:p>
          <w:p w14:paraId="27FA215A">
            <w:pPr>
              <w:spacing w:line="360" w:lineRule="auto"/>
              <w:jc w:val="center"/>
              <w:rPr>
                <w:sz w:val="24"/>
                <w:szCs w:val="24"/>
              </w:rPr>
            </w:pPr>
            <w:r>
              <w:rPr>
                <w:sz w:val="24"/>
                <w:szCs w:val="24"/>
              </w:rPr>
              <w:t>染</w:t>
            </w:r>
          </w:p>
          <w:p w14:paraId="41E2B89F">
            <w:pPr>
              <w:spacing w:line="360" w:lineRule="auto"/>
              <w:jc w:val="center"/>
              <w:rPr>
                <w:sz w:val="24"/>
                <w:szCs w:val="24"/>
              </w:rPr>
            </w:pPr>
            <w:r>
              <w:rPr>
                <w:sz w:val="24"/>
                <w:szCs w:val="24"/>
              </w:rPr>
              <w:t>物</w:t>
            </w:r>
          </w:p>
          <w:p w14:paraId="6E8D02FC">
            <w:pPr>
              <w:spacing w:line="360" w:lineRule="auto"/>
              <w:jc w:val="center"/>
              <w:rPr>
                <w:sz w:val="24"/>
                <w:szCs w:val="24"/>
              </w:rPr>
            </w:pPr>
            <w:r>
              <w:rPr>
                <w:sz w:val="24"/>
                <w:szCs w:val="24"/>
              </w:rPr>
              <w:t>排</w:t>
            </w:r>
          </w:p>
          <w:p w14:paraId="480CEFF3">
            <w:pPr>
              <w:spacing w:line="360" w:lineRule="auto"/>
              <w:jc w:val="center"/>
              <w:rPr>
                <w:sz w:val="24"/>
                <w:szCs w:val="24"/>
              </w:rPr>
            </w:pPr>
            <w:r>
              <w:rPr>
                <w:sz w:val="24"/>
                <w:szCs w:val="24"/>
              </w:rPr>
              <w:t>放</w:t>
            </w:r>
          </w:p>
          <w:p w14:paraId="7CBAD21A">
            <w:pPr>
              <w:spacing w:line="360" w:lineRule="auto"/>
              <w:jc w:val="center"/>
              <w:rPr>
                <w:sz w:val="24"/>
                <w:szCs w:val="24"/>
              </w:rPr>
            </w:pPr>
            <w:r>
              <w:rPr>
                <w:sz w:val="24"/>
                <w:szCs w:val="24"/>
              </w:rPr>
              <w:t>标</w:t>
            </w:r>
          </w:p>
          <w:p w14:paraId="120A2711">
            <w:pPr>
              <w:spacing w:line="360" w:lineRule="auto"/>
              <w:jc w:val="center"/>
              <w:rPr>
                <w:sz w:val="28"/>
                <w:szCs w:val="28"/>
              </w:rPr>
            </w:pPr>
            <w:r>
              <w:rPr>
                <w:sz w:val="24"/>
                <w:szCs w:val="24"/>
              </w:rPr>
              <w:t>准</w:t>
            </w:r>
          </w:p>
        </w:tc>
        <w:tc>
          <w:tcPr>
            <w:tcW w:w="8834" w:type="dxa"/>
          </w:tcPr>
          <w:p w14:paraId="09870D1E">
            <w:pPr>
              <w:spacing w:line="360" w:lineRule="auto"/>
              <w:ind w:firstLine="210" w:firstLineChars="100"/>
            </w:pPr>
          </w:p>
          <w:p w14:paraId="6A569528">
            <w:pPr>
              <w:numPr>
                <w:ilvl w:val="0"/>
                <w:numId w:val="7"/>
              </w:numPr>
              <w:spacing w:line="360" w:lineRule="auto"/>
              <w:ind w:firstLine="240" w:firstLineChars="100"/>
              <w:rPr>
                <w:sz w:val="24"/>
                <w:szCs w:val="24"/>
              </w:rPr>
            </w:pPr>
            <w:r>
              <w:rPr>
                <w:sz w:val="24"/>
                <w:szCs w:val="24"/>
              </w:rPr>
              <w:t>有机废气执行《挥发性有机物排放标准第5部分：表面涂装行业》（DB37/2801.5-2018）表2标准（二甲苯浓度限值15mg/</w:t>
            </w:r>
            <w:r>
              <w:rPr>
                <w:rFonts w:hint="eastAsia"/>
                <w:sz w:val="24"/>
                <w:szCs w:val="24"/>
                <w:lang w:val="en-US" w:eastAsia="zh-CN"/>
              </w:rPr>
              <w:t>m</w:t>
            </w:r>
            <w:r>
              <w:rPr>
                <w:rFonts w:hint="eastAsia"/>
                <w:sz w:val="24"/>
                <w:szCs w:val="24"/>
                <w:vertAlign w:val="superscript"/>
                <w:lang w:val="en-US" w:eastAsia="zh-CN"/>
              </w:rPr>
              <w:t>3</w:t>
            </w:r>
            <w:r>
              <w:rPr>
                <w:sz w:val="24"/>
                <w:szCs w:val="24"/>
              </w:rPr>
              <w:t>、速率限值0.8kg/h；VOCs浓度限值70mg/</w:t>
            </w:r>
            <w:r>
              <w:rPr>
                <w:rFonts w:hint="eastAsia"/>
                <w:sz w:val="24"/>
                <w:szCs w:val="24"/>
                <w:lang w:val="en-US" w:eastAsia="zh-CN"/>
              </w:rPr>
              <w:t>m</w:t>
            </w:r>
            <w:r>
              <w:rPr>
                <w:rFonts w:hint="eastAsia"/>
                <w:sz w:val="24"/>
                <w:szCs w:val="24"/>
                <w:vertAlign w:val="superscript"/>
                <w:lang w:val="en-US" w:eastAsia="zh-CN"/>
              </w:rPr>
              <w:t>3</w:t>
            </w:r>
            <w:r>
              <w:rPr>
                <w:sz w:val="24"/>
                <w:szCs w:val="24"/>
              </w:rPr>
              <w:t>、速率限值2.4kg/h）、表3厂界监控点浓度限值（二甲苯0.2mg/</w:t>
            </w:r>
            <w:r>
              <w:rPr>
                <w:rFonts w:hint="eastAsia"/>
                <w:sz w:val="24"/>
                <w:szCs w:val="24"/>
                <w:lang w:val="en-US" w:eastAsia="zh-CN"/>
              </w:rPr>
              <w:t>m</w:t>
            </w:r>
            <w:r>
              <w:rPr>
                <w:rFonts w:hint="eastAsia"/>
                <w:sz w:val="24"/>
                <w:szCs w:val="24"/>
                <w:vertAlign w:val="superscript"/>
                <w:lang w:val="en-US" w:eastAsia="zh-CN"/>
              </w:rPr>
              <w:t>3</w:t>
            </w:r>
            <w:r>
              <w:rPr>
                <w:sz w:val="24"/>
                <w:szCs w:val="24"/>
              </w:rPr>
              <w:t>；VOCs2.0mg/</w:t>
            </w:r>
            <w:r>
              <w:rPr>
                <w:rFonts w:hint="eastAsia"/>
                <w:sz w:val="24"/>
                <w:szCs w:val="24"/>
                <w:lang w:val="en-US" w:eastAsia="zh-CN"/>
              </w:rPr>
              <w:t>m</w:t>
            </w:r>
            <w:r>
              <w:rPr>
                <w:rFonts w:hint="eastAsia"/>
                <w:sz w:val="24"/>
                <w:szCs w:val="24"/>
                <w:vertAlign w:val="superscript"/>
                <w:lang w:val="en-US" w:eastAsia="zh-CN"/>
              </w:rPr>
              <w:t>3</w:t>
            </w:r>
            <w:r>
              <w:rPr>
                <w:sz w:val="24"/>
                <w:szCs w:val="24"/>
              </w:rPr>
              <w:t>）、《挥发性有机物无组织排放控制标准》（GB37822-2019）及附录A厂区内VOCs无组织排放监控要求</w:t>
            </w:r>
            <w:r>
              <w:rPr>
                <w:rFonts w:hint="eastAsia"/>
                <w:sz w:val="24"/>
                <w:szCs w:val="24"/>
              </w:rPr>
              <w:t>；</w:t>
            </w:r>
          </w:p>
          <w:p w14:paraId="5FCB2731">
            <w:pPr>
              <w:spacing w:line="360" w:lineRule="auto"/>
              <w:ind w:firstLine="240" w:firstLineChars="100"/>
              <w:jc w:val="left"/>
              <w:rPr>
                <w:sz w:val="24"/>
                <w:szCs w:val="24"/>
              </w:rPr>
            </w:pPr>
            <w:r>
              <w:rPr>
                <w:rFonts w:hint="eastAsia"/>
                <w:sz w:val="24"/>
                <w:szCs w:val="24"/>
              </w:rPr>
              <w:t>2、颗粒物</w:t>
            </w:r>
            <w:r>
              <w:rPr>
                <w:sz w:val="24"/>
                <w:szCs w:val="24"/>
              </w:rPr>
              <w:t>执行《山东省区域性大气污染物综合排放标准》（DB37/2376-2019）表1一般控制区浓度限值（颗粒物≦20mg/m</w:t>
            </w:r>
            <w:r>
              <w:rPr>
                <w:sz w:val="24"/>
                <w:szCs w:val="24"/>
                <w:vertAlign w:val="superscript"/>
              </w:rPr>
              <w:t>3</w:t>
            </w:r>
            <w:r>
              <w:rPr>
                <w:sz w:val="24"/>
                <w:szCs w:val="24"/>
              </w:rPr>
              <w:t>）及《大气污染物综合排放标准》（GB16297-1996）表2</w:t>
            </w:r>
            <w:r>
              <w:rPr>
                <w:rFonts w:hint="eastAsia"/>
                <w:sz w:val="24"/>
                <w:szCs w:val="24"/>
              </w:rPr>
              <w:t>二级标准（</w:t>
            </w:r>
            <w:r>
              <w:rPr>
                <w:sz w:val="24"/>
                <w:szCs w:val="24"/>
              </w:rPr>
              <w:t>颗粒物最高允许排放速率≦3.5kg/h）及无组织排放监控浓度限值（颗粒物≦1.0mg/m</w:t>
            </w:r>
            <w:r>
              <w:rPr>
                <w:sz w:val="24"/>
                <w:szCs w:val="24"/>
                <w:vertAlign w:val="superscript"/>
              </w:rPr>
              <w:t>3</w:t>
            </w:r>
            <w:r>
              <w:rPr>
                <w:sz w:val="24"/>
                <w:szCs w:val="24"/>
              </w:rPr>
              <w:t>）</w:t>
            </w:r>
            <w:r>
              <w:rPr>
                <w:rFonts w:hint="eastAsia"/>
                <w:sz w:val="24"/>
                <w:szCs w:val="24"/>
              </w:rPr>
              <w:t>；</w:t>
            </w:r>
          </w:p>
          <w:p w14:paraId="1B21C29B">
            <w:pPr>
              <w:spacing w:line="360" w:lineRule="auto"/>
              <w:ind w:firstLine="240" w:firstLineChars="100"/>
              <w:jc w:val="left"/>
              <w:rPr>
                <w:sz w:val="24"/>
                <w:szCs w:val="24"/>
              </w:rPr>
            </w:pPr>
            <w:r>
              <w:rPr>
                <w:rFonts w:hint="eastAsia"/>
                <w:sz w:val="24"/>
                <w:szCs w:val="24"/>
              </w:rPr>
              <w:t>3、</w:t>
            </w:r>
            <w:r>
              <w:rPr>
                <w:sz w:val="24"/>
                <w:szCs w:val="24"/>
              </w:rPr>
              <w:t>废水执行《污水排入城镇下水道水质标准》（GB/T31962-2015）表1中B等级</w:t>
            </w:r>
            <w:r>
              <w:rPr>
                <w:rFonts w:hint="eastAsia"/>
                <w:sz w:val="24"/>
                <w:szCs w:val="24"/>
              </w:rPr>
              <w:t>标准</w:t>
            </w:r>
            <w:r>
              <w:rPr>
                <w:sz w:val="24"/>
                <w:szCs w:val="24"/>
              </w:rPr>
              <w:t>（主要污染物CODcr≦500mg/L、氨氮≦45mg/L）</w:t>
            </w:r>
            <w:r>
              <w:rPr>
                <w:rFonts w:hint="eastAsia"/>
                <w:sz w:val="24"/>
                <w:szCs w:val="24"/>
              </w:rPr>
              <w:t>；</w:t>
            </w:r>
          </w:p>
          <w:p w14:paraId="266DD1E9">
            <w:pPr>
              <w:spacing w:line="360" w:lineRule="auto"/>
              <w:ind w:firstLine="240" w:firstLineChars="100"/>
              <w:jc w:val="left"/>
              <w:rPr>
                <w:sz w:val="24"/>
                <w:szCs w:val="24"/>
              </w:rPr>
            </w:pPr>
            <w:r>
              <w:rPr>
                <w:rFonts w:hint="eastAsia"/>
                <w:sz w:val="24"/>
                <w:szCs w:val="24"/>
              </w:rPr>
              <w:t>4、</w:t>
            </w:r>
            <w:r>
              <w:rPr>
                <w:sz w:val="24"/>
                <w:szCs w:val="24"/>
              </w:rPr>
              <w:t>厂界噪声执行《工业企业厂界环境噪声排放标准》（GB12348-2008）</w:t>
            </w:r>
            <w:r>
              <w:rPr>
                <w:rFonts w:hint="eastAsia"/>
                <w:sz w:val="24"/>
                <w:szCs w:val="24"/>
              </w:rPr>
              <w:t>2</w:t>
            </w:r>
            <w:r>
              <w:rPr>
                <w:sz w:val="24"/>
                <w:szCs w:val="24"/>
              </w:rPr>
              <w:t>类标准</w:t>
            </w:r>
            <w:r>
              <w:rPr>
                <w:rFonts w:hint="eastAsia"/>
                <w:sz w:val="24"/>
                <w:szCs w:val="24"/>
              </w:rPr>
              <w:t>（昼间60dB（A）、夜间50dB（A））；</w:t>
            </w:r>
          </w:p>
          <w:p w14:paraId="246DBAA4">
            <w:pPr>
              <w:spacing w:line="360" w:lineRule="auto"/>
              <w:ind w:firstLine="240" w:firstLineChars="100"/>
              <w:jc w:val="left"/>
              <w:rPr>
                <w:sz w:val="24"/>
                <w:szCs w:val="24"/>
              </w:rPr>
            </w:pPr>
            <w:r>
              <w:rPr>
                <w:rFonts w:hint="eastAsia"/>
                <w:sz w:val="24"/>
                <w:szCs w:val="24"/>
              </w:rPr>
              <w:t>5、</w:t>
            </w:r>
            <w:r>
              <w:rPr>
                <w:sz w:val="24"/>
                <w:szCs w:val="24"/>
              </w:rPr>
              <w:t>一般固体废物执行《一般工业固体废物贮存、处置场污染控制标准》（GB 18599-2001）及其修改单</w:t>
            </w:r>
            <w:r>
              <w:rPr>
                <w:rFonts w:hint="eastAsia"/>
                <w:sz w:val="24"/>
                <w:szCs w:val="24"/>
              </w:rPr>
              <w:t>；</w:t>
            </w:r>
          </w:p>
          <w:p w14:paraId="54035AEC">
            <w:pPr>
              <w:spacing w:line="360" w:lineRule="auto"/>
              <w:ind w:firstLine="240" w:firstLineChars="100"/>
              <w:rPr>
                <w:sz w:val="24"/>
                <w:szCs w:val="24"/>
              </w:rPr>
            </w:pPr>
            <w:r>
              <w:rPr>
                <w:rFonts w:hint="eastAsia"/>
                <w:sz w:val="24"/>
                <w:szCs w:val="24"/>
              </w:rPr>
              <w:t>6、危险废物执行</w:t>
            </w:r>
            <w:r>
              <w:rPr>
                <w:sz w:val="24"/>
                <w:szCs w:val="24"/>
              </w:rPr>
              <w:t>《危险废物贮存污染控制标准》（GB18597-2001）及其修改单</w:t>
            </w:r>
            <w:r>
              <w:rPr>
                <w:rFonts w:hint="eastAsia"/>
                <w:sz w:val="24"/>
                <w:szCs w:val="24"/>
              </w:rPr>
              <w:t>。</w:t>
            </w:r>
          </w:p>
          <w:p w14:paraId="2C03F7A2">
            <w:pPr>
              <w:pStyle w:val="37"/>
              <w:ind w:firstLine="560"/>
            </w:pPr>
          </w:p>
        </w:tc>
      </w:tr>
      <w:tr w14:paraId="74A4012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6" w:hRule="atLeast"/>
          <w:jc w:val="center"/>
        </w:trPr>
        <w:tc>
          <w:tcPr>
            <w:tcW w:w="522" w:type="dxa"/>
            <w:vAlign w:val="center"/>
          </w:tcPr>
          <w:p w14:paraId="3F44F4BD">
            <w:pPr>
              <w:jc w:val="center"/>
              <w:rPr>
                <w:sz w:val="24"/>
                <w:szCs w:val="24"/>
              </w:rPr>
            </w:pPr>
            <w:r>
              <w:rPr>
                <w:sz w:val="24"/>
                <w:szCs w:val="24"/>
              </w:rPr>
              <w:t>总</w:t>
            </w:r>
          </w:p>
          <w:p w14:paraId="37F8A9C1">
            <w:pPr>
              <w:jc w:val="center"/>
              <w:rPr>
                <w:sz w:val="24"/>
                <w:szCs w:val="24"/>
              </w:rPr>
            </w:pPr>
            <w:r>
              <w:rPr>
                <w:sz w:val="24"/>
                <w:szCs w:val="24"/>
              </w:rPr>
              <w:t>量</w:t>
            </w:r>
          </w:p>
          <w:p w14:paraId="7AA15922">
            <w:pPr>
              <w:jc w:val="center"/>
              <w:rPr>
                <w:sz w:val="24"/>
                <w:szCs w:val="24"/>
              </w:rPr>
            </w:pPr>
            <w:r>
              <w:rPr>
                <w:sz w:val="24"/>
                <w:szCs w:val="24"/>
              </w:rPr>
              <w:t>控</w:t>
            </w:r>
          </w:p>
          <w:p w14:paraId="1B898234">
            <w:pPr>
              <w:jc w:val="center"/>
              <w:rPr>
                <w:sz w:val="24"/>
                <w:szCs w:val="24"/>
              </w:rPr>
            </w:pPr>
            <w:r>
              <w:rPr>
                <w:sz w:val="24"/>
                <w:szCs w:val="24"/>
              </w:rPr>
              <w:t>制</w:t>
            </w:r>
          </w:p>
          <w:p w14:paraId="4041490D">
            <w:pPr>
              <w:jc w:val="center"/>
              <w:rPr>
                <w:sz w:val="24"/>
                <w:szCs w:val="24"/>
              </w:rPr>
            </w:pPr>
            <w:r>
              <w:rPr>
                <w:sz w:val="24"/>
                <w:szCs w:val="24"/>
              </w:rPr>
              <w:t>指</w:t>
            </w:r>
          </w:p>
          <w:p w14:paraId="07CB0CA4">
            <w:pPr>
              <w:jc w:val="center"/>
              <w:rPr>
                <w:sz w:val="28"/>
                <w:szCs w:val="28"/>
              </w:rPr>
            </w:pPr>
            <w:r>
              <w:rPr>
                <w:sz w:val="24"/>
                <w:szCs w:val="24"/>
              </w:rPr>
              <w:t>标</w:t>
            </w:r>
          </w:p>
        </w:tc>
        <w:tc>
          <w:tcPr>
            <w:tcW w:w="8834" w:type="dxa"/>
            <w:vAlign w:val="center"/>
          </w:tcPr>
          <w:p w14:paraId="0840CF2E">
            <w:pPr>
              <w:ind w:firstLine="240" w:firstLineChars="100"/>
              <w:jc w:val="left"/>
              <w:rPr>
                <w:sz w:val="24"/>
                <w:szCs w:val="24"/>
              </w:rPr>
            </w:pPr>
            <w:r>
              <w:rPr>
                <w:rFonts w:hint="eastAsia"/>
                <w:sz w:val="24"/>
                <w:szCs w:val="24"/>
              </w:rPr>
              <w:t>1、废水：</w:t>
            </w:r>
          </w:p>
          <w:p w14:paraId="4460C889">
            <w:pPr>
              <w:jc w:val="center"/>
              <w:rPr>
                <w:b/>
                <w:bCs/>
                <w:sz w:val="24"/>
                <w:szCs w:val="24"/>
              </w:rPr>
            </w:pPr>
            <w:r>
              <w:rPr>
                <w:b/>
                <w:bCs/>
                <w:sz w:val="24"/>
                <w:szCs w:val="24"/>
              </w:rPr>
              <w:t xml:space="preserve">表 4-1  </w:t>
            </w:r>
            <w:r>
              <w:rPr>
                <w:rFonts w:hint="eastAsia"/>
                <w:b/>
                <w:bCs/>
                <w:sz w:val="24"/>
                <w:szCs w:val="24"/>
              </w:rPr>
              <w:t>本项目</w:t>
            </w:r>
            <w:r>
              <w:rPr>
                <w:b/>
                <w:bCs/>
                <w:sz w:val="24"/>
                <w:szCs w:val="24"/>
              </w:rPr>
              <w:t>总量控制指标</w:t>
            </w:r>
          </w:p>
          <w:tbl>
            <w:tblPr>
              <w:tblStyle w:val="27"/>
              <w:tblW w:w="7876"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344"/>
              <w:gridCol w:w="1128"/>
              <w:gridCol w:w="2247"/>
              <w:gridCol w:w="3157"/>
            </w:tblGrid>
            <w:tr w14:paraId="49C4F6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9" w:hRule="atLeast"/>
                <w:jc w:val="center"/>
              </w:trPr>
              <w:tc>
                <w:tcPr>
                  <w:tcW w:w="1344" w:type="dxa"/>
                  <w:vMerge w:val="restart"/>
                  <w:tcBorders>
                    <w:top w:val="single" w:color="auto" w:sz="12" w:space="0"/>
                    <w:left w:val="single" w:color="auto" w:sz="12" w:space="0"/>
                    <w:bottom w:val="single" w:color="auto" w:sz="6" w:space="0"/>
                    <w:right w:val="single" w:color="auto" w:sz="6" w:space="0"/>
                  </w:tcBorders>
                  <w:vAlign w:val="center"/>
                </w:tcPr>
                <w:p w14:paraId="27D63495">
                  <w:pPr>
                    <w:jc w:val="center"/>
                    <w:rPr>
                      <w:szCs w:val="21"/>
                    </w:rPr>
                  </w:pPr>
                </w:p>
                <w:p w14:paraId="54E3F073">
                  <w:pPr>
                    <w:ind w:firstLine="105" w:firstLineChars="50"/>
                    <w:jc w:val="center"/>
                    <w:rPr>
                      <w:szCs w:val="21"/>
                    </w:rPr>
                  </w:pPr>
                  <w:r>
                    <w:rPr>
                      <w:szCs w:val="21"/>
                    </w:rPr>
                    <w:t>污染物</w:t>
                  </w:r>
                </w:p>
              </w:tc>
              <w:tc>
                <w:tcPr>
                  <w:tcW w:w="6532" w:type="dxa"/>
                  <w:gridSpan w:val="3"/>
                  <w:tcBorders>
                    <w:top w:val="single" w:color="auto" w:sz="12" w:space="0"/>
                    <w:left w:val="single" w:color="auto" w:sz="6" w:space="0"/>
                    <w:bottom w:val="single" w:color="auto" w:sz="6" w:space="0"/>
                    <w:right w:val="single" w:color="auto" w:sz="12" w:space="0"/>
                  </w:tcBorders>
                  <w:vAlign w:val="center"/>
                </w:tcPr>
                <w:p w14:paraId="28B6E679">
                  <w:pPr>
                    <w:jc w:val="center"/>
                    <w:rPr>
                      <w:szCs w:val="21"/>
                    </w:rPr>
                  </w:pPr>
                  <w:r>
                    <w:rPr>
                      <w:szCs w:val="21"/>
                    </w:rPr>
                    <w:t>本项目</w:t>
                  </w:r>
                </w:p>
              </w:tc>
            </w:tr>
            <w:tr w14:paraId="4B920B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7" w:hRule="atLeast"/>
                <w:jc w:val="center"/>
              </w:trPr>
              <w:tc>
                <w:tcPr>
                  <w:tcW w:w="1344" w:type="dxa"/>
                  <w:vMerge w:val="continue"/>
                  <w:tcBorders>
                    <w:top w:val="single" w:color="auto" w:sz="6" w:space="0"/>
                    <w:left w:val="single" w:color="auto" w:sz="12" w:space="0"/>
                    <w:bottom w:val="single" w:color="auto" w:sz="6" w:space="0"/>
                    <w:right w:val="single" w:color="auto" w:sz="6" w:space="0"/>
                  </w:tcBorders>
                  <w:vAlign w:val="center"/>
                </w:tcPr>
                <w:p w14:paraId="294153AA">
                  <w:pPr>
                    <w:jc w:val="center"/>
                    <w:rPr>
                      <w:szCs w:val="21"/>
                    </w:rPr>
                  </w:pPr>
                </w:p>
              </w:tc>
              <w:tc>
                <w:tcPr>
                  <w:tcW w:w="1128" w:type="dxa"/>
                  <w:tcBorders>
                    <w:top w:val="single" w:color="auto" w:sz="6" w:space="0"/>
                    <w:left w:val="single" w:color="auto" w:sz="6" w:space="0"/>
                    <w:bottom w:val="single" w:color="auto" w:sz="6" w:space="0"/>
                    <w:right w:val="single" w:color="auto" w:sz="6" w:space="0"/>
                  </w:tcBorders>
                  <w:vAlign w:val="center"/>
                </w:tcPr>
                <w:p w14:paraId="1E673D1E">
                  <w:pPr>
                    <w:ind w:left="48" w:leftChars="23"/>
                    <w:jc w:val="center"/>
                    <w:rPr>
                      <w:szCs w:val="21"/>
                    </w:rPr>
                  </w:pPr>
                  <w:r>
                    <w:rPr>
                      <w:szCs w:val="21"/>
                    </w:rPr>
                    <w:t>产生量</w:t>
                  </w:r>
                </w:p>
                <w:p w14:paraId="4C882AC5">
                  <w:pPr>
                    <w:ind w:left="10" w:leftChars="5"/>
                    <w:jc w:val="center"/>
                    <w:rPr>
                      <w:szCs w:val="21"/>
                    </w:rPr>
                  </w:pPr>
                  <w:r>
                    <w:rPr>
                      <w:szCs w:val="21"/>
                    </w:rPr>
                    <w:t>（t/a）</w:t>
                  </w:r>
                </w:p>
              </w:tc>
              <w:tc>
                <w:tcPr>
                  <w:tcW w:w="2247" w:type="dxa"/>
                  <w:tcBorders>
                    <w:top w:val="single" w:color="auto" w:sz="6" w:space="0"/>
                    <w:left w:val="single" w:color="auto" w:sz="6" w:space="0"/>
                    <w:bottom w:val="single" w:color="auto" w:sz="6" w:space="0"/>
                    <w:right w:val="single" w:color="auto" w:sz="6" w:space="0"/>
                  </w:tcBorders>
                  <w:vAlign w:val="center"/>
                </w:tcPr>
                <w:p w14:paraId="4AE1D00C">
                  <w:pPr>
                    <w:jc w:val="center"/>
                    <w:rPr>
                      <w:szCs w:val="21"/>
                    </w:rPr>
                  </w:pPr>
                  <w:r>
                    <w:rPr>
                      <w:szCs w:val="21"/>
                    </w:rPr>
                    <w:t>厂区排放口的排放量（t/a）</w:t>
                  </w:r>
                </w:p>
              </w:tc>
              <w:tc>
                <w:tcPr>
                  <w:tcW w:w="3157" w:type="dxa"/>
                  <w:tcBorders>
                    <w:top w:val="single" w:color="auto" w:sz="6" w:space="0"/>
                    <w:left w:val="single" w:color="auto" w:sz="6" w:space="0"/>
                    <w:bottom w:val="single" w:color="auto" w:sz="6" w:space="0"/>
                    <w:right w:val="single" w:color="auto" w:sz="12" w:space="0"/>
                  </w:tcBorders>
                  <w:vAlign w:val="center"/>
                </w:tcPr>
                <w:p w14:paraId="0CA65336">
                  <w:pPr>
                    <w:jc w:val="center"/>
                    <w:rPr>
                      <w:szCs w:val="21"/>
                    </w:rPr>
                  </w:pPr>
                  <w:r>
                    <w:rPr>
                      <w:szCs w:val="21"/>
                    </w:rPr>
                    <w:t>经污水</w:t>
                  </w:r>
                  <w:r>
                    <w:rPr>
                      <w:rFonts w:hint="eastAsia"/>
                      <w:szCs w:val="21"/>
                    </w:rPr>
                    <w:t>站</w:t>
                  </w:r>
                  <w:r>
                    <w:rPr>
                      <w:szCs w:val="21"/>
                    </w:rPr>
                    <w:t>处理</w:t>
                  </w:r>
                  <w:r>
                    <w:rPr>
                      <w:rFonts w:hint="eastAsia"/>
                      <w:szCs w:val="21"/>
                    </w:rPr>
                    <w:t>后</w:t>
                  </w:r>
                  <w:r>
                    <w:rPr>
                      <w:szCs w:val="21"/>
                    </w:rPr>
                    <w:t>排入外环境的量（t/a）</w:t>
                  </w:r>
                </w:p>
              </w:tc>
            </w:tr>
            <w:tr w14:paraId="522E1AE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344" w:type="dxa"/>
                  <w:tcBorders>
                    <w:top w:val="single" w:color="auto" w:sz="6" w:space="0"/>
                    <w:left w:val="single" w:color="auto" w:sz="12" w:space="0"/>
                    <w:bottom w:val="single" w:color="auto" w:sz="6" w:space="0"/>
                    <w:right w:val="single" w:color="auto" w:sz="6" w:space="0"/>
                  </w:tcBorders>
                  <w:vAlign w:val="center"/>
                </w:tcPr>
                <w:p w14:paraId="34851913">
                  <w:pPr>
                    <w:jc w:val="center"/>
                    <w:rPr>
                      <w:szCs w:val="21"/>
                    </w:rPr>
                  </w:pPr>
                  <w:r>
                    <w:rPr>
                      <w:szCs w:val="21"/>
                    </w:rPr>
                    <w:t>废水</w:t>
                  </w:r>
                </w:p>
              </w:tc>
              <w:tc>
                <w:tcPr>
                  <w:tcW w:w="1128" w:type="dxa"/>
                  <w:tcBorders>
                    <w:top w:val="single" w:color="auto" w:sz="6" w:space="0"/>
                    <w:left w:val="single" w:color="auto" w:sz="6" w:space="0"/>
                    <w:bottom w:val="single" w:color="auto" w:sz="6" w:space="0"/>
                    <w:right w:val="single" w:color="auto" w:sz="6" w:space="0"/>
                  </w:tcBorders>
                  <w:vAlign w:val="center"/>
                </w:tcPr>
                <w:p w14:paraId="09200E52">
                  <w:pPr>
                    <w:jc w:val="center"/>
                    <w:rPr>
                      <w:szCs w:val="21"/>
                    </w:rPr>
                  </w:pPr>
                  <w:r>
                    <w:rPr>
                      <w:rFonts w:hint="eastAsia"/>
                      <w:szCs w:val="21"/>
                    </w:rPr>
                    <w:t>960</w:t>
                  </w:r>
                </w:p>
              </w:tc>
              <w:tc>
                <w:tcPr>
                  <w:tcW w:w="2247" w:type="dxa"/>
                  <w:tcBorders>
                    <w:top w:val="single" w:color="auto" w:sz="6" w:space="0"/>
                    <w:left w:val="single" w:color="auto" w:sz="6" w:space="0"/>
                    <w:bottom w:val="single" w:color="auto" w:sz="6" w:space="0"/>
                    <w:right w:val="single" w:color="auto" w:sz="6" w:space="0"/>
                  </w:tcBorders>
                  <w:vAlign w:val="center"/>
                </w:tcPr>
                <w:p w14:paraId="6F91CA9D">
                  <w:pPr>
                    <w:jc w:val="center"/>
                    <w:rPr>
                      <w:szCs w:val="21"/>
                    </w:rPr>
                  </w:pPr>
                  <w:r>
                    <w:rPr>
                      <w:rFonts w:hint="eastAsia"/>
                      <w:szCs w:val="21"/>
                    </w:rPr>
                    <w:t>960</w:t>
                  </w:r>
                </w:p>
              </w:tc>
              <w:tc>
                <w:tcPr>
                  <w:tcW w:w="3157" w:type="dxa"/>
                  <w:tcBorders>
                    <w:top w:val="single" w:color="auto" w:sz="6" w:space="0"/>
                    <w:left w:val="single" w:color="auto" w:sz="6" w:space="0"/>
                    <w:bottom w:val="single" w:color="auto" w:sz="6" w:space="0"/>
                    <w:right w:val="single" w:color="auto" w:sz="12" w:space="0"/>
                  </w:tcBorders>
                  <w:vAlign w:val="center"/>
                </w:tcPr>
                <w:p w14:paraId="0BD775B9">
                  <w:pPr>
                    <w:jc w:val="center"/>
                    <w:rPr>
                      <w:szCs w:val="21"/>
                    </w:rPr>
                  </w:pPr>
                  <w:r>
                    <w:rPr>
                      <w:rFonts w:hint="eastAsia"/>
                      <w:szCs w:val="21"/>
                    </w:rPr>
                    <w:t>960</w:t>
                  </w:r>
                </w:p>
              </w:tc>
            </w:tr>
            <w:tr w14:paraId="66C023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344" w:type="dxa"/>
                  <w:tcBorders>
                    <w:top w:val="single" w:color="auto" w:sz="6" w:space="0"/>
                    <w:left w:val="single" w:color="auto" w:sz="12" w:space="0"/>
                    <w:bottom w:val="single" w:color="auto" w:sz="6" w:space="0"/>
                    <w:right w:val="single" w:color="auto" w:sz="6" w:space="0"/>
                  </w:tcBorders>
                  <w:vAlign w:val="center"/>
                </w:tcPr>
                <w:p w14:paraId="035879AC">
                  <w:pPr>
                    <w:jc w:val="center"/>
                    <w:rPr>
                      <w:szCs w:val="21"/>
                    </w:rPr>
                  </w:pPr>
                  <w:r>
                    <w:rPr>
                      <w:szCs w:val="21"/>
                    </w:rPr>
                    <w:t>CODcr</w:t>
                  </w:r>
                </w:p>
              </w:tc>
              <w:tc>
                <w:tcPr>
                  <w:tcW w:w="1128" w:type="dxa"/>
                  <w:tcBorders>
                    <w:top w:val="single" w:color="auto" w:sz="6" w:space="0"/>
                    <w:left w:val="single" w:color="auto" w:sz="6" w:space="0"/>
                    <w:bottom w:val="single" w:color="auto" w:sz="6" w:space="0"/>
                    <w:right w:val="single" w:color="auto" w:sz="6" w:space="0"/>
                  </w:tcBorders>
                  <w:vAlign w:val="center"/>
                </w:tcPr>
                <w:p w14:paraId="40146F30">
                  <w:pPr>
                    <w:jc w:val="center"/>
                    <w:rPr>
                      <w:szCs w:val="21"/>
                    </w:rPr>
                  </w:pPr>
                  <w:r>
                    <w:rPr>
                      <w:rFonts w:hint="eastAsia"/>
                      <w:szCs w:val="21"/>
                    </w:rPr>
                    <w:t>0.432</w:t>
                  </w:r>
                </w:p>
              </w:tc>
              <w:tc>
                <w:tcPr>
                  <w:tcW w:w="2247" w:type="dxa"/>
                  <w:tcBorders>
                    <w:top w:val="single" w:color="auto" w:sz="6" w:space="0"/>
                    <w:left w:val="single" w:color="auto" w:sz="6" w:space="0"/>
                    <w:bottom w:val="single" w:color="auto" w:sz="6" w:space="0"/>
                    <w:right w:val="single" w:color="auto" w:sz="6" w:space="0"/>
                  </w:tcBorders>
                  <w:vAlign w:val="center"/>
                </w:tcPr>
                <w:p w14:paraId="1508C1EB">
                  <w:pPr>
                    <w:jc w:val="center"/>
                    <w:rPr>
                      <w:szCs w:val="21"/>
                    </w:rPr>
                  </w:pPr>
                  <w:r>
                    <w:rPr>
                      <w:rFonts w:hint="eastAsia"/>
                      <w:szCs w:val="21"/>
                    </w:rPr>
                    <w:t>0.336</w:t>
                  </w:r>
                </w:p>
              </w:tc>
              <w:tc>
                <w:tcPr>
                  <w:tcW w:w="3157" w:type="dxa"/>
                  <w:tcBorders>
                    <w:top w:val="single" w:color="auto" w:sz="6" w:space="0"/>
                    <w:left w:val="single" w:color="auto" w:sz="6" w:space="0"/>
                    <w:bottom w:val="single" w:color="auto" w:sz="6" w:space="0"/>
                    <w:right w:val="single" w:color="auto" w:sz="12" w:space="0"/>
                  </w:tcBorders>
                  <w:vAlign w:val="center"/>
                </w:tcPr>
                <w:p w14:paraId="00C32709">
                  <w:pPr>
                    <w:jc w:val="center"/>
                    <w:rPr>
                      <w:szCs w:val="21"/>
                    </w:rPr>
                  </w:pPr>
                  <w:r>
                    <w:rPr>
                      <w:rFonts w:hint="eastAsia"/>
                      <w:szCs w:val="21"/>
                    </w:rPr>
                    <w:t>0.048</w:t>
                  </w:r>
                </w:p>
              </w:tc>
            </w:tr>
            <w:tr w14:paraId="44ECD16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344" w:type="dxa"/>
                  <w:tcBorders>
                    <w:top w:val="single" w:color="auto" w:sz="6" w:space="0"/>
                    <w:left w:val="single" w:color="auto" w:sz="12" w:space="0"/>
                    <w:bottom w:val="single" w:color="auto" w:sz="12" w:space="0"/>
                    <w:right w:val="single" w:color="auto" w:sz="6" w:space="0"/>
                  </w:tcBorders>
                  <w:vAlign w:val="center"/>
                </w:tcPr>
                <w:p w14:paraId="1E36A3E0">
                  <w:pPr>
                    <w:jc w:val="center"/>
                    <w:rPr>
                      <w:szCs w:val="21"/>
                    </w:rPr>
                  </w:pPr>
                  <w:r>
                    <w:rPr>
                      <w:szCs w:val="21"/>
                    </w:rPr>
                    <w:t>氨氮</w:t>
                  </w:r>
                </w:p>
              </w:tc>
              <w:tc>
                <w:tcPr>
                  <w:tcW w:w="1128" w:type="dxa"/>
                  <w:tcBorders>
                    <w:top w:val="single" w:color="auto" w:sz="6" w:space="0"/>
                    <w:left w:val="single" w:color="auto" w:sz="6" w:space="0"/>
                    <w:bottom w:val="single" w:color="auto" w:sz="12" w:space="0"/>
                    <w:right w:val="single" w:color="auto" w:sz="6" w:space="0"/>
                  </w:tcBorders>
                  <w:vAlign w:val="center"/>
                </w:tcPr>
                <w:p w14:paraId="4BDF763F">
                  <w:pPr>
                    <w:jc w:val="center"/>
                    <w:rPr>
                      <w:szCs w:val="21"/>
                    </w:rPr>
                  </w:pPr>
                  <w:r>
                    <w:rPr>
                      <w:rFonts w:hint="eastAsia"/>
                      <w:szCs w:val="21"/>
                    </w:rPr>
                    <w:t>0.038</w:t>
                  </w:r>
                </w:p>
              </w:tc>
              <w:tc>
                <w:tcPr>
                  <w:tcW w:w="2247" w:type="dxa"/>
                  <w:tcBorders>
                    <w:top w:val="single" w:color="auto" w:sz="6" w:space="0"/>
                    <w:left w:val="single" w:color="auto" w:sz="6" w:space="0"/>
                    <w:bottom w:val="single" w:color="auto" w:sz="12" w:space="0"/>
                    <w:right w:val="single" w:color="auto" w:sz="6" w:space="0"/>
                  </w:tcBorders>
                  <w:vAlign w:val="center"/>
                </w:tcPr>
                <w:p w14:paraId="19901838">
                  <w:pPr>
                    <w:jc w:val="center"/>
                    <w:rPr>
                      <w:szCs w:val="21"/>
                    </w:rPr>
                  </w:pPr>
                  <w:r>
                    <w:rPr>
                      <w:rFonts w:hint="eastAsia"/>
                      <w:szCs w:val="21"/>
                    </w:rPr>
                    <w:t>0.024</w:t>
                  </w:r>
                </w:p>
              </w:tc>
              <w:tc>
                <w:tcPr>
                  <w:tcW w:w="3157" w:type="dxa"/>
                  <w:tcBorders>
                    <w:top w:val="single" w:color="auto" w:sz="6" w:space="0"/>
                    <w:left w:val="single" w:color="auto" w:sz="6" w:space="0"/>
                    <w:bottom w:val="single" w:color="auto" w:sz="12" w:space="0"/>
                    <w:right w:val="single" w:color="auto" w:sz="12" w:space="0"/>
                  </w:tcBorders>
                  <w:vAlign w:val="center"/>
                </w:tcPr>
                <w:p w14:paraId="20D05536">
                  <w:pPr>
                    <w:jc w:val="center"/>
                    <w:rPr>
                      <w:szCs w:val="21"/>
                    </w:rPr>
                  </w:pPr>
                  <w:r>
                    <w:rPr>
                      <w:rFonts w:hint="eastAsia"/>
                      <w:szCs w:val="21"/>
                    </w:rPr>
                    <w:t>0.006</w:t>
                  </w:r>
                </w:p>
              </w:tc>
            </w:tr>
          </w:tbl>
          <w:p w14:paraId="72EC95E8">
            <w:pPr>
              <w:pStyle w:val="83"/>
              <w:ind w:left="0" w:leftChars="0" w:right="0" w:rightChars="0"/>
              <w:rPr>
                <w:sz w:val="24"/>
                <w:szCs w:val="24"/>
              </w:rPr>
            </w:pPr>
            <w:r>
              <w:rPr>
                <w:sz w:val="24"/>
                <w:szCs w:val="24"/>
              </w:rPr>
              <w:t>本项目生活污水经</w:t>
            </w:r>
            <w:r>
              <w:rPr>
                <w:rFonts w:hint="eastAsia"/>
                <w:sz w:val="24"/>
                <w:szCs w:val="24"/>
                <w:lang w:val="en-US" w:eastAsia="zh-CN"/>
              </w:rPr>
              <w:t>三级沉淀池</w:t>
            </w:r>
            <w:r>
              <w:rPr>
                <w:sz w:val="24"/>
                <w:szCs w:val="24"/>
              </w:rPr>
              <w:t>预处理后</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eastAsia="zh-CN"/>
              </w:rPr>
              <w:t>由</w:t>
            </w:r>
            <w:r>
              <w:rPr>
                <w:rFonts w:hint="eastAsia" w:cs="Times New Roman"/>
                <w:color w:val="auto"/>
                <w:sz w:val="24"/>
                <w:szCs w:val="24"/>
                <w:lang w:eastAsia="zh-CN"/>
              </w:rPr>
              <w:t>罐车定期抽</w:t>
            </w:r>
            <w:r>
              <w:rPr>
                <w:rFonts w:hint="eastAsia" w:ascii="Times New Roman" w:hAnsi="Times New Roman" w:cs="Times New Roman"/>
                <w:color w:val="auto"/>
                <w:sz w:val="24"/>
                <w:szCs w:val="24"/>
                <w:lang w:eastAsia="zh-CN"/>
              </w:rPr>
              <w:t>送至</w:t>
            </w:r>
            <w:r>
              <w:rPr>
                <w:rFonts w:hint="eastAsia" w:cs="Times New Roman"/>
                <w:color w:val="auto"/>
                <w:sz w:val="24"/>
                <w:lang w:eastAsia="zh-CN"/>
              </w:rPr>
              <w:t>威海经区污水处理厂</w:t>
            </w:r>
            <w:r>
              <w:rPr>
                <w:rFonts w:hint="default" w:ascii="Times New Roman" w:hAnsi="Times New Roman" w:cs="Times New Roman"/>
                <w:color w:val="auto"/>
                <w:sz w:val="24"/>
                <w:szCs w:val="24"/>
                <w:lang w:eastAsia="zh-CN"/>
              </w:rPr>
              <w:t>集中处理</w:t>
            </w:r>
            <w:r>
              <w:rPr>
                <w:sz w:val="24"/>
                <w:szCs w:val="24"/>
              </w:rPr>
              <w:t>，废水中主要污染物CODcr、NH</w:t>
            </w:r>
            <w:r>
              <w:rPr>
                <w:sz w:val="24"/>
                <w:szCs w:val="24"/>
                <w:vertAlign w:val="subscript"/>
              </w:rPr>
              <w:t>3</w:t>
            </w:r>
            <w:r>
              <w:rPr>
                <w:sz w:val="24"/>
                <w:szCs w:val="24"/>
              </w:rPr>
              <w:t>-N的总量指标纳入该</w:t>
            </w:r>
            <w:r>
              <w:rPr>
                <w:sz w:val="24"/>
                <w:szCs w:val="24"/>
                <w:lang w:val="zh-CN"/>
              </w:rPr>
              <w:t>污水处理</w:t>
            </w:r>
            <w:r>
              <w:rPr>
                <w:rFonts w:hint="eastAsia"/>
                <w:sz w:val="24"/>
                <w:szCs w:val="24"/>
                <w:lang w:val="zh-CN"/>
              </w:rPr>
              <w:t>站</w:t>
            </w:r>
            <w:r>
              <w:rPr>
                <w:sz w:val="24"/>
                <w:szCs w:val="24"/>
              </w:rPr>
              <w:t>总量指标管理。</w:t>
            </w:r>
          </w:p>
          <w:p w14:paraId="14DB0073">
            <w:pPr>
              <w:spacing w:line="360" w:lineRule="auto"/>
              <w:ind w:firstLine="240" w:firstLineChars="100"/>
              <w:rPr>
                <w:sz w:val="24"/>
                <w:szCs w:val="24"/>
              </w:rPr>
            </w:pPr>
            <w:r>
              <w:rPr>
                <w:sz w:val="24"/>
                <w:szCs w:val="24"/>
              </w:rPr>
              <w:t>2、废气：</w:t>
            </w:r>
          </w:p>
          <w:p w14:paraId="39A5AE1B">
            <w:pPr>
              <w:spacing w:line="360" w:lineRule="auto"/>
              <w:ind w:firstLine="480" w:firstLineChars="200"/>
              <w:rPr>
                <w:sz w:val="24"/>
                <w:szCs w:val="24"/>
              </w:rPr>
            </w:pPr>
            <w:r>
              <w:rPr>
                <w:sz w:val="24"/>
                <w:szCs w:val="24"/>
              </w:rPr>
              <w:t>（1）本项目不设锅炉等燃煤燃油设备，无SO</w:t>
            </w:r>
            <w:r>
              <w:rPr>
                <w:sz w:val="24"/>
                <w:szCs w:val="24"/>
                <w:vertAlign w:val="subscript"/>
              </w:rPr>
              <w:t>2</w:t>
            </w:r>
            <w:r>
              <w:rPr>
                <w:sz w:val="24"/>
                <w:szCs w:val="24"/>
              </w:rPr>
              <w:t>、氮氧化物等废气产生，不需要申请SO</w:t>
            </w:r>
            <w:r>
              <w:rPr>
                <w:sz w:val="24"/>
                <w:szCs w:val="24"/>
                <w:vertAlign w:val="subscript"/>
              </w:rPr>
              <w:t>2</w:t>
            </w:r>
            <w:r>
              <w:rPr>
                <w:sz w:val="24"/>
                <w:szCs w:val="24"/>
              </w:rPr>
              <w:t>、氮氧化物总量控制指标。</w:t>
            </w:r>
          </w:p>
          <w:p w14:paraId="222F8596">
            <w:pPr>
              <w:spacing w:line="360" w:lineRule="auto"/>
              <w:ind w:firstLine="480" w:firstLineChars="200"/>
              <w:rPr>
                <w:sz w:val="24"/>
              </w:rPr>
            </w:pPr>
            <w:r>
              <w:rPr>
                <w:sz w:val="24"/>
                <w:szCs w:val="24"/>
              </w:rPr>
              <w:t>（2）</w:t>
            </w:r>
            <w:r>
              <w:rPr>
                <w:sz w:val="24"/>
              </w:rPr>
              <w:t>根据“十三五”规划，国家继续对化学需氧量、氨氮、二氧化硫和氮氧化物实施总量控制，同时在重点区域和重点行业推进挥发性有机物排放总量控制。</w:t>
            </w:r>
          </w:p>
          <w:p w14:paraId="0B933EFF">
            <w:pPr>
              <w:spacing w:line="360" w:lineRule="auto"/>
              <w:ind w:firstLine="480" w:firstLineChars="200"/>
              <w:rPr>
                <w:sz w:val="24"/>
              </w:rPr>
            </w:pPr>
            <w:r>
              <w:rPr>
                <w:sz w:val="24"/>
              </w:rPr>
              <w:t>经计算，本项目VOCs排放量为</w:t>
            </w:r>
            <w:r>
              <w:rPr>
                <w:rFonts w:hint="eastAsia"/>
                <w:sz w:val="24"/>
              </w:rPr>
              <w:t>0.197</w:t>
            </w:r>
            <w:r>
              <w:rPr>
                <w:sz w:val="24"/>
              </w:rPr>
              <w:t>t/a</w:t>
            </w:r>
            <w:r>
              <w:rPr>
                <w:sz w:val="24"/>
                <w:szCs w:val="24"/>
              </w:rPr>
              <w:t>。 威海昱成塑料包装有限公司成立于2006年8月，位于威海市环翠区温泉镇江家寨村。主要从事塑料包装，注塑，塑料材料的生产、销售，该公司注塑，塑料材料的生产等工艺会产生有机废气，公司于2020年11月注销</w:t>
            </w:r>
            <w:r>
              <w:rPr>
                <w:rFonts w:hint="eastAsia"/>
                <w:sz w:val="24"/>
                <w:szCs w:val="24"/>
              </w:rPr>
              <w:t>不在运营</w:t>
            </w:r>
            <w:r>
              <w:rPr>
                <w:sz w:val="24"/>
                <w:szCs w:val="24"/>
              </w:rPr>
              <w:t>。</w:t>
            </w:r>
            <w:r>
              <w:rPr>
                <w:rFonts w:hint="eastAsia"/>
                <w:sz w:val="24"/>
                <w:szCs w:val="24"/>
              </w:rPr>
              <w:t>该公司在塑料加工注塑工序产生有机废气，在无控制措施时，有机废气排放量约为原料的0.035%，即0.35kg/t-原料。本项目原料用量合计为1200t/a，经计算，项目注塑工序有机废气VOCs产生量为0.42t/a。</w:t>
            </w:r>
            <w:r>
              <w:rPr>
                <w:sz w:val="24"/>
              </w:rPr>
              <w:t>按照威海市生态环境局关于转发《山东省生态环境厅关于印发山东省建设项目主要大气污染物排放总量替代指标核算及管理办法的通知》的通知（威环函【2020】8号）中“上一年度环境空气质量年平均浓度达标的区市，相关污染物进行等量替代”的要求，本项目需等量替代挥发性有机物的量为</w:t>
            </w:r>
            <w:r>
              <w:rPr>
                <w:rFonts w:hint="eastAsia"/>
                <w:sz w:val="24"/>
              </w:rPr>
              <w:t>0.197</w:t>
            </w:r>
            <w:r>
              <w:rPr>
                <w:sz w:val="24"/>
              </w:rPr>
              <w:t>t/a，</w:t>
            </w:r>
            <w:r>
              <w:rPr>
                <w:sz w:val="24"/>
                <w:szCs w:val="24"/>
              </w:rPr>
              <w:t>可从威海昱成塑料包装有限公司的VOCs削减量（共</w:t>
            </w:r>
            <w:r>
              <w:rPr>
                <w:rFonts w:hint="eastAsia"/>
                <w:sz w:val="24"/>
                <w:szCs w:val="24"/>
              </w:rPr>
              <w:t>0.42</w:t>
            </w:r>
            <w:r>
              <w:rPr>
                <w:sz w:val="24"/>
                <w:szCs w:val="24"/>
              </w:rPr>
              <w:t>t，目前剩余</w:t>
            </w:r>
            <w:r>
              <w:rPr>
                <w:rFonts w:hint="eastAsia"/>
                <w:sz w:val="24"/>
                <w:szCs w:val="24"/>
              </w:rPr>
              <w:t>0.42</w:t>
            </w:r>
            <w:r>
              <w:rPr>
                <w:sz w:val="24"/>
                <w:szCs w:val="24"/>
              </w:rPr>
              <w:t>t，大于</w:t>
            </w:r>
            <w:r>
              <w:rPr>
                <w:rFonts w:hint="eastAsia"/>
                <w:sz w:val="24"/>
                <w:szCs w:val="24"/>
              </w:rPr>
              <w:t>0.197</w:t>
            </w:r>
            <w:r>
              <w:rPr>
                <w:sz w:val="24"/>
                <w:szCs w:val="24"/>
              </w:rPr>
              <w:t>t/a）中进行替代，</w:t>
            </w:r>
            <w:r>
              <w:rPr>
                <w:rFonts w:eastAsiaTheme="minorEastAsia"/>
                <w:sz w:val="24"/>
                <w:szCs w:val="24"/>
              </w:rPr>
              <w:t>项目VOCs替代源具体说明见附件</w:t>
            </w:r>
            <w:r>
              <w:rPr>
                <w:sz w:val="24"/>
              </w:rPr>
              <w:t>。</w:t>
            </w:r>
          </w:p>
          <w:p w14:paraId="286803AC">
            <w:pPr>
              <w:spacing w:line="360" w:lineRule="auto"/>
              <w:ind w:firstLine="480" w:firstLineChars="200"/>
              <w:rPr>
                <w:sz w:val="24"/>
              </w:rPr>
            </w:pPr>
          </w:p>
          <w:p w14:paraId="2F0D7204">
            <w:pPr>
              <w:spacing w:line="360" w:lineRule="auto"/>
              <w:ind w:firstLine="480" w:firstLineChars="200"/>
              <w:rPr>
                <w:sz w:val="24"/>
              </w:rPr>
            </w:pPr>
          </w:p>
          <w:p w14:paraId="6D17CAD0">
            <w:pPr>
              <w:spacing w:line="360" w:lineRule="auto"/>
              <w:rPr>
                <w:sz w:val="24"/>
              </w:rPr>
            </w:pPr>
          </w:p>
        </w:tc>
      </w:tr>
    </w:tbl>
    <w:p w14:paraId="70135447">
      <w:pPr>
        <w:spacing w:after="120"/>
        <w:rPr>
          <w:rFonts w:eastAsia="黑体"/>
          <w:sz w:val="30"/>
          <w:szCs w:val="30"/>
        </w:rPr>
      </w:pPr>
      <w:r>
        <w:rPr>
          <w:rFonts w:eastAsia="黑体"/>
          <w:sz w:val="30"/>
          <w:szCs w:val="30"/>
        </w:rPr>
        <w:t>五、建设项目工程分析</w:t>
      </w:r>
    </w:p>
    <w:tbl>
      <w:tblPr>
        <w:tblStyle w:val="27"/>
        <w:tblW w:w="935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7"/>
      </w:tblGrid>
      <w:tr w14:paraId="4AE06DA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357" w:type="dxa"/>
          </w:tcPr>
          <w:p w14:paraId="4CDE9CC1">
            <w:pPr>
              <w:spacing w:line="360" w:lineRule="auto"/>
              <w:jc w:val="left"/>
              <w:rPr>
                <w:b/>
                <w:bCs/>
                <w:sz w:val="24"/>
                <w:szCs w:val="24"/>
              </w:rPr>
            </w:pPr>
            <w:bookmarkStart w:id="1" w:name="_Toc145557451"/>
            <w:bookmarkStart w:id="2" w:name="_Toc145641277"/>
            <w:r>
              <w:rPr>
                <w:rFonts w:hint="eastAsia"/>
                <w:b/>
                <w:bCs/>
                <w:sz w:val="24"/>
                <w:szCs w:val="24"/>
              </w:rPr>
              <w:t>工艺流程：</w:t>
            </w:r>
            <w:bookmarkEnd w:id="1"/>
            <w:bookmarkEnd w:id="2"/>
          </w:p>
          <w:p w14:paraId="5AECC4E5">
            <w:pPr>
              <w:spacing w:line="360" w:lineRule="auto"/>
              <w:ind w:firstLine="482" w:firstLineChars="200"/>
              <w:jc w:val="left"/>
              <w:rPr>
                <w:b/>
                <w:bCs/>
                <w:sz w:val="24"/>
                <w:szCs w:val="24"/>
              </w:rPr>
            </w:pPr>
            <w:r>
              <w:rPr>
                <w:b/>
                <w:bCs/>
                <w:sz w:val="24"/>
                <w:szCs w:val="24"/>
              </w:rPr>
              <w:t>一、施工期工艺流程</w:t>
            </w:r>
          </w:p>
          <w:p w14:paraId="379A6D41">
            <w:pPr>
              <w:spacing w:line="360" w:lineRule="auto"/>
              <w:ind w:firstLine="480" w:firstLineChars="200"/>
              <w:jc w:val="left"/>
              <w:rPr>
                <w:sz w:val="24"/>
                <w:szCs w:val="24"/>
              </w:rPr>
            </w:pPr>
            <w:r>
              <w:rPr>
                <w:rFonts w:hint="eastAsia"/>
                <w:sz w:val="24"/>
                <w:szCs w:val="24"/>
              </w:rPr>
              <w:t>本</w:t>
            </w:r>
            <w:r>
              <w:rPr>
                <w:sz w:val="24"/>
                <w:szCs w:val="24"/>
              </w:rPr>
              <w:t>项目</w:t>
            </w:r>
            <w:r>
              <w:rPr>
                <w:rFonts w:hint="eastAsia"/>
                <w:sz w:val="24"/>
                <w:szCs w:val="24"/>
              </w:rPr>
              <w:t>租用已建</w:t>
            </w:r>
            <w:r>
              <w:rPr>
                <w:sz w:val="24"/>
                <w:szCs w:val="24"/>
              </w:rPr>
              <w:t>生产车间</w:t>
            </w:r>
            <w:r>
              <w:rPr>
                <w:rFonts w:hint="eastAsia"/>
                <w:sz w:val="24"/>
                <w:szCs w:val="24"/>
              </w:rPr>
              <w:t>进行生产</w:t>
            </w:r>
            <w:r>
              <w:rPr>
                <w:sz w:val="24"/>
                <w:szCs w:val="24"/>
              </w:rPr>
              <w:t>，</w:t>
            </w:r>
            <w:r>
              <w:rPr>
                <w:rFonts w:hint="eastAsia"/>
                <w:sz w:val="24"/>
                <w:szCs w:val="24"/>
              </w:rPr>
              <w:t>无土建工程</w:t>
            </w:r>
            <w:r>
              <w:rPr>
                <w:sz w:val="24"/>
                <w:szCs w:val="24"/>
              </w:rPr>
              <w:t>，因此，本环评对施工期不再进行分析和评价</w:t>
            </w:r>
            <w:r>
              <w:rPr>
                <w:rFonts w:hint="eastAsia"/>
                <w:sz w:val="24"/>
                <w:szCs w:val="24"/>
              </w:rPr>
              <w:t>。</w:t>
            </w:r>
          </w:p>
          <w:p w14:paraId="760E10ED">
            <w:pPr>
              <w:spacing w:line="360" w:lineRule="auto"/>
              <w:ind w:left="420" w:leftChars="200"/>
              <w:jc w:val="left"/>
              <w:rPr>
                <w:b/>
                <w:bCs/>
                <w:sz w:val="24"/>
                <w:szCs w:val="24"/>
              </w:rPr>
            </w:pPr>
            <w:r>
              <w:rPr>
                <w:rFonts w:hint="eastAsia"/>
                <w:b/>
                <w:bCs/>
                <w:sz w:val="24"/>
                <w:szCs w:val="24"/>
              </w:rPr>
              <w:t>二、</w:t>
            </w:r>
            <w:r>
              <w:rPr>
                <w:b/>
                <w:bCs/>
                <w:sz w:val="24"/>
                <w:szCs w:val="24"/>
              </w:rPr>
              <w:t>营运期工艺流程</w:t>
            </w:r>
          </w:p>
          <w:p w14:paraId="3ECECE82">
            <w:pPr>
              <w:pStyle w:val="36"/>
              <w:ind w:left="420" w:leftChars="200" w:firstLine="0" w:firstLineChars="0"/>
              <w:rPr>
                <w:sz w:val="24"/>
                <w:szCs w:val="24"/>
              </w:rPr>
            </w:pPr>
            <w:r>
              <w:rPr>
                <w:rFonts w:hint="eastAsia"/>
                <w:sz w:val="24"/>
                <w:szCs w:val="24"/>
              </w:rPr>
              <w:t>1、鱼竿及配件加工生产</w:t>
            </w:r>
          </w:p>
          <w:p w14:paraId="10ED6DF8">
            <w:pPr>
              <w:pStyle w:val="41"/>
            </w:pPr>
            <w:r>
              <w:rPr>
                <w:rFonts w:hint="default"/>
              </w:rPr>
              <mc:AlternateContent>
                <mc:Choice Requires="wpc">
                  <w:drawing>
                    <wp:inline distT="0" distB="0" distL="114300" distR="114300">
                      <wp:extent cx="5836920" cy="3129915"/>
                      <wp:effectExtent l="0" t="0" r="0" b="0"/>
                      <wp:docPr id="110" name="画布 295"/>
                      <wp:cNvGraphicFramePr/>
                      <a:graphic xmlns:a="http://schemas.openxmlformats.org/drawingml/2006/main">
                        <a:graphicData uri="http://schemas.microsoft.com/office/word/2010/wordprocessingCanvas">
                          <wpc:wpc>
                            <wpc:bg>
                              <a:noFill/>
                            </wpc:bg>
                            <wpc:whole>
                              <a:ln>
                                <a:noFill/>
                              </a:ln>
                            </wpc:whole>
                            <wps:wsp>
                              <wps:cNvPr id="13" name="矩形 297"/>
                              <wps:cNvSpPr/>
                              <wps:spPr>
                                <a:xfrm>
                                  <a:off x="1115060" y="522606"/>
                                  <a:ext cx="476250" cy="317501"/>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61FB271A">
                                    <w:pPr>
                                      <w:rPr>
                                        <w:rFonts w:hint="eastAsia" w:eastAsia="宋体"/>
                                        <w:sz w:val="21"/>
                                        <w:szCs w:val="21"/>
                                        <w:lang w:eastAsia="zh-CN"/>
                                      </w:rPr>
                                    </w:pPr>
                                    <w:r>
                                      <w:rPr>
                                        <w:rFonts w:hint="eastAsia"/>
                                        <w:sz w:val="21"/>
                                        <w:szCs w:val="21"/>
                                        <w:lang w:eastAsia="zh-CN"/>
                                      </w:rPr>
                                      <w:t>裁布</w:t>
                                    </w:r>
                                  </w:p>
                                </w:txbxContent>
                              </wps:txbx>
                              <wps:bodyPr upright="1"/>
                            </wps:wsp>
                            <wps:wsp>
                              <wps:cNvPr id="14" name="直线 298"/>
                              <wps:cNvCnPr/>
                              <wps:spPr>
                                <a:xfrm flipV="1">
                                  <a:off x="855345" y="670560"/>
                                  <a:ext cx="260985" cy="635"/>
                                </a:xfrm>
                                <a:prstGeom prst="line">
                                  <a:avLst/>
                                </a:prstGeom>
                                <a:ln w="9525" cap="flat" cmpd="sng">
                                  <a:solidFill>
                                    <a:srgbClr val="000000"/>
                                  </a:solidFill>
                                  <a:prstDash val="solid"/>
                                  <a:headEnd type="none" w="med" len="med"/>
                                  <a:tailEnd type="triangle" w="med" len="med"/>
                                </a:ln>
                              </wps:spPr>
                              <wps:bodyPr upright="1"/>
                            </wps:wsp>
                            <wps:wsp>
                              <wps:cNvPr id="15" name="直线 299"/>
                              <wps:cNvCnPr/>
                              <wps:spPr>
                                <a:xfrm flipV="1">
                                  <a:off x="2414270" y="704850"/>
                                  <a:ext cx="260985" cy="635"/>
                                </a:xfrm>
                                <a:prstGeom prst="line">
                                  <a:avLst/>
                                </a:prstGeom>
                                <a:ln w="9525" cap="flat" cmpd="sng">
                                  <a:solidFill>
                                    <a:srgbClr val="000000"/>
                                  </a:solidFill>
                                  <a:prstDash val="solid"/>
                                  <a:headEnd type="none" w="med" len="med"/>
                                  <a:tailEnd type="triangle" w="med" len="med"/>
                                </a:ln>
                              </wps:spPr>
                              <wps:bodyPr upright="1"/>
                            </wps:wsp>
                            <wps:wsp>
                              <wps:cNvPr id="16" name="直线 300"/>
                              <wps:cNvCnPr/>
                              <wps:spPr>
                                <a:xfrm flipV="1">
                                  <a:off x="1600835" y="697230"/>
                                  <a:ext cx="250825" cy="635"/>
                                </a:xfrm>
                                <a:prstGeom prst="line">
                                  <a:avLst/>
                                </a:prstGeom>
                                <a:ln w="9525" cap="flat" cmpd="sng">
                                  <a:solidFill>
                                    <a:srgbClr val="000000"/>
                                  </a:solidFill>
                                  <a:prstDash val="solid"/>
                                  <a:headEnd type="none" w="med" len="med"/>
                                  <a:tailEnd type="triangle" w="med" len="med"/>
                                </a:ln>
                              </wps:spPr>
                              <wps:bodyPr upright="1"/>
                            </wps:wsp>
                            <wps:wsp>
                              <wps:cNvPr id="17" name="直线 301"/>
                              <wps:cNvCnPr/>
                              <wps:spPr>
                                <a:xfrm flipV="1">
                                  <a:off x="4855845" y="1677035"/>
                                  <a:ext cx="250825" cy="635"/>
                                </a:xfrm>
                                <a:prstGeom prst="line">
                                  <a:avLst/>
                                </a:prstGeom>
                                <a:ln w="9525" cap="flat" cmpd="sng">
                                  <a:solidFill>
                                    <a:srgbClr val="000000"/>
                                  </a:solidFill>
                                  <a:prstDash val="solid"/>
                                  <a:headEnd type="triangle" w="med" len="med"/>
                                  <a:tailEnd type="none" w="med" len="med"/>
                                </a:ln>
                              </wps:spPr>
                              <wps:bodyPr upright="1"/>
                            </wps:wsp>
                            <wps:wsp>
                              <wps:cNvPr id="18" name="矩形 302"/>
                              <wps:cNvSpPr/>
                              <wps:spPr>
                                <a:xfrm>
                                  <a:off x="1057910" y="0"/>
                                  <a:ext cx="721360" cy="266700"/>
                                </a:xfrm>
                                <a:prstGeom prst="rect">
                                  <a:avLst/>
                                </a:prstGeom>
                                <a:solidFill>
                                  <a:srgbClr val="FFFFFF"/>
                                </a:solidFill>
                                <a:ln>
                                  <a:noFill/>
                                </a:ln>
                              </wps:spPr>
                              <wps:txbx>
                                <w:txbxContent>
                                  <w:p w14:paraId="1D9DBDB0">
                                    <w:pPr>
                                      <w:jc w:val="center"/>
                                      <w:rPr>
                                        <w:rFonts w:hint="eastAsia" w:eastAsia="宋体"/>
                                        <w:sz w:val="18"/>
                                        <w:szCs w:val="18"/>
                                        <w:lang w:eastAsia="zh-CN"/>
                                      </w:rPr>
                                    </w:pPr>
                                    <w:r>
                                      <w:rPr>
                                        <w:rFonts w:hint="eastAsia"/>
                                        <w:sz w:val="18"/>
                                        <w:szCs w:val="18"/>
                                      </w:rPr>
                                      <w:t>噪声</w:t>
                                    </w:r>
                                    <w:r>
                                      <w:rPr>
                                        <w:rFonts w:hint="eastAsia"/>
                                        <w:sz w:val="18"/>
                                        <w:szCs w:val="18"/>
                                        <w:lang w:eastAsia="zh-CN"/>
                                      </w:rPr>
                                      <w:t>、固废</w:t>
                                    </w:r>
                                  </w:p>
                                </w:txbxContent>
                              </wps:txbx>
                              <wps:bodyPr upright="1"/>
                            </wps:wsp>
                            <wps:wsp>
                              <wps:cNvPr id="19" name="直线 303"/>
                              <wps:cNvCnPr/>
                              <wps:spPr>
                                <a:xfrm flipV="1">
                                  <a:off x="3713480" y="320676"/>
                                  <a:ext cx="0" cy="228600"/>
                                </a:xfrm>
                                <a:prstGeom prst="line">
                                  <a:avLst/>
                                </a:prstGeom>
                                <a:ln w="9525" cap="flat" cmpd="sng">
                                  <a:solidFill>
                                    <a:srgbClr val="000000"/>
                                  </a:solidFill>
                                  <a:prstDash val="dashDot"/>
                                  <a:headEnd type="none" w="med" len="med"/>
                                  <a:tailEnd type="triangle" w="med" len="med"/>
                                </a:ln>
                              </wps:spPr>
                              <wps:bodyPr upright="1"/>
                            </wps:wsp>
                            <wps:wsp>
                              <wps:cNvPr id="20" name="直线 304"/>
                              <wps:cNvCnPr/>
                              <wps:spPr>
                                <a:xfrm flipV="1">
                                  <a:off x="1353185" y="282576"/>
                                  <a:ext cx="0" cy="228600"/>
                                </a:xfrm>
                                <a:prstGeom prst="line">
                                  <a:avLst/>
                                </a:prstGeom>
                                <a:ln w="9525" cap="flat" cmpd="sng">
                                  <a:solidFill>
                                    <a:srgbClr val="000000"/>
                                  </a:solidFill>
                                  <a:prstDash val="dashDot"/>
                                  <a:headEnd type="none" w="med" len="med"/>
                                  <a:tailEnd type="triangle" w="med" len="med"/>
                                </a:ln>
                              </wps:spPr>
                              <wps:bodyPr upright="1"/>
                            </wps:wsp>
                            <wps:wsp>
                              <wps:cNvPr id="21" name="直线 305"/>
                              <wps:cNvCnPr/>
                              <wps:spPr>
                                <a:xfrm flipV="1">
                                  <a:off x="4504055" y="1819910"/>
                                  <a:ext cx="0" cy="228600"/>
                                </a:xfrm>
                                <a:prstGeom prst="line">
                                  <a:avLst/>
                                </a:prstGeom>
                                <a:ln w="9525" cap="flat" cmpd="sng">
                                  <a:solidFill>
                                    <a:srgbClr val="000000"/>
                                  </a:solidFill>
                                  <a:prstDash val="dashDot"/>
                                  <a:headEnd type="triangle" w="med" len="med"/>
                                  <a:tailEnd type="none" w="med" len="med"/>
                                </a:ln>
                              </wps:spPr>
                              <wps:bodyPr upright="1"/>
                            </wps:wsp>
                            <wps:wsp>
                              <wps:cNvPr id="22" name="矩形 306"/>
                              <wps:cNvSpPr/>
                              <wps:spPr>
                                <a:xfrm>
                                  <a:off x="3359785" y="36830"/>
                                  <a:ext cx="709295" cy="266700"/>
                                </a:xfrm>
                                <a:prstGeom prst="rect">
                                  <a:avLst/>
                                </a:prstGeom>
                                <a:solidFill>
                                  <a:srgbClr val="FFFFFF"/>
                                </a:solidFill>
                                <a:ln>
                                  <a:noFill/>
                                </a:ln>
                              </wps:spPr>
                              <wps:txbx>
                                <w:txbxContent>
                                  <w:p w14:paraId="1A00CCD0">
                                    <w:pPr>
                                      <w:rPr>
                                        <w:rFonts w:hint="eastAsia" w:eastAsia="宋体"/>
                                        <w:sz w:val="18"/>
                                        <w:szCs w:val="18"/>
                                        <w:lang w:eastAsia="zh-CN"/>
                                      </w:rPr>
                                    </w:pPr>
                                    <w:r>
                                      <w:rPr>
                                        <w:rFonts w:hint="eastAsia"/>
                                        <w:sz w:val="18"/>
                                        <w:szCs w:val="18"/>
                                        <w:lang w:eastAsia="zh-CN"/>
                                      </w:rPr>
                                      <w:t>噪声、废气</w:t>
                                    </w:r>
                                  </w:p>
                                </w:txbxContent>
                              </wps:txbx>
                              <wps:bodyPr upright="1"/>
                            </wps:wsp>
                            <wps:wsp>
                              <wps:cNvPr id="23" name="直线 307"/>
                              <wps:cNvCnPr/>
                              <wps:spPr>
                                <a:xfrm flipV="1">
                                  <a:off x="3214370" y="735330"/>
                                  <a:ext cx="260985" cy="635"/>
                                </a:xfrm>
                                <a:prstGeom prst="line">
                                  <a:avLst/>
                                </a:prstGeom>
                                <a:ln w="9525" cap="flat" cmpd="sng">
                                  <a:solidFill>
                                    <a:srgbClr val="000000"/>
                                  </a:solidFill>
                                  <a:prstDash val="solid"/>
                                  <a:headEnd type="none" w="med" len="med"/>
                                  <a:tailEnd type="triangle" w="med" len="med"/>
                                </a:ln>
                              </wps:spPr>
                              <wps:bodyPr upright="1"/>
                            </wps:wsp>
                            <wps:wsp>
                              <wps:cNvPr id="24" name="直线 308"/>
                              <wps:cNvCnPr/>
                              <wps:spPr>
                                <a:xfrm flipV="1">
                                  <a:off x="4551680" y="316866"/>
                                  <a:ext cx="0" cy="228600"/>
                                </a:xfrm>
                                <a:prstGeom prst="line">
                                  <a:avLst/>
                                </a:prstGeom>
                                <a:ln w="9525" cap="flat" cmpd="sng">
                                  <a:solidFill>
                                    <a:srgbClr val="000000"/>
                                  </a:solidFill>
                                  <a:prstDash val="dashDot"/>
                                  <a:headEnd type="none" w="med" len="med"/>
                                  <a:tailEnd type="triangle" w="med" len="med"/>
                                </a:ln>
                              </wps:spPr>
                              <wps:bodyPr upright="1"/>
                            </wps:wsp>
                            <wps:wsp>
                              <wps:cNvPr id="25" name="矩形 309"/>
                              <wps:cNvSpPr/>
                              <wps:spPr>
                                <a:xfrm>
                                  <a:off x="48260" y="518796"/>
                                  <a:ext cx="781050" cy="330201"/>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446118BA">
                                    <w:pPr>
                                      <w:jc w:val="center"/>
                                      <w:rPr>
                                        <w:rFonts w:hint="eastAsia" w:eastAsia="宋体"/>
                                        <w:szCs w:val="21"/>
                                        <w:lang w:eastAsia="zh-CN"/>
                                      </w:rPr>
                                    </w:pPr>
                                    <w:r>
                                      <w:rPr>
                                        <w:rFonts w:hint="eastAsia"/>
                                        <w:sz w:val="21"/>
                                        <w:szCs w:val="21"/>
                                        <w:lang w:eastAsia="zh-CN"/>
                                      </w:rPr>
                                      <w:t>碳纤维布</w:t>
                                    </w:r>
                                  </w:p>
                                </w:txbxContent>
                              </wps:txbx>
                              <wps:bodyPr upright="1"/>
                            </wps:wsp>
                            <wps:wsp>
                              <wps:cNvPr id="26" name="直线 310"/>
                              <wps:cNvCnPr/>
                              <wps:spPr>
                                <a:xfrm flipV="1">
                                  <a:off x="5332730" y="307341"/>
                                  <a:ext cx="0" cy="228600"/>
                                </a:xfrm>
                                <a:prstGeom prst="line">
                                  <a:avLst/>
                                </a:prstGeom>
                                <a:ln w="9525" cap="flat" cmpd="sng">
                                  <a:solidFill>
                                    <a:srgbClr val="000000"/>
                                  </a:solidFill>
                                  <a:prstDash val="dashDot"/>
                                  <a:headEnd type="none" w="med" len="med"/>
                                  <a:tailEnd type="triangle" w="med" len="med"/>
                                </a:ln>
                              </wps:spPr>
                              <wps:bodyPr upright="1"/>
                            </wps:wsp>
                            <wps:wsp>
                              <wps:cNvPr id="27" name="矩形 311"/>
                              <wps:cNvSpPr/>
                              <wps:spPr>
                                <a:xfrm>
                                  <a:off x="4306570" y="71120"/>
                                  <a:ext cx="505460" cy="266700"/>
                                </a:xfrm>
                                <a:prstGeom prst="rect">
                                  <a:avLst/>
                                </a:prstGeom>
                                <a:noFill/>
                                <a:ln>
                                  <a:noFill/>
                                </a:ln>
                              </wps:spPr>
                              <wps:txbx>
                                <w:txbxContent>
                                  <w:p w14:paraId="65792519">
                                    <w:pPr>
                                      <w:rPr>
                                        <w:rFonts w:hint="eastAsia" w:eastAsia="宋体"/>
                                        <w:sz w:val="18"/>
                                        <w:szCs w:val="18"/>
                                        <w:lang w:eastAsia="zh-CN"/>
                                      </w:rPr>
                                    </w:pPr>
                                    <w:r>
                                      <w:rPr>
                                        <w:rFonts w:hint="eastAsia"/>
                                        <w:sz w:val="18"/>
                                        <w:szCs w:val="18"/>
                                      </w:rPr>
                                      <w:t>噪声</w:t>
                                    </w:r>
                                  </w:p>
                                </w:txbxContent>
                              </wps:txbx>
                              <wps:bodyPr upright="1"/>
                            </wps:wsp>
                            <wps:wsp>
                              <wps:cNvPr id="28" name="直线 312"/>
                              <wps:cNvCnPr/>
                              <wps:spPr>
                                <a:xfrm flipV="1">
                                  <a:off x="5459730" y="922655"/>
                                  <a:ext cx="6985" cy="481965"/>
                                </a:xfrm>
                                <a:prstGeom prst="line">
                                  <a:avLst/>
                                </a:prstGeom>
                                <a:ln w="9525" cap="flat" cmpd="sng">
                                  <a:solidFill>
                                    <a:srgbClr val="000000"/>
                                  </a:solidFill>
                                  <a:prstDash val="solid"/>
                                  <a:headEnd type="triangle" w="med" len="med"/>
                                  <a:tailEnd type="none" w="med" len="med"/>
                                </a:ln>
                              </wps:spPr>
                              <wps:bodyPr upright="1"/>
                            </wps:wsp>
                            <wps:wsp>
                              <wps:cNvPr id="29" name="矩形 313"/>
                              <wps:cNvSpPr/>
                              <wps:spPr>
                                <a:xfrm>
                                  <a:off x="2094865" y="1046480"/>
                                  <a:ext cx="1120140" cy="266700"/>
                                </a:xfrm>
                                <a:prstGeom prst="rect">
                                  <a:avLst/>
                                </a:prstGeom>
                                <a:solidFill>
                                  <a:srgbClr val="FFFFFF"/>
                                </a:solidFill>
                                <a:ln>
                                  <a:noFill/>
                                </a:ln>
                              </wps:spPr>
                              <wps:txbx>
                                <w:txbxContent>
                                  <w:p w14:paraId="007D8A23">
                                    <w:pPr>
                                      <w:rPr>
                                        <w:rFonts w:hint="eastAsia" w:eastAsia="宋体"/>
                                        <w:sz w:val="18"/>
                                        <w:szCs w:val="18"/>
                                        <w:lang w:eastAsia="zh-CN"/>
                                      </w:rPr>
                                    </w:pPr>
                                    <w:r>
                                      <w:rPr>
                                        <w:rFonts w:hint="eastAsia"/>
                                        <w:sz w:val="18"/>
                                        <w:szCs w:val="18"/>
                                        <w:lang w:eastAsia="zh-CN"/>
                                      </w:rPr>
                                      <w:t>噪声、废气、漆渣</w:t>
                                    </w:r>
                                  </w:p>
                                </w:txbxContent>
                              </wps:txbx>
                              <wps:bodyPr upright="1"/>
                            </wps:wsp>
                            <wps:wsp>
                              <wps:cNvPr id="31" name="矩形 314"/>
                              <wps:cNvSpPr/>
                              <wps:spPr>
                                <a:xfrm>
                                  <a:off x="3493770" y="570230"/>
                                  <a:ext cx="524510" cy="317501"/>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3E4ACD6A">
                                    <w:pPr>
                                      <w:rPr>
                                        <w:rFonts w:hint="eastAsia" w:eastAsia="宋体"/>
                                        <w:sz w:val="21"/>
                                        <w:szCs w:val="21"/>
                                        <w:lang w:eastAsia="zh-CN"/>
                                      </w:rPr>
                                    </w:pPr>
                                    <w:r>
                                      <w:rPr>
                                        <w:rFonts w:hint="eastAsia"/>
                                        <w:sz w:val="21"/>
                                        <w:szCs w:val="21"/>
                                        <w:lang w:eastAsia="zh-CN"/>
                                      </w:rPr>
                                      <w:t>固化</w:t>
                                    </w:r>
                                  </w:p>
                                </w:txbxContent>
                              </wps:txbx>
                              <wps:bodyPr upright="1"/>
                            </wps:wsp>
                            <wps:wsp>
                              <wps:cNvPr id="32" name="直线 315"/>
                              <wps:cNvCnPr/>
                              <wps:spPr>
                                <a:xfrm>
                                  <a:off x="4008755" y="1684655"/>
                                  <a:ext cx="279400" cy="8890"/>
                                </a:xfrm>
                                <a:prstGeom prst="line">
                                  <a:avLst/>
                                </a:prstGeom>
                                <a:ln w="9525" cap="flat" cmpd="sng">
                                  <a:solidFill>
                                    <a:srgbClr val="000000"/>
                                  </a:solidFill>
                                  <a:prstDash val="solid"/>
                                  <a:headEnd type="triangle" w="med" len="med"/>
                                  <a:tailEnd type="none" w="med" len="med"/>
                                </a:ln>
                              </wps:spPr>
                              <wps:bodyPr upright="1"/>
                            </wps:wsp>
                            <wps:wsp>
                              <wps:cNvPr id="33" name="矩形 316"/>
                              <wps:cNvSpPr/>
                              <wps:spPr>
                                <a:xfrm>
                                  <a:off x="2675255" y="560706"/>
                                  <a:ext cx="520700" cy="317501"/>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2E4F3010">
                                    <w:pPr>
                                      <w:rPr>
                                        <w:rFonts w:hint="eastAsia" w:eastAsia="宋体"/>
                                        <w:sz w:val="21"/>
                                        <w:szCs w:val="21"/>
                                        <w:lang w:eastAsia="zh-CN"/>
                                      </w:rPr>
                                    </w:pPr>
                                    <w:r>
                                      <w:rPr>
                                        <w:rFonts w:hint="eastAsia"/>
                                        <w:sz w:val="21"/>
                                        <w:szCs w:val="21"/>
                                        <w:lang w:eastAsia="zh-CN"/>
                                      </w:rPr>
                                      <w:t>缠带</w:t>
                                    </w:r>
                                  </w:p>
                                </w:txbxContent>
                              </wps:txbx>
                              <wps:bodyPr upright="1"/>
                            </wps:wsp>
                            <wps:wsp>
                              <wps:cNvPr id="34" name="直线 317"/>
                              <wps:cNvCnPr/>
                              <wps:spPr>
                                <a:xfrm flipV="1">
                                  <a:off x="3246755" y="1722120"/>
                                  <a:ext cx="269875" cy="635"/>
                                </a:xfrm>
                                <a:prstGeom prst="line">
                                  <a:avLst/>
                                </a:prstGeom>
                                <a:ln w="9525" cap="flat" cmpd="sng">
                                  <a:solidFill>
                                    <a:srgbClr val="000000"/>
                                  </a:solidFill>
                                  <a:prstDash val="solid"/>
                                  <a:headEnd type="triangle" w="med" len="med"/>
                                  <a:tailEnd type="none" w="med" len="med"/>
                                </a:ln>
                              </wps:spPr>
                              <wps:bodyPr upright="1"/>
                            </wps:wsp>
                            <wps:wsp>
                              <wps:cNvPr id="35" name="矩形 318"/>
                              <wps:cNvSpPr/>
                              <wps:spPr>
                                <a:xfrm>
                                  <a:off x="1875155" y="541656"/>
                                  <a:ext cx="520700" cy="317501"/>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654870FF">
                                    <w:pPr>
                                      <w:rPr>
                                        <w:rFonts w:hint="eastAsia" w:eastAsia="宋体"/>
                                        <w:sz w:val="21"/>
                                        <w:szCs w:val="21"/>
                                        <w:lang w:eastAsia="zh-CN"/>
                                      </w:rPr>
                                    </w:pPr>
                                    <w:r>
                                      <w:rPr>
                                        <w:rFonts w:hint="eastAsia"/>
                                        <w:sz w:val="21"/>
                                        <w:szCs w:val="21"/>
                                        <w:lang w:eastAsia="zh-CN"/>
                                      </w:rPr>
                                      <w:t>卷管</w:t>
                                    </w:r>
                                  </w:p>
                                </w:txbxContent>
                              </wps:txbx>
                              <wps:bodyPr upright="1"/>
                            </wps:wsp>
                            <wps:wsp>
                              <wps:cNvPr id="36" name="直线 319"/>
                              <wps:cNvCnPr/>
                              <wps:spPr>
                                <a:xfrm flipV="1">
                                  <a:off x="4037330" y="713105"/>
                                  <a:ext cx="254000" cy="0"/>
                                </a:xfrm>
                                <a:prstGeom prst="line">
                                  <a:avLst/>
                                </a:prstGeom>
                                <a:ln w="9525" cap="flat" cmpd="sng">
                                  <a:solidFill>
                                    <a:srgbClr val="000000"/>
                                  </a:solidFill>
                                  <a:prstDash val="solid"/>
                                  <a:headEnd type="none" w="med" len="med"/>
                                  <a:tailEnd type="triangle" w="med" len="med"/>
                                </a:ln>
                              </wps:spPr>
                              <wps:bodyPr upright="1"/>
                            </wps:wsp>
                            <wps:wsp>
                              <wps:cNvPr id="37" name="矩形 320"/>
                              <wps:cNvSpPr/>
                              <wps:spPr>
                                <a:xfrm>
                                  <a:off x="5113655" y="1522730"/>
                                  <a:ext cx="52070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24DCC2F9">
                                    <w:pPr>
                                      <w:rPr>
                                        <w:rFonts w:hint="eastAsia" w:eastAsia="宋体"/>
                                        <w:sz w:val="21"/>
                                        <w:szCs w:val="21"/>
                                        <w:lang w:eastAsia="zh-CN"/>
                                      </w:rPr>
                                    </w:pPr>
                                    <w:r>
                                      <w:rPr>
                                        <w:rFonts w:hint="eastAsia"/>
                                        <w:sz w:val="21"/>
                                        <w:szCs w:val="21"/>
                                        <w:lang w:eastAsia="zh-CN"/>
                                      </w:rPr>
                                      <w:t>切断</w:t>
                                    </w:r>
                                  </w:p>
                                </w:txbxContent>
                              </wps:txbx>
                              <wps:bodyPr upright="1"/>
                            </wps:wsp>
                            <wps:wsp>
                              <wps:cNvPr id="38" name="矩形 321"/>
                              <wps:cNvSpPr/>
                              <wps:spPr>
                                <a:xfrm>
                                  <a:off x="5094605" y="589280"/>
                                  <a:ext cx="520700" cy="317501"/>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049E2199">
                                    <w:pPr>
                                      <w:rPr>
                                        <w:rFonts w:hint="eastAsia" w:eastAsia="宋体"/>
                                        <w:sz w:val="21"/>
                                        <w:szCs w:val="21"/>
                                        <w:lang w:eastAsia="zh-CN"/>
                                      </w:rPr>
                                    </w:pPr>
                                    <w:r>
                                      <w:rPr>
                                        <w:rFonts w:hint="eastAsia"/>
                                        <w:sz w:val="21"/>
                                        <w:szCs w:val="21"/>
                                        <w:lang w:eastAsia="zh-CN"/>
                                      </w:rPr>
                                      <w:t>扒带</w:t>
                                    </w:r>
                                  </w:p>
                                </w:txbxContent>
                              </wps:txbx>
                              <wps:bodyPr upright="1"/>
                            </wps:wsp>
                            <wps:wsp>
                              <wps:cNvPr id="39" name="矩形 322"/>
                              <wps:cNvSpPr/>
                              <wps:spPr>
                                <a:xfrm>
                                  <a:off x="4294505" y="560705"/>
                                  <a:ext cx="520700" cy="317501"/>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2315D11A">
                                    <w:pPr>
                                      <w:rPr>
                                        <w:rFonts w:hint="eastAsia" w:eastAsia="宋体"/>
                                        <w:sz w:val="21"/>
                                        <w:szCs w:val="21"/>
                                        <w:lang w:eastAsia="zh-CN"/>
                                      </w:rPr>
                                    </w:pPr>
                                    <w:r>
                                      <w:rPr>
                                        <w:rFonts w:hint="eastAsia"/>
                                        <w:sz w:val="21"/>
                                        <w:szCs w:val="21"/>
                                        <w:lang w:eastAsia="zh-CN"/>
                                      </w:rPr>
                                      <w:t>脱芯</w:t>
                                    </w:r>
                                  </w:p>
                                </w:txbxContent>
                              </wps:txbx>
                              <wps:bodyPr upright="1"/>
                            </wps:wsp>
                            <wps:wsp>
                              <wps:cNvPr id="40" name="直线 323"/>
                              <wps:cNvCnPr/>
                              <wps:spPr>
                                <a:xfrm flipV="1">
                                  <a:off x="4827905" y="741680"/>
                                  <a:ext cx="254000" cy="0"/>
                                </a:xfrm>
                                <a:prstGeom prst="line">
                                  <a:avLst/>
                                </a:prstGeom>
                                <a:ln w="9525" cap="flat" cmpd="sng">
                                  <a:solidFill>
                                    <a:srgbClr val="000000"/>
                                  </a:solidFill>
                                  <a:prstDash val="solid"/>
                                  <a:headEnd type="none" w="med" len="med"/>
                                  <a:tailEnd type="triangle" w="med" len="med"/>
                                </a:ln>
                              </wps:spPr>
                              <wps:bodyPr upright="1"/>
                            </wps:wsp>
                            <wps:wsp>
                              <wps:cNvPr id="41" name="直线 324"/>
                              <wps:cNvCnPr/>
                              <wps:spPr>
                                <a:xfrm flipV="1">
                                  <a:off x="2941955" y="303531"/>
                                  <a:ext cx="0" cy="228600"/>
                                </a:xfrm>
                                <a:prstGeom prst="line">
                                  <a:avLst/>
                                </a:prstGeom>
                                <a:ln w="9525" cap="flat" cmpd="sng">
                                  <a:solidFill>
                                    <a:srgbClr val="000000"/>
                                  </a:solidFill>
                                  <a:prstDash val="dashDot"/>
                                  <a:headEnd type="none" w="med" len="med"/>
                                  <a:tailEnd type="triangle" w="med" len="med"/>
                                </a:ln>
                              </wps:spPr>
                              <wps:bodyPr upright="1"/>
                            </wps:wsp>
                            <wps:wsp>
                              <wps:cNvPr id="42" name="直线 325"/>
                              <wps:cNvCnPr/>
                              <wps:spPr>
                                <a:xfrm flipV="1">
                                  <a:off x="4513580" y="1265555"/>
                                  <a:ext cx="0" cy="228600"/>
                                </a:xfrm>
                                <a:prstGeom prst="line">
                                  <a:avLst/>
                                </a:prstGeom>
                                <a:ln w="9525" cap="flat" cmpd="sng">
                                  <a:solidFill>
                                    <a:srgbClr val="000000"/>
                                  </a:solidFill>
                                  <a:prstDash val="dashDot"/>
                                  <a:headEnd type="none" w="med" len="med"/>
                                  <a:tailEnd type="triangle" w="med" len="med"/>
                                </a:ln>
                              </wps:spPr>
                              <wps:bodyPr upright="1"/>
                            </wps:wsp>
                            <wps:wsp>
                              <wps:cNvPr id="43" name="矩形 326"/>
                              <wps:cNvSpPr/>
                              <wps:spPr>
                                <a:xfrm>
                                  <a:off x="2570480" y="36830"/>
                                  <a:ext cx="723900" cy="266700"/>
                                </a:xfrm>
                                <a:prstGeom prst="rect">
                                  <a:avLst/>
                                </a:prstGeom>
                                <a:noFill/>
                                <a:ln>
                                  <a:noFill/>
                                </a:ln>
                              </wps:spPr>
                              <wps:txbx>
                                <w:txbxContent>
                                  <w:p w14:paraId="731EADDB">
                                    <w:pPr>
                                      <w:rPr>
                                        <w:rFonts w:hint="eastAsia" w:eastAsia="宋体"/>
                                        <w:sz w:val="18"/>
                                        <w:szCs w:val="18"/>
                                        <w:lang w:eastAsia="zh-CN"/>
                                      </w:rPr>
                                    </w:pPr>
                                    <w:r>
                                      <w:rPr>
                                        <w:rFonts w:hint="eastAsia"/>
                                        <w:sz w:val="18"/>
                                        <w:szCs w:val="18"/>
                                      </w:rPr>
                                      <w:t>噪声</w:t>
                                    </w:r>
                                    <w:r>
                                      <w:rPr>
                                        <w:rFonts w:hint="eastAsia"/>
                                        <w:sz w:val="18"/>
                                        <w:szCs w:val="18"/>
                                        <w:lang w:eastAsia="zh-CN"/>
                                      </w:rPr>
                                      <w:t>、固废</w:t>
                                    </w:r>
                                  </w:p>
                                </w:txbxContent>
                              </wps:txbx>
                              <wps:bodyPr upright="1"/>
                            </wps:wsp>
                            <wps:wsp>
                              <wps:cNvPr id="44" name="矩形 327"/>
                              <wps:cNvSpPr/>
                              <wps:spPr>
                                <a:xfrm>
                                  <a:off x="1922780" y="9525"/>
                                  <a:ext cx="495300" cy="266700"/>
                                </a:xfrm>
                                <a:prstGeom prst="rect">
                                  <a:avLst/>
                                </a:prstGeom>
                                <a:noFill/>
                                <a:ln>
                                  <a:noFill/>
                                </a:ln>
                              </wps:spPr>
                              <wps:txbx>
                                <w:txbxContent>
                                  <w:p w14:paraId="1E95BEC4">
                                    <w:pPr>
                                      <w:rPr>
                                        <w:rFonts w:hint="eastAsia" w:eastAsia="宋体"/>
                                        <w:sz w:val="18"/>
                                        <w:szCs w:val="18"/>
                                        <w:lang w:eastAsia="zh-CN"/>
                                      </w:rPr>
                                    </w:pPr>
                                    <w:r>
                                      <w:rPr>
                                        <w:rFonts w:hint="eastAsia"/>
                                        <w:sz w:val="18"/>
                                        <w:szCs w:val="18"/>
                                      </w:rPr>
                                      <w:t>噪声</w:t>
                                    </w:r>
                                  </w:p>
                                </w:txbxContent>
                              </wps:txbx>
                              <wps:bodyPr upright="1"/>
                            </wps:wsp>
                            <wps:wsp>
                              <wps:cNvPr id="45" name="矩形 328"/>
                              <wps:cNvSpPr/>
                              <wps:spPr>
                                <a:xfrm>
                                  <a:off x="4980305" y="46355"/>
                                  <a:ext cx="711200" cy="266700"/>
                                </a:xfrm>
                                <a:prstGeom prst="rect">
                                  <a:avLst/>
                                </a:prstGeom>
                                <a:solidFill>
                                  <a:srgbClr val="FFFFFF"/>
                                </a:solidFill>
                                <a:ln>
                                  <a:noFill/>
                                </a:ln>
                              </wps:spPr>
                              <wps:txbx>
                                <w:txbxContent>
                                  <w:p w14:paraId="6F976007">
                                    <w:pPr>
                                      <w:jc w:val="center"/>
                                      <w:rPr>
                                        <w:rFonts w:hint="eastAsia" w:eastAsia="宋体"/>
                                        <w:sz w:val="18"/>
                                        <w:szCs w:val="18"/>
                                        <w:lang w:eastAsia="zh-CN"/>
                                      </w:rPr>
                                    </w:pPr>
                                    <w:r>
                                      <w:rPr>
                                        <w:rFonts w:hint="eastAsia"/>
                                        <w:sz w:val="18"/>
                                        <w:szCs w:val="18"/>
                                        <w:lang w:eastAsia="zh-CN"/>
                                      </w:rPr>
                                      <w:t>噪声、固废</w:t>
                                    </w:r>
                                  </w:p>
                                </w:txbxContent>
                              </wps:txbx>
                              <wps:bodyPr upright="1"/>
                            </wps:wsp>
                            <wps:wsp>
                              <wps:cNvPr id="46" name="直线 329"/>
                              <wps:cNvCnPr/>
                              <wps:spPr>
                                <a:xfrm flipV="1">
                                  <a:off x="5199380" y="1275080"/>
                                  <a:ext cx="0" cy="228600"/>
                                </a:xfrm>
                                <a:prstGeom prst="line">
                                  <a:avLst/>
                                </a:prstGeom>
                                <a:ln w="9525" cap="flat" cmpd="sng">
                                  <a:solidFill>
                                    <a:srgbClr val="000000"/>
                                  </a:solidFill>
                                  <a:prstDash val="dashDot"/>
                                  <a:headEnd type="none" w="med" len="med"/>
                                  <a:tailEnd type="triangle" w="med" len="med"/>
                                </a:ln>
                              </wps:spPr>
                              <wps:bodyPr upright="1"/>
                            </wps:wsp>
                            <wps:wsp>
                              <wps:cNvPr id="48" name="矩形 330"/>
                              <wps:cNvSpPr/>
                              <wps:spPr>
                                <a:xfrm>
                                  <a:off x="4761230" y="1056005"/>
                                  <a:ext cx="711200" cy="266700"/>
                                </a:xfrm>
                                <a:prstGeom prst="rect">
                                  <a:avLst/>
                                </a:prstGeom>
                                <a:noFill/>
                                <a:ln>
                                  <a:noFill/>
                                </a:ln>
                              </wps:spPr>
                              <wps:txbx>
                                <w:txbxContent>
                                  <w:p w14:paraId="64AB18D4">
                                    <w:pPr>
                                      <w:jc w:val="center"/>
                                      <w:rPr>
                                        <w:rFonts w:hint="eastAsia" w:eastAsia="宋体"/>
                                        <w:sz w:val="18"/>
                                        <w:szCs w:val="18"/>
                                        <w:lang w:eastAsia="zh-CN"/>
                                      </w:rPr>
                                    </w:pPr>
                                    <w:r>
                                      <w:rPr>
                                        <w:rFonts w:hint="eastAsia"/>
                                        <w:sz w:val="18"/>
                                        <w:szCs w:val="18"/>
                                      </w:rPr>
                                      <w:t>噪声</w:t>
                                    </w:r>
                                    <w:r>
                                      <w:rPr>
                                        <w:rFonts w:hint="eastAsia"/>
                                        <w:sz w:val="18"/>
                                        <w:szCs w:val="18"/>
                                        <w:lang w:eastAsia="zh-CN"/>
                                      </w:rPr>
                                      <w:t>、固废</w:t>
                                    </w:r>
                                  </w:p>
                                </w:txbxContent>
                              </wps:txbx>
                              <wps:bodyPr upright="1"/>
                            </wps:wsp>
                            <wps:wsp>
                              <wps:cNvPr id="49" name="矩形 331"/>
                              <wps:cNvSpPr/>
                              <wps:spPr>
                                <a:xfrm>
                                  <a:off x="4313555" y="1522730"/>
                                  <a:ext cx="52070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68845D06">
                                    <w:pPr>
                                      <w:rPr>
                                        <w:rFonts w:hint="eastAsia" w:eastAsia="宋体"/>
                                        <w:sz w:val="21"/>
                                        <w:szCs w:val="21"/>
                                        <w:lang w:eastAsia="zh-CN"/>
                                      </w:rPr>
                                    </w:pPr>
                                    <w:r>
                                      <w:rPr>
                                        <w:rFonts w:hint="eastAsia"/>
                                        <w:sz w:val="21"/>
                                        <w:szCs w:val="21"/>
                                        <w:lang w:eastAsia="zh-CN"/>
                                      </w:rPr>
                                      <w:t>精磨</w:t>
                                    </w:r>
                                  </w:p>
                                </w:txbxContent>
                              </wps:txbx>
                              <wps:bodyPr upright="1"/>
                            </wps:wsp>
                            <wps:wsp>
                              <wps:cNvPr id="50" name="矩形 332"/>
                              <wps:cNvSpPr/>
                              <wps:spPr>
                                <a:xfrm>
                                  <a:off x="4275455" y="1046480"/>
                                  <a:ext cx="495300" cy="266700"/>
                                </a:xfrm>
                                <a:prstGeom prst="rect">
                                  <a:avLst/>
                                </a:prstGeom>
                                <a:noFill/>
                                <a:ln>
                                  <a:noFill/>
                                </a:ln>
                              </wps:spPr>
                              <wps:txbx>
                                <w:txbxContent>
                                  <w:p w14:paraId="14009869">
                                    <w:pPr>
                                      <w:rPr>
                                        <w:rFonts w:hint="eastAsia" w:eastAsia="宋体"/>
                                        <w:sz w:val="18"/>
                                        <w:szCs w:val="18"/>
                                        <w:lang w:eastAsia="zh-CN"/>
                                      </w:rPr>
                                    </w:pPr>
                                    <w:r>
                                      <w:rPr>
                                        <w:rFonts w:hint="eastAsia"/>
                                        <w:sz w:val="18"/>
                                        <w:szCs w:val="18"/>
                                      </w:rPr>
                                      <w:t>噪声</w:t>
                                    </w:r>
                                  </w:p>
                                </w:txbxContent>
                              </wps:txbx>
                              <wps:bodyPr upright="1"/>
                            </wps:wsp>
                            <wps:wsp>
                              <wps:cNvPr id="51" name="矩形 333"/>
                              <wps:cNvSpPr/>
                              <wps:spPr>
                                <a:xfrm>
                                  <a:off x="3494405" y="1522730"/>
                                  <a:ext cx="484505"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557938E4">
                                    <w:pPr>
                                      <w:rPr>
                                        <w:rFonts w:hint="eastAsia" w:eastAsia="宋体"/>
                                        <w:sz w:val="21"/>
                                        <w:szCs w:val="21"/>
                                        <w:lang w:eastAsia="zh-CN"/>
                                      </w:rPr>
                                    </w:pPr>
                                    <w:r>
                                      <w:rPr>
                                        <w:rFonts w:hint="eastAsia"/>
                                        <w:sz w:val="21"/>
                                        <w:szCs w:val="21"/>
                                        <w:lang w:eastAsia="zh-CN"/>
                                      </w:rPr>
                                      <w:t>水磨</w:t>
                                    </w:r>
                                  </w:p>
                                </w:txbxContent>
                              </wps:txbx>
                              <wps:bodyPr upright="1"/>
                            </wps:wsp>
                            <wps:wsp>
                              <wps:cNvPr id="52" name="直线 334"/>
                              <wps:cNvCnPr/>
                              <wps:spPr>
                                <a:xfrm flipV="1">
                                  <a:off x="4665980" y="1846580"/>
                                  <a:ext cx="0" cy="228600"/>
                                </a:xfrm>
                                <a:prstGeom prst="line">
                                  <a:avLst/>
                                </a:prstGeom>
                                <a:ln w="9525" cap="flat" cmpd="sng">
                                  <a:solidFill>
                                    <a:srgbClr val="000000"/>
                                  </a:solidFill>
                                  <a:prstDash val="dashDot"/>
                                  <a:headEnd type="none" w="med" len="med"/>
                                  <a:tailEnd type="triangle" w="med" len="med"/>
                                </a:ln>
                              </wps:spPr>
                              <wps:bodyPr upright="1"/>
                            </wps:wsp>
                            <wps:wsp>
                              <wps:cNvPr id="53" name="矩形 335"/>
                              <wps:cNvSpPr/>
                              <wps:spPr>
                                <a:xfrm>
                                  <a:off x="4265930" y="2037080"/>
                                  <a:ext cx="711200" cy="266700"/>
                                </a:xfrm>
                                <a:prstGeom prst="rect">
                                  <a:avLst/>
                                </a:prstGeom>
                                <a:solidFill>
                                  <a:srgbClr val="FFFFFF"/>
                                </a:solidFill>
                                <a:ln>
                                  <a:noFill/>
                                </a:ln>
                              </wps:spPr>
                              <wps:txbx>
                                <w:txbxContent>
                                  <w:p w14:paraId="15237039">
                                    <w:pPr>
                                      <w:jc w:val="center"/>
                                      <w:rPr>
                                        <w:rFonts w:hint="eastAsia" w:eastAsia="宋体"/>
                                        <w:sz w:val="18"/>
                                        <w:szCs w:val="18"/>
                                        <w:lang w:eastAsia="zh-CN"/>
                                      </w:rPr>
                                    </w:pPr>
                                    <w:r>
                                      <w:rPr>
                                        <w:rFonts w:hint="eastAsia"/>
                                        <w:sz w:val="18"/>
                                        <w:szCs w:val="18"/>
                                        <w:lang w:eastAsia="zh-CN"/>
                                      </w:rPr>
                                      <w:t>水循环</w:t>
                                    </w:r>
                                  </w:p>
                                </w:txbxContent>
                              </wps:txbx>
                              <wps:bodyPr upright="1"/>
                            </wps:wsp>
                            <wps:wsp>
                              <wps:cNvPr id="54" name="矩形 336"/>
                              <wps:cNvSpPr/>
                              <wps:spPr>
                                <a:xfrm>
                                  <a:off x="2751455" y="1532255"/>
                                  <a:ext cx="501015"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1744CF63">
                                    <w:pPr>
                                      <w:rPr>
                                        <w:rFonts w:hint="eastAsia" w:eastAsia="宋体"/>
                                        <w:sz w:val="21"/>
                                        <w:szCs w:val="21"/>
                                        <w:lang w:eastAsia="zh-CN"/>
                                      </w:rPr>
                                    </w:pPr>
                                    <w:r>
                                      <w:rPr>
                                        <w:rFonts w:hint="eastAsia"/>
                                        <w:sz w:val="21"/>
                                        <w:szCs w:val="21"/>
                                        <w:lang w:eastAsia="zh-CN"/>
                                      </w:rPr>
                                      <w:t>拉漆</w:t>
                                    </w:r>
                                  </w:p>
                                </w:txbxContent>
                              </wps:txbx>
                              <wps:bodyPr upright="1"/>
                            </wps:wsp>
                            <wps:wsp>
                              <wps:cNvPr id="55" name="直线 337"/>
                              <wps:cNvCnPr/>
                              <wps:spPr>
                                <a:xfrm flipV="1">
                                  <a:off x="2488565" y="1704975"/>
                                  <a:ext cx="279400" cy="635"/>
                                </a:xfrm>
                                <a:prstGeom prst="line">
                                  <a:avLst/>
                                </a:prstGeom>
                                <a:ln w="9525" cap="flat" cmpd="sng">
                                  <a:solidFill>
                                    <a:srgbClr val="000000"/>
                                  </a:solidFill>
                                  <a:prstDash val="solid"/>
                                  <a:headEnd type="triangle" w="med" len="med"/>
                                  <a:tailEnd type="none" w="med" len="med"/>
                                </a:ln>
                              </wps:spPr>
                              <wps:bodyPr upright="1"/>
                            </wps:wsp>
                            <wps:wsp>
                              <wps:cNvPr id="56" name="矩形 338"/>
                              <wps:cNvSpPr/>
                              <wps:spPr>
                                <a:xfrm>
                                  <a:off x="1998980" y="1532255"/>
                                  <a:ext cx="50038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5FA0EFB2">
                                    <w:pPr>
                                      <w:rPr>
                                        <w:rFonts w:hint="eastAsia" w:eastAsia="宋体"/>
                                        <w:sz w:val="21"/>
                                        <w:szCs w:val="21"/>
                                        <w:lang w:eastAsia="zh-CN"/>
                                      </w:rPr>
                                    </w:pPr>
                                    <w:r>
                                      <w:rPr>
                                        <w:rFonts w:hint="eastAsia"/>
                                        <w:sz w:val="21"/>
                                        <w:szCs w:val="21"/>
                                        <w:lang w:eastAsia="zh-CN"/>
                                      </w:rPr>
                                      <w:t>喷漆</w:t>
                                    </w:r>
                                  </w:p>
                                </w:txbxContent>
                              </wps:txbx>
                              <wps:bodyPr upright="1"/>
                            </wps:wsp>
                            <wps:wsp>
                              <wps:cNvPr id="57" name="直线 339"/>
                              <wps:cNvCnPr/>
                              <wps:spPr>
                                <a:xfrm flipV="1">
                                  <a:off x="1722755" y="1712595"/>
                                  <a:ext cx="288925" cy="635"/>
                                </a:xfrm>
                                <a:prstGeom prst="line">
                                  <a:avLst/>
                                </a:prstGeom>
                                <a:ln w="9525" cap="flat" cmpd="sng">
                                  <a:solidFill>
                                    <a:srgbClr val="000000"/>
                                  </a:solidFill>
                                  <a:prstDash val="solid"/>
                                  <a:headEnd type="triangle" w="med" len="med"/>
                                  <a:tailEnd type="none" w="med" len="med"/>
                                </a:ln>
                              </wps:spPr>
                              <wps:bodyPr upright="1"/>
                            </wps:wsp>
                            <wps:wsp>
                              <wps:cNvPr id="58" name="直线 341"/>
                              <wps:cNvCnPr/>
                              <wps:spPr>
                                <a:xfrm flipV="1">
                                  <a:off x="2322830" y="1856105"/>
                                  <a:ext cx="0" cy="228600"/>
                                </a:xfrm>
                                <a:prstGeom prst="line">
                                  <a:avLst/>
                                </a:prstGeom>
                                <a:ln w="9525" cap="flat" cmpd="sng">
                                  <a:solidFill>
                                    <a:srgbClr val="000000"/>
                                  </a:solidFill>
                                  <a:prstDash val="dashDot"/>
                                  <a:headEnd type="none" w="med" len="med"/>
                                  <a:tailEnd type="triangle" w="med" len="med"/>
                                </a:ln>
                              </wps:spPr>
                              <wps:bodyPr upright="1"/>
                            </wps:wsp>
                            <wps:wsp>
                              <wps:cNvPr id="59" name="直线 342"/>
                              <wps:cNvCnPr/>
                              <wps:spPr>
                                <a:xfrm flipV="1">
                                  <a:off x="1503680" y="1265555"/>
                                  <a:ext cx="0" cy="228600"/>
                                </a:xfrm>
                                <a:prstGeom prst="line">
                                  <a:avLst/>
                                </a:prstGeom>
                                <a:ln w="9525" cap="flat" cmpd="sng">
                                  <a:solidFill>
                                    <a:srgbClr val="000000"/>
                                  </a:solidFill>
                                  <a:prstDash val="dashDot"/>
                                  <a:headEnd type="none" w="med" len="med"/>
                                  <a:tailEnd type="triangle" w="med" len="med"/>
                                </a:ln>
                              </wps:spPr>
                              <wps:bodyPr upright="1"/>
                            </wps:wsp>
                            <wps:wsp>
                              <wps:cNvPr id="60" name="直线 343"/>
                              <wps:cNvCnPr/>
                              <wps:spPr>
                                <a:xfrm flipV="1">
                                  <a:off x="3694430" y="1275080"/>
                                  <a:ext cx="0" cy="228600"/>
                                </a:xfrm>
                                <a:prstGeom prst="line">
                                  <a:avLst/>
                                </a:prstGeom>
                                <a:ln w="9525" cap="flat" cmpd="sng">
                                  <a:solidFill>
                                    <a:srgbClr val="000000"/>
                                  </a:solidFill>
                                  <a:prstDash val="dashDot"/>
                                  <a:headEnd type="none" w="med" len="med"/>
                                  <a:tailEnd type="triangle" w="med" len="med"/>
                                </a:ln>
                              </wps:spPr>
                              <wps:bodyPr upright="1"/>
                            </wps:wsp>
                            <wps:wsp>
                              <wps:cNvPr id="61" name="直线 344"/>
                              <wps:cNvCnPr/>
                              <wps:spPr>
                                <a:xfrm flipV="1">
                                  <a:off x="2951480" y="1294130"/>
                                  <a:ext cx="0" cy="228600"/>
                                </a:xfrm>
                                <a:prstGeom prst="line">
                                  <a:avLst/>
                                </a:prstGeom>
                                <a:ln w="9525" cap="flat" cmpd="sng">
                                  <a:solidFill>
                                    <a:srgbClr val="000000"/>
                                  </a:solidFill>
                                  <a:prstDash val="dashDot"/>
                                  <a:headEnd type="none" w="med" len="med"/>
                                  <a:tailEnd type="triangle" w="med" len="med"/>
                                </a:ln>
                              </wps:spPr>
                              <wps:bodyPr upright="1"/>
                            </wps:wsp>
                            <wps:wsp>
                              <wps:cNvPr id="72" name="矩形 346"/>
                              <wps:cNvSpPr/>
                              <wps:spPr>
                                <a:xfrm>
                                  <a:off x="3494405" y="1046480"/>
                                  <a:ext cx="460375" cy="266700"/>
                                </a:xfrm>
                                <a:prstGeom prst="rect">
                                  <a:avLst/>
                                </a:prstGeom>
                                <a:noFill/>
                                <a:ln>
                                  <a:noFill/>
                                </a:ln>
                              </wps:spPr>
                              <wps:txbx>
                                <w:txbxContent>
                                  <w:p w14:paraId="2437BFD7">
                                    <w:pPr>
                                      <w:rPr>
                                        <w:rFonts w:hint="eastAsia" w:eastAsia="宋体"/>
                                        <w:sz w:val="18"/>
                                        <w:szCs w:val="18"/>
                                        <w:lang w:eastAsia="zh-CN"/>
                                      </w:rPr>
                                    </w:pPr>
                                    <w:r>
                                      <w:rPr>
                                        <w:rFonts w:hint="eastAsia"/>
                                        <w:sz w:val="18"/>
                                        <w:szCs w:val="18"/>
                                        <w:lang w:eastAsia="zh-CN"/>
                                      </w:rPr>
                                      <w:t>噪声</w:t>
                                    </w:r>
                                  </w:p>
                                </w:txbxContent>
                              </wps:txbx>
                              <wps:bodyPr upright="1"/>
                            </wps:wsp>
                            <wps:wsp>
                              <wps:cNvPr id="80" name="直线 347"/>
                              <wps:cNvCnPr/>
                              <wps:spPr>
                                <a:xfrm flipV="1">
                                  <a:off x="941705" y="1703705"/>
                                  <a:ext cx="279400" cy="0"/>
                                </a:xfrm>
                                <a:prstGeom prst="line">
                                  <a:avLst/>
                                </a:prstGeom>
                                <a:ln w="9525" cap="flat" cmpd="sng">
                                  <a:solidFill>
                                    <a:srgbClr val="000000"/>
                                  </a:solidFill>
                                  <a:prstDash val="solid"/>
                                  <a:headEnd type="triangle" w="med" len="med"/>
                                  <a:tailEnd type="none" w="med" len="med"/>
                                </a:ln>
                              </wps:spPr>
                              <wps:bodyPr upright="1"/>
                            </wps:wsp>
                            <wps:wsp>
                              <wps:cNvPr id="81" name="矩形 348"/>
                              <wps:cNvSpPr/>
                              <wps:spPr>
                                <a:xfrm>
                                  <a:off x="1212215" y="1513205"/>
                                  <a:ext cx="523240" cy="317500"/>
                                </a:xfrm>
                                <a:prstGeom prst="rect">
                                  <a:avLst/>
                                </a:prstGeom>
                                <a:noFill/>
                                <a:ln w="9525" cap="flat" cmpd="sng">
                                  <a:solidFill>
                                    <a:srgbClr val="000000"/>
                                  </a:solidFill>
                                  <a:prstDash val="solid"/>
                                  <a:miter/>
                                  <a:headEnd type="none" w="med" len="med"/>
                                  <a:tailEnd type="triangle" w="med" len="med"/>
                                </a:ln>
                              </wps:spPr>
                              <wps:txbx>
                                <w:txbxContent>
                                  <w:p w14:paraId="2C167ED5">
                                    <w:pPr>
                                      <w:rPr>
                                        <w:rFonts w:hint="eastAsia" w:eastAsia="宋体"/>
                                        <w:sz w:val="21"/>
                                        <w:szCs w:val="21"/>
                                        <w:lang w:eastAsia="zh-CN"/>
                                      </w:rPr>
                                    </w:pPr>
                                    <w:r>
                                      <w:rPr>
                                        <w:rFonts w:hint="eastAsia"/>
                                        <w:sz w:val="21"/>
                                        <w:szCs w:val="21"/>
                                        <w:lang w:eastAsia="zh-CN"/>
                                      </w:rPr>
                                      <w:t>烘干</w:t>
                                    </w:r>
                                  </w:p>
                                </w:txbxContent>
                              </wps:txbx>
                              <wps:bodyPr upright="1"/>
                            </wps:wsp>
                            <wps:wsp>
                              <wps:cNvPr id="82" name="直线 349"/>
                              <wps:cNvCnPr/>
                              <wps:spPr>
                                <a:xfrm flipV="1">
                                  <a:off x="2170430" y="1837055"/>
                                  <a:ext cx="0" cy="228600"/>
                                </a:xfrm>
                                <a:prstGeom prst="line">
                                  <a:avLst/>
                                </a:prstGeom>
                                <a:ln w="9525" cap="flat" cmpd="sng">
                                  <a:solidFill>
                                    <a:srgbClr val="000000"/>
                                  </a:solidFill>
                                  <a:prstDash val="dashDot"/>
                                  <a:headEnd type="triangle" w="med" len="med"/>
                                  <a:tailEnd type="none" w="med" len="med"/>
                                </a:ln>
                              </wps:spPr>
                              <wps:bodyPr upright="1"/>
                            </wps:wsp>
                            <wps:wsp>
                              <wps:cNvPr id="83" name="矩形 350"/>
                              <wps:cNvSpPr/>
                              <wps:spPr>
                                <a:xfrm>
                                  <a:off x="3380105" y="2046605"/>
                                  <a:ext cx="711200" cy="266700"/>
                                </a:xfrm>
                                <a:prstGeom prst="rect">
                                  <a:avLst/>
                                </a:prstGeom>
                                <a:solidFill>
                                  <a:srgbClr val="FFFFFF"/>
                                </a:solidFill>
                                <a:ln>
                                  <a:noFill/>
                                </a:ln>
                              </wps:spPr>
                              <wps:txbx>
                                <w:txbxContent>
                                  <w:p w14:paraId="293BC40A">
                                    <w:pPr>
                                      <w:jc w:val="center"/>
                                      <w:rPr>
                                        <w:rFonts w:hint="eastAsia" w:eastAsia="宋体"/>
                                        <w:sz w:val="18"/>
                                        <w:szCs w:val="18"/>
                                        <w:lang w:eastAsia="zh-CN"/>
                                      </w:rPr>
                                    </w:pPr>
                                    <w:r>
                                      <w:rPr>
                                        <w:rFonts w:hint="eastAsia"/>
                                        <w:sz w:val="18"/>
                                        <w:szCs w:val="18"/>
                                        <w:lang w:eastAsia="zh-CN"/>
                                      </w:rPr>
                                      <w:t>水循环</w:t>
                                    </w:r>
                                  </w:p>
                                </w:txbxContent>
                              </wps:txbx>
                              <wps:bodyPr upright="1"/>
                            </wps:wsp>
                            <wps:wsp>
                              <wps:cNvPr id="84" name="矩形 351"/>
                              <wps:cNvSpPr/>
                              <wps:spPr>
                                <a:xfrm>
                                  <a:off x="1104900" y="2046605"/>
                                  <a:ext cx="711200" cy="266700"/>
                                </a:xfrm>
                                <a:prstGeom prst="rect">
                                  <a:avLst/>
                                </a:prstGeom>
                                <a:solidFill>
                                  <a:srgbClr val="FFFFFF"/>
                                </a:solidFill>
                                <a:ln>
                                  <a:noFill/>
                                </a:ln>
                              </wps:spPr>
                              <wps:txbx>
                                <w:txbxContent>
                                  <w:p w14:paraId="7628BCD7">
                                    <w:pPr>
                                      <w:jc w:val="center"/>
                                      <w:rPr>
                                        <w:rFonts w:hint="eastAsia" w:eastAsia="宋体"/>
                                        <w:sz w:val="18"/>
                                        <w:szCs w:val="18"/>
                                        <w:lang w:eastAsia="zh-CN"/>
                                      </w:rPr>
                                    </w:pPr>
                                    <w:r>
                                      <w:rPr>
                                        <w:rFonts w:hint="eastAsia"/>
                                        <w:sz w:val="18"/>
                                        <w:szCs w:val="18"/>
                                        <w:lang w:eastAsia="zh-CN"/>
                                      </w:rPr>
                                      <w:t>电加热</w:t>
                                    </w:r>
                                  </w:p>
                                </w:txbxContent>
                              </wps:txbx>
                              <wps:bodyPr upright="1"/>
                            </wps:wsp>
                            <wps:wsp>
                              <wps:cNvPr id="85" name="直线 353"/>
                              <wps:cNvCnPr/>
                              <wps:spPr>
                                <a:xfrm flipV="1">
                                  <a:off x="3684905" y="1818005"/>
                                  <a:ext cx="0" cy="228600"/>
                                </a:xfrm>
                                <a:prstGeom prst="line">
                                  <a:avLst/>
                                </a:prstGeom>
                                <a:ln w="9525" cap="flat" cmpd="sng">
                                  <a:solidFill>
                                    <a:srgbClr val="000000"/>
                                  </a:solidFill>
                                  <a:prstDash val="dashDot"/>
                                  <a:headEnd type="triangle" w="med" len="med"/>
                                  <a:tailEnd type="none" w="med" len="med"/>
                                </a:ln>
                              </wps:spPr>
                              <wps:bodyPr upright="1"/>
                            </wps:wsp>
                            <wps:wsp>
                              <wps:cNvPr id="86" name="直线 354"/>
                              <wps:cNvCnPr/>
                              <wps:spPr>
                                <a:xfrm flipV="1">
                                  <a:off x="3789680" y="1837055"/>
                                  <a:ext cx="0" cy="228600"/>
                                </a:xfrm>
                                <a:prstGeom prst="line">
                                  <a:avLst/>
                                </a:prstGeom>
                                <a:ln w="9525" cap="flat" cmpd="sng">
                                  <a:solidFill>
                                    <a:srgbClr val="000000"/>
                                  </a:solidFill>
                                  <a:prstDash val="dashDot"/>
                                  <a:headEnd type="none" w="med" len="med"/>
                                  <a:tailEnd type="triangle" w="med" len="med"/>
                                </a:ln>
                              </wps:spPr>
                              <wps:bodyPr upright="1"/>
                            </wps:wsp>
                            <wps:wsp>
                              <wps:cNvPr id="87" name="矩形 355"/>
                              <wps:cNvSpPr/>
                              <wps:spPr>
                                <a:xfrm>
                                  <a:off x="1856105" y="2056130"/>
                                  <a:ext cx="787400" cy="266700"/>
                                </a:xfrm>
                                <a:prstGeom prst="rect">
                                  <a:avLst/>
                                </a:prstGeom>
                                <a:solidFill>
                                  <a:srgbClr val="FFFFFF"/>
                                </a:solidFill>
                                <a:ln>
                                  <a:noFill/>
                                </a:ln>
                              </wps:spPr>
                              <wps:txbx>
                                <w:txbxContent>
                                  <w:p w14:paraId="555E04CF">
                                    <w:pPr>
                                      <w:jc w:val="center"/>
                                      <w:rPr>
                                        <w:rFonts w:hint="eastAsia" w:eastAsia="宋体"/>
                                        <w:sz w:val="18"/>
                                        <w:szCs w:val="18"/>
                                        <w:lang w:eastAsia="zh-CN"/>
                                      </w:rPr>
                                    </w:pPr>
                                    <w:r>
                                      <w:rPr>
                                        <w:rFonts w:hint="eastAsia"/>
                                        <w:sz w:val="18"/>
                                        <w:szCs w:val="18"/>
                                        <w:lang w:eastAsia="zh-CN"/>
                                      </w:rPr>
                                      <w:t>水循环</w:t>
                                    </w:r>
                                  </w:p>
                                </w:txbxContent>
                              </wps:txbx>
                              <wps:bodyPr upright="1"/>
                            </wps:wsp>
                            <wps:wsp>
                              <wps:cNvPr id="88" name="直线 356"/>
                              <wps:cNvCnPr/>
                              <wps:spPr>
                                <a:xfrm flipV="1">
                                  <a:off x="2122805" y="313056"/>
                                  <a:ext cx="0" cy="228600"/>
                                </a:xfrm>
                                <a:prstGeom prst="line">
                                  <a:avLst/>
                                </a:prstGeom>
                                <a:ln w="9525" cap="flat" cmpd="sng">
                                  <a:solidFill>
                                    <a:srgbClr val="000000"/>
                                  </a:solidFill>
                                  <a:prstDash val="dashDot"/>
                                  <a:headEnd type="none" w="med" len="med"/>
                                  <a:tailEnd type="triangle" w="med" len="med"/>
                                </a:ln>
                              </wps:spPr>
                              <wps:bodyPr upright="1"/>
                            </wps:wsp>
                            <wps:wsp>
                              <wps:cNvPr id="89" name="直线 357"/>
                              <wps:cNvCnPr/>
                              <wps:spPr>
                                <a:xfrm flipV="1">
                                  <a:off x="646430" y="1271270"/>
                                  <a:ext cx="0" cy="228600"/>
                                </a:xfrm>
                                <a:prstGeom prst="line">
                                  <a:avLst/>
                                </a:prstGeom>
                                <a:ln w="9525" cap="flat" cmpd="sng">
                                  <a:solidFill>
                                    <a:srgbClr val="000000"/>
                                  </a:solidFill>
                                  <a:prstDash val="dashDot"/>
                                  <a:headEnd type="none" w="med" len="med"/>
                                  <a:tailEnd type="triangle" w="med" len="med"/>
                                </a:ln>
                              </wps:spPr>
                              <wps:bodyPr upright="1"/>
                            </wps:wsp>
                            <wps:wsp>
                              <wps:cNvPr id="90" name="矩形 358"/>
                              <wps:cNvSpPr/>
                              <wps:spPr>
                                <a:xfrm>
                                  <a:off x="1297940" y="1031240"/>
                                  <a:ext cx="447040" cy="266700"/>
                                </a:xfrm>
                                <a:prstGeom prst="rect">
                                  <a:avLst/>
                                </a:prstGeom>
                                <a:noFill/>
                                <a:ln>
                                  <a:noFill/>
                                </a:ln>
                              </wps:spPr>
                              <wps:txbx>
                                <w:txbxContent>
                                  <w:p w14:paraId="026B2236">
                                    <w:pPr>
                                      <w:rPr>
                                        <w:rFonts w:hint="eastAsia" w:eastAsia="宋体"/>
                                        <w:sz w:val="18"/>
                                        <w:szCs w:val="18"/>
                                        <w:lang w:eastAsia="zh-CN"/>
                                      </w:rPr>
                                    </w:pPr>
                                    <w:r>
                                      <w:rPr>
                                        <w:rFonts w:hint="eastAsia"/>
                                        <w:sz w:val="18"/>
                                        <w:szCs w:val="18"/>
                                        <w:lang w:eastAsia="zh-CN"/>
                                      </w:rPr>
                                      <w:t>废气</w:t>
                                    </w:r>
                                  </w:p>
                                </w:txbxContent>
                              </wps:txbx>
                              <wps:bodyPr upright="1"/>
                            </wps:wsp>
                            <wps:wsp>
                              <wps:cNvPr id="91" name="矩形 361"/>
                              <wps:cNvSpPr/>
                              <wps:spPr>
                                <a:xfrm>
                                  <a:off x="194945" y="1509395"/>
                                  <a:ext cx="758190" cy="317500"/>
                                </a:xfrm>
                                <a:prstGeom prst="rect">
                                  <a:avLst/>
                                </a:prstGeom>
                                <a:solidFill>
                                  <a:srgbClr val="FFFFFF"/>
                                </a:solidFill>
                                <a:ln w="9525" cap="flat" cmpd="sng">
                                  <a:solidFill>
                                    <a:srgbClr val="000000"/>
                                  </a:solidFill>
                                  <a:prstDash val="solid"/>
                                  <a:miter/>
                                  <a:headEnd type="none" w="med" len="med"/>
                                  <a:tailEnd type="triangle" w="med" len="med"/>
                                </a:ln>
                              </wps:spPr>
                              <wps:txbx>
                                <w:txbxContent>
                                  <w:p w14:paraId="26DFD4DF">
                                    <w:pPr>
                                      <w:rPr>
                                        <w:rFonts w:hint="eastAsia" w:eastAsia="宋体"/>
                                        <w:sz w:val="21"/>
                                        <w:szCs w:val="21"/>
                                        <w:lang w:eastAsia="zh-CN"/>
                                      </w:rPr>
                                    </w:pPr>
                                    <w:r>
                                      <w:rPr>
                                        <w:rFonts w:hint="eastAsia"/>
                                        <w:sz w:val="21"/>
                                        <w:szCs w:val="21"/>
                                        <w:lang w:eastAsia="zh-CN"/>
                                      </w:rPr>
                                      <w:t>组装成品</w:t>
                                    </w:r>
                                  </w:p>
                                </w:txbxContent>
                              </wps:txbx>
                              <wps:bodyPr upright="1"/>
                            </wps:wsp>
                            <wps:wsp>
                              <wps:cNvPr id="92" name="直线 362"/>
                              <wps:cNvCnPr/>
                              <wps:spPr>
                                <a:xfrm flipV="1">
                                  <a:off x="2341880" y="1256030"/>
                                  <a:ext cx="0" cy="228600"/>
                                </a:xfrm>
                                <a:prstGeom prst="line">
                                  <a:avLst/>
                                </a:prstGeom>
                                <a:ln w="9525" cap="flat" cmpd="sng">
                                  <a:solidFill>
                                    <a:srgbClr val="000000"/>
                                  </a:solidFill>
                                  <a:prstDash val="dashDot"/>
                                  <a:headEnd type="none" w="med" len="med"/>
                                  <a:tailEnd type="triangle" w="med" len="med"/>
                                </a:ln>
                              </wps:spPr>
                              <wps:bodyPr upright="1"/>
                            </wps:wsp>
                            <wps:wsp>
                              <wps:cNvPr id="93" name="直线 363"/>
                              <wps:cNvCnPr/>
                              <wps:spPr>
                                <a:xfrm flipV="1">
                                  <a:off x="509905" y="1808480"/>
                                  <a:ext cx="3175" cy="708660"/>
                                </a:xfrm>
                                <a:prstGeom prst="line">
                                  <a:avLst/>
                                </a:prstGeom>
                                <a:ln w="9525" cap="flat" cmpd="sng">
                                  <a:solidFill>
                                    <a:srgbClr val="000000"/>
                                  </a:solidFill>
                                  <a:prstDash val="solid"/>
                                  <a:headEnd type="none" w="med" len="med"/>
                                  <a:tailEnd type="triangle" w="med" len="med"/>
                                </a:ln>
                              </wps:spPr>
                              <wps:bodyPr upright="1"/>
                            </wps:wsp>
                            <wps:wsp>
                              <wps:cNvPr id="94" name="矩形 364"/>
                              <wps:cNvSpPr/>
                              <wps:spPr>
                                <a:xfrm>
                                  <a:off x="265430" y="1026795"/>
                                  <a:ext cx="698500" cy="266700"/>
                                </a:xfrm>
                                <a:prstGeom prst="rect">
                                  <a:avLst/>
                                </a:prstGeom>
                                <a:noFill/>
                                <a:ln>
                                  <a:noFill/>
                                </a:ln>
                              </wps:spPr>
                              <wps:txbx>
                                <w:txbxContent>
                                  <w:p w14:paraId="5A2EAA2E">
                                    <w:pPr>
                                      <w:rPr>
                                        <w:rFonts w:hint="eastAsia" w:eastAsia="宋体"/>
                                        <w:sz w:val="18"/>
                                        <w:szCs w:val="18"/>
                                        <w:lang w:eastAsia="zh-CN"/>
                                      </w:rPr>
                                    </w:pPr>
                                    <w:r>
                                      <w:rPr>
                                        <w:rFonts w:hint="eastAsia"/>
                                        <w:sz w:val="18"/>
                                        <w:szCs w:val="18"/>
                                        <w:lang w:eastAsia="zh-CN"/>
                                      </w:rPr>
                                      <w:t>噪声、废气</w:t>
                                    </w:r>
                                  </w:p>
                                </w:txbxContent>
                              </wps:txbx>
                              <wps:bodyPr upright="1"/>
                            </wps:wsp>
                            <wps:wsp>
                              <wps:cNvPr id="95" name="直线 365"/>
                              <wps:cNvCnPr/>
                              <wps:spPr>
                                <a:xfrm flipV="1">
                                  <a:off x="1437005" y="1837055"/>
                                  <a:ext cx="0" cy="228600"/>
                                </a:xfrm>
                                <a:prstGeom prst="line">
                                  <a:avLst/>
                                </a:prstGeom>
                                <a:ln w="9525" cap="flat" cmpd="sng">
                                  <a:solidFill>
                                    <a:srgbClr val="000000"/>
                                  </a:solidFill>
                                  <a:prstDash val="dashDot"/>
                                  <a:headEnd type="none" w="med" len="med"/>
                                  <a:tailEnd type="triangle" w="med" len="med"/>
                                </a:ln>
                              </wps:spPr>
                              <wps:bodyPr upright="1"/>
                            </wps:wsp>
                            <wps:wsp>
                              <wps:cNvPr id="96" name="直线 366"/>
                              <wps:cNvCnPr/>
                              <wps:spPr>
                                <a:xfrm flipV="1">
                                  <a:off x="494030" y="2494280"/>
                                  <a:ext cx="279400" cy="0"/>
                                </a:xfrm>
                                <a:prstGeom prst="line">
                                  <a:avLst/>
                                </a:prstGeom>
                                <a:ln w="9525" cap="flat" cmpd="sng">
                                  <a:solidFill>
                                    <a:srgbClr val="000000"/>
                                  </a:solidFill>
                                  <a:prstDash val="solid"/>
                                  <a:headEnd type="triangle" w="med" len="med"/>
                                  <a:tailEnd type="none" w="med" len="med"/>
                                </a:ln>
                              </wps:spPr>
                              <wps:bodyPr upright="1"/>
                            </wps:wsp>
                            <wps:wsp>
                              <wps:cNvPr id="97" name="矩形 367"/>
                              <wps:cNvSpPr/>
                              <wps:spPr>
                                <a:xfrm>
                                  <a:off x="3284855" y="2322830"/>
                                  <a:ext cx="920115" cy="317500"/>
                                </a:xfrm>
                                <a:prstGeom prst="rect">
                                  <a:avLst/>
                                </a:prstGeom>
                                <a:noFill/>
                                <a:ln w="9525" cap="flat" cmpd="sng">
                                  <a:solidFill>
                                    <a:srgbClr val="000000"/>
                                  </a:solidFill>
                                  <a:prstDash val="solid"/>
                                  <a:miter/>
                                  <a:headEnd type="none" w="med" len="med"/>
                                  <a:tailEnd type="triangle" w="med" len="med"/>
                                </a:ln>
                              </wps:spPr>
                              <wps:txbx>
                                <w:txbxContent>
                                  <w:p w14:paraId="5EC9FB1B">
                                    <w:pPr>
                                      <w:rPr>
                                        <w:rFonts w:hint="default" w:eastAsia="宋体"/>
                                        <w:sz w:val="21"/>
                                        <w:szCs w:val="21"/>
                                        <w:lang w:val="en-US" w:eastAsia="zh-CN"/>
                                      </w:rPr>
                                    </w:pPr>
                                    <w:r>
                                      <w:rPr>
                                        <w:rFonts w:hint="eastAsia"/>
                                        <w:sz w:val="21"/>
                                        <w:szCs w:val="21"/>
                                        <w:lang w:val="en-US" w:eastAsia="zh-CN"/>
                                      </w:rPr>
                                      <w:t>EVA半成品</w:t>
                                    </w:r>
                                  </w:p>
                                </w:txbxContent>
                              </wps:txbx>
                              <wps:bodyPr upright="1"/>
                            </wps:wsp>
                            <wps:wsp>
                              <wps:cNvPr id="98" name="矩形 368"/>
                              <wps:cNvSpPr/>
                              <wps:spPr>
                                <a:xfrm>
                                  <a:off x="2408555" y="2332355"/>
                                  <a:ext cx="520700" cy="317500"/>
                                </a:xfrm>
                                <a:prstGeom prst="rect">
                                  <a:avLst/>
                                </a:prstGeom>
                                <a:noFill/>
                                <a:ln w="9525" cap="flat" cmpd="sng">
                                  <a:solidFill>
                                    <a:srgbClr val="000000"/>
                                  </a:solidFill>
                                  <a:prstDash val="solid"/>
                                  <a:miter/>
                                  <a:headEnd type="none" w="med" len="med"/>
                                  <a:tailEnd type="triangle" w="med" len="med"/>
                                </a:ln>
                              </wps:spPr>
                              <wps:txbx>
                                <w:txbxContent>
                                  <w:p w14:paraId="072062FF">
                                    <w:pPr>
                                      <w:rPr>
                                        <w:rFonts w:hint="default" w:eastAsia="宋体"/>
                                        <w:sz w:val="21"/>
                                        <w:szCs w:val="21"/>
                                        <w:lang w:val="en-US" w:eastAsia="zh-CN"/>
                                      </w:rPr>
                                    </w:pPr>
                                    <w:r>
                                      <w:rPr>
                                        <w:rFonts w:hint="eastAsia"/>
                                        <w:sz w:val="21"/>
                                        <w:szCs w:val="21"/>
                                        <w:lang w:val="en-US" w:eastAsia="zh-CN"/>
                                      </w:rPr>
                                      <w:t>切割</w:t>
                                    </w:r>
                                  </w:p>
                                </w:txbxContent>
                              </wps:txbx>
                              <wps:bodyPr upright="1"/>
                            </wps:wsp>
                            <wps:wsp>
                              <wps:cNvPr id="99" name="矩形 369"/>
                              <wps:cNvSpPr/>
                              <wps:spPr>
                                <a:xfrm>
                                  <a:off x="1589405" y="2332355"/>
                                  <a:ext cx="520700" cy="317500"/>
                                </a:xfrm>
                                <a:prstGeom prst="rect">
                                  <a:avLst/>
                                </a:prstGeom>
                                <a:noFill/>
                                <a:ln w="9525" cap="flat" cmpd="sng">
                                  <a:solidFill>
                                    <a:srgbClr val="000000"/>
                                  </a:solidFill>
                                  <a:prstDash val="solid"/>
                                  <a:miter/>
                                  <a:headEnd type="none" w="med" len="med"/>
                                  <a:tailEnd type="triangle" w="med" len="med"/>
                                </a:ln>
                              </wps:spPr>
                              <wps:txbx>
                                <w:txbxContent>
                                  <w:p w14:paraId="59F699AE">
                                    <w:pPr>
                                      <w:rPr>
                                        <w:rFonts w:hint="default" w:eastAsia="宋体"/>
                                        <w:sz w:val="21"/>
                                        <w:szCs w:val="21"/>
                                        <w:lang w:val="en-US" w:eastAsia="zh-CN"/>
                                      </w:rPr>
                                    </w:pPr>
                                    <w:r>
                                      <w:rPr>
                                        <w:rFonts w:hint="eastAsia"/>
                                        <w:sz w:val="21"/>
                                        <w:szCs w:val="21"/>
                                        <w:lang w:val="en-US" w:eastAsia="zh-CN"/>
                                      </w:rPr>
                                      <w:t>打孔</w:t>
                                    </w:r>
                                  </w:p>
                                </w:txbxContent>
                              </wps:txbx>
                              <wps:bodyPr upright="1"/>
                            </wps:wsp>
                            <wps:wsp>
                              <wps:cNvPr id="100" name="矩形 370"/>
                              <wps:cNvSpPr/>
                              <wps:spPr>
                                <a:xfrm>
                                  <a:off x="751205" y="2322830"/>
                                  <a:ext cx="520700" cy="317500"/>
                                </a:xfrm>
                                <a:prstGeom prst="rect">
                                  <a:avLst/>
                                </a:prstGeom>
                                <a:noFill/>
                                <a:ln w="9525" cap="flat" cmpd="sng">
                                  <a:solidFill>
                                    <a:srgbClr val="000000"/>
                                  </a:solidFill>
                                  <a:prstDash val="solid"/>
                                  <a:miter/>
                                  <a:headEnd type="none" w="med" len="med"/>
                                  <a:tailEnd type="triangle" w="med" len="med"/>
                                </a:ln>
                              </wps:spPr>
                              <wps:txbx>
                                <w:txbxContent>
                                  <w:p w14:paraId="6E732CF9">
                                    <w:pPr>
                                      <w:rPr>
                                        <w:rFonts w:hint="default" w:eastAsia="宋体"/>
                                        <w:sz w:val="21"/>
                                        <w:szCs w:val="21"/>
                                        <w:lang w:val="en-US" w:eastAsia="zh-CN"/>
                                      </w:rPr>
                                    </w:pPr>
                                    <w:r>
                                      <w:rPr>
                                        <w:rFonts w:hint="eastAsia"/>
                                        <w:sz w:val="21"/>
                                        <w:szCs w:val="21"/>
                                        <w:lang w:val="en-US" w:eastAsia="zh-CN"/>
                                      </w:rPr>
                                      <w:t>抛光</w:t>
                                    </w:r>
                                  </w:p>
                                </w:txbxContent>
                              </wps:txbx>
                              <wps:bodyPr upright="1"/>
                            </wps:wsp>
                            <wps:wsp>
                              <wps:cNvPr id="101" name="直线 371"/>
                              <wps:cNvCnPr/>
                              <wps:spPr>
                                <a:xfrm flipV="1">
                                  <a:off x="1284605" y="2465705"/>
                                  <a:ext cx="279400" cy="0"/>
                                </a:xfrm>
                                <a:prstGeom prst="line">
                                  <a:avLst/>
                                </a:prstGeom>
                                <a:ln w="9525" cap="flat" cmpd="sng">
                                  <a:solidFill>
                                    <a:srgbClr val="000000"/>
                                  </a:solidFill>
                                  <a:prstDash val="solid"/>
                                  <a:headEnd type="triangle" w="med" len="med"/>
                                  <a:tailEnd type="none" w="med" len="med"/>
                                </a:ln>
                              </wps:spPr>
                              <wps:bodyPr upright="1"/>
                            </wps:wsp>
                            <wps:wsp>
                              <wps:cNvPr id="102" name="直线 372"/>
                              <wps:cNvCnPr/>
                              <wps:spPr>
                                <a:xfrm flipV="1">
                                  <a:off x="2141855" y="2456180"/>
                                  <a:ext cx="279400" cy="0"/>
                                </a:xfrm>
                                <a:prstGeom prst="line">
                                  <a:avLst/>
                                </a:prstGeom>
                                <a:ln w="9525" cap="flat" cmpd="sng">
                                  <a:solidFill>
                                    <a:srgbClr val="000000"/>
                                  </a:solidFill>
                                  <a:prstDash val="solid"/>
                                  <a:headEnd type="triangle" w="med" len="med"/>
                                  <a:tailEnd type="none" w="med" len="med"/>
                                </a:ln>
                              </wps:spPr>
                              <wps:bodyPr upright="1"/>
                            </wps:wsp>
                            <wps:wsp>
                              <wps:cNvPr id="103" name="直线 373"/>
                              <wps:cNvCnPr/>
                              <wps:spPr>
                                <a:xfrm flipV="1">
                                  <a:off x="2961005" y="2475230"/>
                                  <a:ext cx="279400" cy="0"/>
                                </a:xfrm>
                                <a:prstGeom prst="line">
                                  <a:avLst/>
                                </a:prstGeom>
                                <a:ln w="9525" cap="flat" cmpd="sng">
                                  <a:solidFill>
                                    <a:srgbClr val="000000"/>
                                  </a:solidFill>
                                  <a:prstDash val="solid"/>
                                  <a:headEnd type="triangle" w="med" len="med"/>
                                  <a:tailEnd type="none" w="med" len="med"/>
                                </a:ln>
                              </wps:spPr>
                              <wps:bodyPr upright="1"/>
                            </wps:wsp>
                            <wps:wsp>
                              <wps:cNvPr id="104" name="直线 374"/>
                              <wps:cNvCnPr/>
                              <wps:spPr>
                                <a:xfrm flipV="1">
                                  <a:off x="2665730" y="2646680"/>
                                  <a:ext cx="0" cy="228600"/>
                                </a:xfrm>
                                <a:prstGeom prst="line">
                                  <a:avLst/>
                                </a:prstGeom>
                                <a:ln w="9525" cap="flat" cmpd="sng">
                                  <a:solidFill>
                                    <a:srgbClr val="000000"/>
                                  </a:solidFill>
                                  <a:prstDash val="dashDot"/>
                                  <a:headEnd type="triangle" w="med" len="med"/>
                                  <a:tailEnd type="none" w="med" len="med"/>
                                </a:ln>
                              </wps:spPr>
                              <wps:bodyPr upright="1"/>
                            </wps:wsp>
                            <wps:wsp>
                              <wps:cNvPr id="105" name="直线 375"/>
                              <wps:cNvCnPr/>
                              <wps:spPr>
                                <a:xfrm flipV="1">
                                  <a:off x="979805" y="2618105"/>
                                  <a:ext cx="0" cy="228600"/>
                                </a:xfrm>
                                <a:prstGeom prst="line">
                                  <a:avLst/>
                                </a:prstGeom>
                                <a:ln w="9525" cap="flat" cmpd="sng">
                                  <a:solidFill>
                                    <a:srgbClr val="000000"/>
                                  </a:solidFill>
                                  <a:prstDash val="dashDot"/>
                                  <a:headEnd type="triangle" w="med" len="med"/>
                                  <a:tailEnd type="none" w="med" len="med"/>
                                </a:ln>
                              </wps:spPr>
                              <wps:bodyPr upright="1"/>
                            </wps:wsp>
                            <wps:wsp>
                              <wps:cNvPr id="106" name="直线 376"/>
                              <wps:cNvCnPr/>
                              <wps:spPr>
                                <a:xfrm flipV="1">
                                  <a:off x="1856105" y="2637155"/>
                                  <a:ext cx="0" cy="228600"/>
                                </a:xfrm>
                                <a:prstGeom prst="line">
                                  <a:avLst/>
                                </a:prstGeom>
                                <a:ln w="9525" cap="flat" cmpd="sng">
                                  <a:solidFill>
                                    <a:srgbClr val="000000"/>
                                  </a:solidFill>
                                  <a:prstDash val="dashDot"/>
                                  <a:headEnd type="triangle" w="med" len="med"/>
                                  <a:tailEnd type="none" w="med" len="med"/>
                                </a:ln>
                              </wps:spPr>
                              <wps:bodyPr upright="1"/>
                            </wps:wsp>
                            <wps:wsp>
                              <wps:cNvPr id="107" name="矩形 377"/>
                              <wps:cNvSpPr/>
                              <wps:spPr>
                                <a:xfrm>
                                  <a:off x="789305" y="2787650"/>
                                  <a:ext cx="444500" cy="266700"/>
                                </a:xfrm>
                                <a:prstGeom prst="rect">
                                  <a:avLst/>
                                </a:prstGeom>
                                <a:noFill/>
                                <a:ln>
                                  <a:noFill/>
                                </a:ln>
                              </wps:spPr>
                              <wps:txbx>
                                <w:txbxContent>
                                  <w:p w14:paraId="0492D462">
                                    <w:pPr>
                                      <w:rPr>
                                        <w:rFonts w:hint="eastAsia" w:eastAsia="宋体"/>
                                        <w:sz w:val="18"/>
                                        <w:szCs w:val="18"/>
                                        <w:lang w:eastAsia="zh-CN"/>
                                      </w:rPr>
                                    </w:pPr>
                                    <w:r>
                                      <w:rPr>
                                        <w:rFonts w:hint="eastAsia"/>
                                        <w:sz w:val="18"/>
                                        <w:szCs w:val="18"/>
                                        <w:lang w:eastAsia="zh-CN"/>
                                      </w:rPr>
                                      <w:t>废气</w:t>
                                    </w:r>
                                  </w:p>
                                </w:txbxContent>
                              </wps:txbx>
                              <wps:bodyPr upright="1"/>
                            </wps:wsp>
                            <wps:wsp>
                              <wps:cNvPr id="108" name="矩形 378"/>
                              <wps:cNvSpPr/>
                              <wps:spPr>
                                <a:xfrm>
                                  <a:off x="1646555" y="2828925"/>
                                  <a:ext cx="444500" cy="266700"/>
                                </a:xfrm>
                                <a:prstGeom prst="rect">
                                  <a:avLst/>
                                </a:prstGeom>
                                <a:noFill/>
                                <a:ln>
                                  <a:noFill/>
                                </a:ln>
                              </wps:spPr>
                              <wps:txbx>
                                <w:txbxContent>
                                  <w:p w14:paraId="6A3D0390">
                                    <w:pPr>
                                      <w:rPr>
                                        <w:rFonts w:hint="default" w:eastAsia="宋体"/>
                                        <w:sz w:val="18"/>
                                        <w:szCs w:val="18"/>
                                        <w:lang w:val="en-US" w:eastAsia="zh-CN"/>
                                      </w:rPr>
                                    </w:pPr>
                                    <w:r>
                                      <w:rPr>
                                        <w:rFonts w:hint="eastAsia"/>
                                        <w:sz w:val="18"/>
                                        <w:szCs w:val="18"/>
                                        <w:lang w:val="en-US" w:eastAsia="zh-CN"/>
                                      </w:rPr>
                                      <w:t>固废</w:t>
                                    </w:r>
                                  </w:p>
                                </w:txbxContent>
                              </wps:txbx>
                              <wps:bodyPr upright="1"/>
                            </wps:wsp>
                            <wps:wsp>
                              <wps:cNvPr id="109" name="矩形 379"/>
                              <wps:cNvSpPr/>
                              <wps:spPr>
                                <a:xfrm>
                                  <a:off x="2484755" y="2828925"/>
                                  <a:ext cx="444500" cy="266700"/>
                                </a:xfrm>
                                <a:prstGeom prst="rect">
                                  <a:avLst/>
                                </a:prstGeom>
                                <a:noFill/>
                                <a:ln>
                                  <a:noFill/>
                                </a:ln>
                              </wps:spPr>
                              <wps:txbx>
                                <w:txbxContent>
                                  <w:p w14:paraId="4FEBB5F8">
                                    <w:pPr>
                                      <w:rPr>
                                        <w:rFonts w:hint="default" w:eastAsia="宋体"/>
                                        <w:sz w:val="18"/>
                                        <w:szCs w:val="18"/>
                                        <w:lang w:val="en-US" w:eastAsia="zh-CN"/>
                                      </w:rPr>
                                    </w:pPr>
                                    <w:r>
                                      <w:rPr>
                                        <w:rFonts w:hint="eastAsia"/>
                                        <w:sz w:val="18"/>
                                        <w:szCs w:val="18"/>
                                        <w:lang w:val="en-US" w:eastAsia="zh-CN"/>
                                      </w:rPr>
                                      <w:t>固废</w:t>
                                    </w:r>
                                  </w:p>
                                </w:txbxContent>
                              </wps:txbx>
                              <wps:bodyPr upright="1"/>
                            </wps:wsp>
                          </wpc:wpc>
                        </a:graphicData>
                      </a:graphic>
                    </wp:inline>
                  </w:drawing>
                </mc:Choice>
                <mc:Fallback>
                  <w:pict>
                    <v:group id="画布 295" o:spid="_x0000_s1026" o:spt="203" style="height:246.45pt;width:459.6pt;" coordsize="5836920,3129915" editas="canvas"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">
                      <o:lock v:ext="edit" aspectratio="f"/>
                      <v:shape id="画布 295" o:spid="_x0000_s1026" style="position:absolute;left:0;top:0;height:3129915;width:583692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">
                        <v:fill on="f" focussize="0,0"/>
                        <v:stroke on="f"/>
                        <v:imagedata o:title=""/>
                        <o:lock v:ext="edit" aspectratio="f"/>
                      </v:shape>
                      <v:rect id="矩形 297" o:spid="_x0000_s1026" o:spt="1" style="position:absolute;left:1115060;top:522606;height:317501;width:47625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uHJ7LUAAAABQEAAA8AAAAAAAAA&#10;AQAgAAAAIgAAAGRycy9kb3ducmV2LnhtbFBLAQIUABQAAAAIAIdO4kAo6B/uFQIAADoEAAAOAAAA&#10;AAAAAAEAIAAAACMBAABkcnMvZTJvRG9jLnhtbFBLBQYAAAAABgAGAFkBAACqBQAAAAA=&#10;">
                        <v:fill on="t" focussize="0,0"/>
                        <v:stroke color="#000000" joinstyle="miter" endarrow="block"/>
                        <v:imagedata o:title=""/>
                        <o:lock v:ext="edit" aspectratio="f"/>
                        <v:textbox>
                          <w:txbxContent>
                            <w:p w14:paraId="61FB271A">
                              <w:pPr>
                                <w:rPr>
                                  <w:rFonts w:hint="eastAsia" w:eastAsia="宋体"/>
                                  <w:sz w:val="21"/>
                                  <w:szCs w:val="21"/>
                                  <w:lang w:eastAsia="zh-CN"/>
                                </w:rPr>
                              </w:pPr>
                              <w:r>
                                <w:rPr>
                                  <w:rFonts w:hint="eastAsia"/>
                                  <w:sz w:val="21"/>
                                  <w:szCs w:val="21"/>
                                  <w:lang w:eastAsia="zh-CN"/>
                                </w:rPr>
                                <w:t>裁布</w:t>
                              </w:r>
                            </w:p>
                          </w:txbxContent>
                        </v:textbox>
                      </v:rect>
                      <v:line id="直线 298" o:spid="_x0000_s1026" o:spt="20" style="position:absolute;left:855345;top:670560;flip:y;height:635;width:260985;" filled="f" stroked="t" coordsize="21600,21600" o:gfxdata="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Iyb1yzWAAAABQEAAA8AAAAAAAAAAQAgAAAAIgAAAGRycy9k&#10;b3ducmV2LnhtbFBLAQIUABQAAAAIAIdO4kD6Oy96BAIAAPcDAAAOAAAAAAAAAAEAIAAAACUBAABk&#10;cnMvZTJvRG9jLnhtbFBLBQYAAAAABgAGAFkBAACbBQAAAAA=&#10;">
                        <v:fill on="f" focussize="0,0"/>
                        <v:stroke color="#000000" joinstyle="round" endarrow="block"/>
                        <v:imagedata o:title=""/>
                        <o:lock v:ext="edit" aspectratio="f"/>
                      </v:line>
                      <v:line id="直线 299" o:spid="_x0000_s1026" o:spt="20" style="position:absolute;left:2414270;top:704850;flip:y;height:635;width:260985;" filled="f" stroked="t" coordsize="21600,21600" o:gfxdata="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Mm9cs1gAAAAUBAAAPAAAAAAAAAAEAIAAAACIAAABkcnMv&#10;ZG93bnJldi54bWxQSwECFAAUAAAACACHTuJA9mxLBgUCAAD4AwAADgAAAAAAAAABACAAAAAlAQAA&#10;ZHJzL2Uyb0RvYy54bWxQSwUGAAAAAAYABgBZAQAAnAUAAAAA&#10;">
                        <v:fill on="f" focussize="0,0"/>
                        <v:stroke color="#000000" joinstyle="round" endarrow="block"/>
                        <v:imagedata o:title=""/>
                        <o:lock v:ext="edit" aspectratio="f"/>
                      </v:line>
                      <v:line id="直线 300" o:spid="_x0000_s1026" o:spt="20" style="position:absolute;left:1600835;top:697230;flip:y;height:635;width:250825;" filled="f" stroked="t" coordsize="21600,21600" o:gfxdata="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Mm9cs1gAAAAUBAAAPAAAAAAAAAAEAIAAAACIAAABkcnMvZG93bnJl&#10;di54bWxQSwECFAAUAAAACACHTuJAuCAKcv8BAAD4AwAADgAAAAAAAAABACAAAAAlAQAAZHJzL2Uy&#10;b0RvYy54bWxQSwUGAAAAAAYABgBZAQAAlgUAAAAA&#10;">
                        <v:fill on="f" focussize="0,0"/>
                        <v:stroke color="#000000" joinstyle="round" endarrow="block"/>
                        <v:imagedata o:title=""/>
                        <o:lock v:ext="edit" aspectratio="f"/>
                      </v:line>
                      <v:line id="直线 301" o:spid="_x0000_s1026" o:spt="20" style="position:absolute;left:4855845;top:1677035;flip:y;height:635;width:250825;"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FaVsbvVAAAABQEAAA8AAAAAAAAAAQAgAAAAIgAAAGRycy9k&#10;b3ducmV2LnhtbFBLAQIUABQAAAAIAIdO4kBhipfgBQIAAPkDAAAOAAAAAAAAAAEAIAAAACQBAABk&#10;cnMvZTJvRG9jLnhtbFBLBQYAAAAABgAGAFkBAACbBQAAAAA=&#10;">
                        <v:fill on="f" focussize="0,0"/>
                        <v:stroke color="#000000" joinstyle="round" startarrow="block"/>
                        <v:imagedata o:title=""/>
                        <o:lock v:ext="edit" aspectratio="f"/>
                      </v:line>
                      <v:rect id="矩形 302" o:spid="_x0000_s1026" o:spt="1" style="position:absolute;left:1057910;top:0;height:266700;width:721360;"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AYaCuvUAAAABQEAAA8AAAAAAAAAAQAgAAAAIgAAAGRycy9kb3ducmV2LnhtbFBLAQIU&#10;ABQAAAAIAIdO4kASOWlnvgEAAHIDAAAOAAAAAAAAAAEAIAAAACMBAABkcnMvZTJvRG9jLnhtbFBL&#10;BQYAAAAABgAGAFkBAABTBQAAAAA=&#10;">
                        <v:fill on="t" focussize="0,0"/>
                        <v:stroke on="f"/>
                        <v:imagedata o:title=""/>
                        <o:lock v:ext="edit" aspectratio="f"/>
                        <v:textbox>
                          <w:txbxContent>
                            <w:p w14:paraId="1D9DBDB0">
                              <w:pPr>
                                <w:jc w:val="center"/>
                                <w:rPr>
                                  <w:rFonts w:hint="eastAsia" w:eastAsia="宋体"/>
                                  <w:sz w:val="18"/>
                                  <w:szCs w:val="18"/>
                                  <w:lang w:eastAsia="zh-CN"/>
                                </w:rPr>
                              </w:pPr>
                              <w:r>
                                <w:rPr>
                                  <w:rFonts w:hint="eastAsia"/>
                                  <w:sz w:val="18"/>
                                  <w:szCs w:val="18"/>
                                </w:rPr>
                                <w:t>噪声</w:t>
                              </w:r>
                              <w:r>
                                <w:rPr>
                                  <w:rFonts w:hint="eastAsia"/>
                                  <w:sz w:val="18"/>
                                  <w:szCs w:val="18"/>
                                  <w:lang w:eastAsia="zh-CN"/>
                                </w:rPr>
                                <w:t>、固废</w:t>
                              </w:r>
                            </w:p>
                          </w:txbxContent>
                        </v:textbox>
                      </v:rect>
                      <v:line id="直线 303" o:spid="_x0000_s1026" o:spt="20" style="position:absolute;left:3713480;top:320676;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&#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BZWqENQAAAAFAQAADwAAAAAAAAABACAAAAAiAAAAZHJz&#10;L2Rvd25yZXYueG1sUEsBAhQAFAAAAAgAh07iQEGUIHwIAgAA+AMAAA4AAAAAAAAAAQAgAAAAIwEA&#10;AGRycy9lMm9Eb2MueG1sUEsFBgAAAAAGAAYAWQEAAJ0FAAAAAA==&#10;">
                        <v:fill on="f" focussize="0,0"/>
                        <v:stroke color="#000000" joinstyle="round" dashstyle="dashDot" endarrow="block"/>
                        <v:imagedata o:title=""/>
                        <o:lock v:ext="edit" aspectratio="f"/>
                      </v:line>
                      <v:line id="直线 304" o:spid="_x0000_s1026" o:spt="20" style="position:absolute;left:1353185;top:282576;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mSX7GgcCAAD4AwAADgAAAAAAAAABACAAAAAjAQAA&#10;ZHJzL2Uyb0RvYy54bWxQSwUGAAAAAAYABgBZAQAAnAUAAAAA&#10;">
                        <v:fill on="f" focussize="0,0"/>
                        <v:stroke color="#000000" joinstyle="round" dashstyle="dashDot" endarrow="block"/>
                        <v:imagedata o:title=""/>
                        <o:lock v:ext="edit" aspectratio="f"/>
                      </v:line>
                      <v:line id="直线 305" o:spid="_x0000_s1026" o:spt="20" style="position:absolute;left:4504055;top:1819910;flip:y;height:228600;width:0;" filled="f" stroked="t" coordsize="21600,21600" o:gfxdata="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&#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yws7lNMAAAAFAQAADwAAAAAAAAABACAAAAAiAAAAZHJz&#10;L2Rvd25yZXYueG1sUEsBAhQAFAAAAAgAh07iQAO17JoJAgAA+QMAAA4AAAAAAAAAAQAgAAAAIgEA&#10;AGRycy9lMm9Eb2MueG1sUEsFBgAAAAAGAAYAWQEAAJ0FAAAAAA==&#10;">
                        <v:fill on="f" focussize="0,0"/>
                        <v:stroke color="#000000" joinstyle="round" dashstyle="dashDot" startarrow="block"/>
                        <v:imagedata o:title=""/>
                        <o:lock v:ext="edit" aspectratio="f"/>
                      </v:line>
                      <v:rect id="矩形 306" o:spid="_x0000_s1026" o:spt="1" style="position:absolute;left:3359785;top:36830;height:266700;width:709295;"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AYaCuvUAAAABQEAAA8AAAAAAAAAAQAgAAAAIgAAAGRycy9kb3ducmV2Lnht&#10;bFBLAQIUABQAAAAIAIdO4kBM1brtxAEAAHYDAAAOAAAAAAAAAAEAIAAAACMBAABkcnMvZTJvRG9j&#10;LnhtbFBLBQYAAAAABgAGAFkBAABZBQAAAAA=&#10;">
                        <v:fill on="t" focussize="0,0"/>
                        <v:stroke on="f"/>
                        <v:imagedata o:title=""/>
                        <o:lock v:ext="edit" aspectratio="f"/>
                        <v:textbox>
                          <w:txbxContent>
                            <w:p w14:paraId="1A00CCD0">
                              <w:pPr>
                                <w:rPr>
                                  <w:rFonts w:hint="eastAsia" w:eastAsia="宋体"/>
                                  <w:sz w:val="18"/>
                                  <w:szCs w:val="18"/>
                                  <w:lang w:eastAsia="zh-CN"/>
                                </w:rPr>
                              </w:pPr>
                              <w:r>
                                <w:rPr>
                                  <w:rFonts w:hint="eastAsia"/>
                                  <w:sz w:val="18"/>
                                  <w:szCs w:val="18"/>
                                  <w:lang w:eastAsia="zh-CN"/>
                                </w:rPr>
                                <w:t>噪声、废气</w:t>
                              </w:r>
                            </w:p>
                          </w:txbxContent>
                        </v:textbox>
                      </v:rect>
                      <v:line id="直线 307" o:spid="_x0000_s1026" o:spt="20" style="position:absolute;left:3214370;top:735330;flip:y;height:635;width:260985;" filled="f" stroked="t" coordsize="21600,21600" o:gfxdata="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jJvXLNYAAAAFAQAADwAAAAAAAAABACAAAAAiAAAAZHJz&#10;L2Rvd25yZXYueG1sUEsBAhQAFAAAAAgAh07iQNgY1fcGAgAA+AMAAA4AAAAAAAAAAQAgAAAAJQEA&#10;AGRycy9lMm9Eb2MueG1sUEsFBgAAAAAGAAYAWQEAAJ0FAAAAAA==&#10;">
                        <v:fill on="f" focussize="0,0"/>
                        <v:stroke color="#000000" joinstyle="round" endarrow="block"/>
                        <v:imagedata o:title=""/>
                        <o:lock v:ext="edit" aspectratio="f"/>
                      </v:line>
                      <v:line id="直线 308" o:spid="_x0000_s1026" o:spt="20" style="position:absolute;left:4551680;top:316866;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BZWqENQAAAAFAQAADwAAAAAAAAABACAAAAAiAAAAZHJz&#10;L2Rvd25yZXYueG1sUEsBAhQAFAAAAAgAh07iQGdN6hsIAgAA+AMAAA4AAAAAAAAAAQAgAAAAIwEA&#10;AGRycy9lMm9Eb2MueG1sUEsFBgAAAAAGAAYAWQEAAJ0FAAAAAA==&#10;">
                        <v:fill on="f" focussize="0,0"/>
                        <v:stroke color="#000000" joinstyle="round" dashstyle="dashDot" endarrow="block"/>
                        <v:imagedata o:title=""/>
                        <o:lock v:ext="edit" aspectratio="f"/>
                      </v:line>
                      <v:rect id="矩形 309" o:spid="_x0000_s1026" o:spt="1" style="position:absolute;left:48260;top:518796;height:330201;width:78105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uHJ7LUAAAABQEAAA8AAAAAAAAAAQAg&#10;AAAAIgAAAGRycy9kb3ducmV2LnhtbFBLAQIUABQAAAAIAIdO4kDQKzCvEgIAADgEAAAOAAAAAAAA&#10;AAEAIAAAACMBAABkcnMvZTJvRG9jLnhtbFBLBQYAAAAABgAGAFkBAACnBQAAAAA=&#10;">
                        <v:fill on="t" focussize="0,0"/>
                        <v:stroke color="#000000" joinstyle="miter" endarrow="block"/>
                        <v:imagedata o:title=""/>
                        <o:lock v:ext="edit" aspectratio="f"/>
                        <v:textbox>
                          <w:txbxContent>
                            <w:p w14:paraId="446118BA">
                              <w:pPr>
                                <w:jc w:val="center"/>
                                <w:rPr>
                                  <w:rFonts w:hint="eastAsia" w:eastAsia="宋体"/>
                                  <w:szCs w:val="21"/>
                                  <w:lang w:eastAsia="zh-CN"/>
                                </w:rPr>
                              </w:pPr>
                              <w:r>
                                <w:rPr>
                                  <w:rFonts w:hint="eastAsia"/>
                                  <w:sz w:val="21"/>
                                  <w:szCs w:val="21"/>
                                  <w:lang w:eastAsia="zh-CN"/>
                                </w:rPr>
                                <w:t>碳纤维布</w:t>
                              </w:r>
                            </w:p>
                          </w:txbxContent>
                        </v:textbox>
                      </v:rect>
                      <v:line id="直线 310" o:spid="_x0000_s1026" o:spt="20" style="position:absolute;left:5332730;top:307341;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grru/gcCAAD4AwAADgAAAAAAAAABACAAAAAjAQAA&#10;ZHJzL2Uyb0RvYy54bWxQSwUGAAAAAAYABgBZAQAAnAUAAAAA&#10;">
                        <v:fill on="f" focussize="0,0"/>
                        <v:stroke color="#000000" joinstyle="round" dashstyle="dashDot" endarrow="block"/>
                        <v:imagedata o:title=""/>
                        <o:lock v:ext="edit" aspectratio="f"/>
                      </v:line>
                      <v:rect id="矩形 311" o:spid="_x0000_s1026" o:spt="1" style="position:absolute;left:4306570;top:71120;height:266700;width:50546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yYPfYNcA&#10;AAAFAQAADwAAAAAAAAABACAAAAAiAAAAZHJzL2Rvd25yZXYueG1sUEsBAhQAFAAAAAgAh07iQKM9&#10;b/+uAQAATQMAAA4AAAAAAAAAAQAgAAAAJgEAAGRycy9lMm9Eb2MueG1sUEsFBgAAAAAGAAYAWQEA&#10;AEYFAAAAAA==&#10;">
                        <v:fill on="f" focussize="0,0"/>
                        <v:stroke on="f"/>
                        <v:imagedata o:title=""/>
                        <o:lock v:ext="edit" aspectratio="f"/>
                        <v:textbox>
                          <w:txbxContent>
                            <w:p w14:paraId="65792519">
                              <w:pPr>
                                <w:rPr>
                                  <w:rFonts w:hint="eastAsia" w:eastAsia="宋体"/>
                                  <w:sz w:val="18"/>
                                  <w:szCs w:val="18"/>
                                  <w:lang w:eastAsia="zh-CN"/>
                                </w:rPr>
                              </w:pPr>
                              <w:r>
                                <w:rPr>
                                  <w:rFonts w:hint="eastAsia"/>
                                  <w:sz w:val="18"/>
                                  <w:szCs w:val="18"/>
                                </w:rPr>
                                <w:t>噪声</w:t>
                              </w:r>
                            </w:p>
                          </w:txbxContent>
                        </v:textbox>
                      </v:rect>
                      <v:line id="直线 312" o:spid="_x0000_s1026" o:spt="20" style="position:absolute;left:5459730;top:922655;flip:y;height:481965;width:6985;"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WlbG71QAAAAUBAAAPAAAAAAAAAAEAIAAAACIAAABk&#10;cnMvZG93bnJldi54bWxQSwECFAAUAAAACACHTuJAbK1ywwkCAAD5AwAADgAAAAAAAAABACAAAAAk&#10;AQAAZHJzL2Uyb0RvYy54bWxQSwUGAAAAAAYABgBZAQAAnwUAAAAA&#10;">
                        <v:fill on="f" focussize="0,0"/>
                        <v:stroke color="#000000" joinstyle="round" startarrow="block"/>
                        <v:imagedata o:title=""/>
                        <o:lock v:ext="edit" aspectratio="f"/>
                      </v:line>
                      <v:rect id="矩形 313" o:spid="_x0000_s1026" o:spt="1" style="position:absolute;left:2094865;top:1046480;height:266700;width:1120140;"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GGgrr1AAAAAUBAAAPAAAAAAAAAAEAIAAAACIAAABkcnMvZG93bnJldi54&#10;bWxQSwECFAAUAAAACACHTuJAs5O1HsUBAAB5AwAADgAAAAAAAAABACAAAAAjAQAAZHJzL2Uyb0Rv&#10;Yy54bWxQSwUGAAAAAAYABgBZAQAAWgUAAAAA&#10;">
                        <v:fill on="t" focussize="0,0"/>
                        <v:stroke on="f"/>
                        <v:imagedata o:title=""/>
                        <o:lock v:ext="edit" aspectratio="f"/>
                        <v:textbox>
                          <w:txbxContent>
                            <w:p w14:paraId="007D8A23">
                              <w:pPr>
                                <w:rPr>
                                  <w:rFonts w:hint="eastAsia" w:eastAsia="宋体"/>
                                  <w:sz w:val="18"/>
                                  <w:szCs w:val="18"/>
                                  <w:lang w:eastAsia="zh-CN"/>
                                </w:rPr>
                              </w:pPr>
                              <w:r>
                                <w:rPr>
                                  <w:rFonts w:hint="eastAsia"/>
                                  <w:sz w:val="18"/>
                                  <w:szCs w:val="18"/>
                                  <w:lang w:eastAsia="zh-CN"/>
                                </w:rPr>
                                <w:t>噪声、废气、漆渣</w:t>
                              </w:r>
                            </w:p>
                          </w:txbxContent>
                        </v:textbox>
                      </v:rect>
                      <v:rect id="矩形 314" o:spid="_x0000_s1026" o:spt="1" style="position:absolute;left:3493770;top:570230;height:317501;width:52451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a4cnstQAAAAFAQAADwAAAAAAAAAB&#10;ACAAAAAiAAAAZHJzL2Rvd25yZXYueG1sUEsBAhQAFAAAAAgAh07iQKtW5L8UAgAAOgQAAA4AAAAA&#10;AAAAAQAgAAAAIwEAAGRycy9lMm9Eb2MueG1sUEsFBgAAAAAGAAYAWQEAAKkFAAAAAA==&#10;">
                        <v:fill on="t" focussize="0,0"/>
                        <v:stroke color="#000000" joinstyle="miter" endarrow="block"/>
                        <v:imagedata o:title=""/>
                        <o:lock v:ext="edit" aspectratio="f"/>
                        <v:textbox>
                          <w:txbxContent>
                            <w:p w14:paraId="3E4ACD6A">
                              <w:pPr>
                                <w:rPr>
                                  <w:rFonts w:hint="eastAsia" w:eastAsia="宋体"/>
                                  <w:sz w:val="21"/>
                                  <w:szCs w:val="21"/>
                                  <w:lang w:eastAsia="zh-CN"/>
                                </w:rPr>
                              </w:pPr>
                              <w:r>
                                <w:rPr>
                                  <w:rFonts w:hint="eastAsia"/>
                                  <w:sz w:val="21"/>
                                  <w:szCs w:val="21"/>
                                  <w:lang w:eastAsia="zh-CN"/>
                                </w:rPr>
                                <w:t>固化</w:t>
                              </w:r>
                            </w:p>
                          </w:txbxContent>
                        </v:textbox>
                      </v:rect>
                      <v:line id="直线 315" o:spid="_x0000_s1026" o:spt="20" style="position:absolute;left:4008755;top:1684655;height:8890;width:279400;" filled="f" stroked="t" coordsize="21600,21600" o:gfxdata="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W+g1i9cAAAAFAQAADwAAAAAAAAABACAAAAAiAAAAZHJzL2Rv&#10;d25yZXYueG1sUEsBAhQAFAAAAAgAh07iQNBWXYwCAgAA8AMAAA4AAAAAAAAAAQAgAAAAJgEAAGRy&#10;cy9lMm9Eb2MueG1sUEsFBgAAAAAGAAYAWQEAAJoFAAAAAA==&#10;">
                        <v:fill on="f" focussize="0,0"/>
                        <v:stroke color="#000000" joinstyle="round" startarrow="block"/>
                        <v:imagedata o:title=""/>
                        <o:lock v:ext="edit" aspectratio="f"/>
                      </v:line>
                      <v:rect id="矩形 316" o:spid="_x0000_s1026" o:spt="1" style="position:absolute;left:2675255;top:560706;height:317501;width:52070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a4cnstQAAAAFAQAADwAAAAAAAAAB&#10;ACAAAAAiAAAAZHJzL2Rvd25yZXYueG1sUEsBAhQAFAAAAAgAh07iQLXtmCkUAgAAOgQAAA4AAAAA&#10;AAAAAQAgAAAAIwEAAGRycy9lMm9Eb2MueG1sUEsFBgAAAAAGAAYAWQEAAKkFAAAAAA==&#10;">
                        <v:fill on="t" focussize="0,0"/>
                        <v:stroke color="#000000" joinstyle="miter" endarrow="block"/>
                        <v:imagedata o:title=""/>
                        <o:lock v:ext="edit" aspectratio="f"/>
                        <v:textbox>
                          <w:txbxContent>
                            <w:p w14:paraId="2E4F3010">
                              <w:pPr>
                                <w:rPr>
                                  <w:rFonts w:hint="eastAsia" w:eastAsia="宋体"/>
                                  <w:sz w:val="21"/>
                                  <w:szCs w:val="21"/>
                                  <w:lang w:eastAsia="zh-CN"/>
                                </w:rPr>
                              </w:pPr>
                              <w:r>
                                <w:rPr>
                                  <w:rFonts w:hint="eastAsia"/>
                                  <w:sz w:val="21"/>
                                  <w:szCs w:val="21"/>
                                  <w:lang w:eastAsia="zh-CN"/>
                                </w:rPr>
                                <w:t>缠带</w:t>
                              </w:r>
                            </w:p>
                          </w:txbxContent>
                        </v:textbox>
                      </v:rect>
                      <v:line id="直线 317" o:spid="_x0000_s1026" o:spt="20" style="position:absolute;left:3246755;top:1722120;flip:y;height:635;width:269875;"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FaVsbvVAAAABQEAAA8AAAAAAAAAAQAgAAAAIgAAAGRycy9k&#10;b3ducmV2LnhtbFBLAQIUABQAAAAIAIdO4kDGZMe6BQIAAPkDAAAOAAAAAAAAAAEAIAAAACQBAABk&#10;cnMvZTJvRG9jLnhtbFBLBQYAAAAABgAGAFkBAACbBQAAAAA=&#10;">
                        <v:fill on="f" focussize="0,0"/>
                        <v:stroke color="#000000" joinstyle="round" startarrow="block"/>
                        <v:imagedata o:title=""/>
                        <o:lock v:ext="edit" aspectratio="f"/>
                      </v:line>
                      <v:rect id="矩形 318" o:spid="_x0000_s1026" o:spt="1" style="position:absolute;left:1875155;top:541656;height:317501;width:52070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GuHJ7LUAAAABQEAAA8AAAAAAAAA&#10;AQAgAAAAIgAAAGRycy9kb3ducmV2LnhtbFBLAQIUABQAAAAIAIdO4kAAu0bNFQIAADoEAAAOAAAA&#10;AAAAAAEAIAAAACMBAABkcnMvZTJvRG9jLnhtbFBLBQYAAAAABgAGAFkBAACqBQAAAAA=&#10;">
                        <v:fill on="t" focussize="0,0"/>
                        <v:stroke color="#000000" joinstyle="miter" endarrow="block"/>
                        <v:imagedata o:title=""/>
                        <o:lock v:ext="edit" aspectratio="f"/>
                        <v:textbox>
                          <w:txbxContent>
                            <w:p w14:paraId="654870FF">
                              <w:pPr>
                                <w:rPr>
                                  <w:rFonts w:hint="eastAsia" w:eastAsia="宋体"/>
                                  <w:sz w:val="21"/>
                                  <w:szCs w:val="21"/>
                                  <w:lang w:eastAsia="zh-CN"/>
                                </w:rPr>
                              </w:pPr>
                              <w:r>
                                <w:rPr>
                                  <w:rFonts w:hint="eastAsia"/>
                                  <w:sz w:val="21"/>
                                  <w:szCs w:val="21"/>
                                  <w:lang w:eastAsia="zh-CN"/>
                                </w:rPr>
                                <w:t>卷管</w:t>
                              </w:r>
                            </w:p>
                          </w:txbxContent>
                        </v:textbox>
                      </v:rect>
                      <v:line id="直线 319" o:spid="_x0000_s1026" o:spt="20" style="position:absolute;left:4037330;top:713105;flip:y;height:0;width:254000;" filled="f" stroked="t" coordsize="21600,21600" o:gfxdata="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yb1yzWAAAABQEAAA8AAAAAAAAAAQAgAAAAIgAAAGRy&#10;cy9kb3ducmV2LnhtbFBLAQIUABQAAAAIAIdO4kCR4ieoBwIAAPYDAAAOAAAAAAAAAAEAIAAAACUB&#10;AABkcnMvZTJvRG9jLnhtbFBLBQYAAAAABgAGAFkBAACeBQAAAAA=&#10;">
                        <v:fill on="f" focussize="0,0"/>
                        <v:stroke color="#000000" joinstyle="round" endarrow="block"/>
                        <v:imagedata o:title=""/>
                        <o:lock v:ext="edit" aspectratio="f"/>
                      </v:line>
                      <v:rect id="矩形 320" o:spid="_x0000_s1026" o:spt="1" style="position:absolute;left:5113655;top:1522730;height:317500;width:52070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rhyey1AAAAAUBAAAPAAAAAAAAAAEA&#10;IAAAACIAAABkcnMvZG93bnJldi54bWxQSwECFAAUAAAACACHTuJANsqTTBMCAAA7BAAADgAAAAAA&#10;AAABACAAAAAjAQAAZHJzL2Uyb0RvYy54bWxQSwUGAAAAAAYABgBZAQAAqAUAAAAA&#10;">
                        <v:fill on="t" focussize="0,0"/>
                        <v:stroke color="#000000" joinstyle="miter" endarrow="block"/>
                        <v:imagedata o:title=""/>
                        <o:lock v:ext="edit" aspectratio="f"/>
                        <v:textbox>
                          <w:txbxContent>
                            <w:p w14:paraId="24DCC2F9">
                              <w:pPr>
                                <w:rPr>
                                  <w:rFonts w:hint="eastAsia" w:eastAsia="宋体"/>
                                  <w:sz w:val="21"/>
                                  <w:szCs w:val="21"/>
                                  <w:lang w:eastAsia="zh-CN"/>
                                </w:rPr>
                              </w:pPr>
                              <w:r>
                                <w:rPr>
                                  <w:rFonts w:hint="eastAsia"/>
                                  <w:sz w:val="21"/>
                                  <w:szCs w:val="21"/>
                                  <w:lang w:eastAsia="zh-CN"/>
                                </w:rPr>
                                <w:t>切断</w:t>
                              </w:r>
                            </w:p>
                          </w:txbxContent>
                        </v:textbox>
                      </v:rect>
                      <v:rect id="矩形 321" o:spid="_x0000_s1026" o:spt="1" style="position:absolute;left:5094605;top:589280;height:317501;width:52070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rhyey1AAAAAUBAAAPAAAAAAAA&#10;AAEAIAAAACIAAABkcnMvZG93bnJldi54bWxQSwECFAAUAAAACACHTuJAcDYJ8BYCAAA6BAAADgAA&#10;AAAAAAABACAAAAAjAQAAZHJzL2Uyb0RvYy54bWxQSwUGAAAAAAYABgBZAQAAqwUAAAAA&#10;">
                        <v:fill on="t" focussize="0,0"/>
                        <v:stroke color="#000000" joinstyle="miter" endarrow="block"/>
                        <v:imagedata o:title=""/>
                        <o:lock v:ext="edit" aspectratio="f"/>
                        <v:textbox>
                          <w:txbxContent>
                            <w:p w14:paraId="049E2199">
                              <w:pPr>
                                <w:rPr>
                                  <w:rFonts w:hint="eastAsia" w:eastAsia="宋体"/>
                                  <w:sz w:val="21"/>
                                  <w:szCs w:val="21"/>
                                  <w:lang w:eastAsia="zh-CN"/>
                                </w:rPr>
                              </w:pPr>
                              <w:r>
                                <w:rPr>
                                  <w:rFonts w:hint="eastAsia"/>
                                  <w:sz w:val="21"/>
                                  <w:szCs w:val="21"/>
                                  <w:lang w:eastAsia="zh-CN"/>
                                </w:rPr>
                                <w:t>扒带</w:t>
                              </w:r>
                            </w:p>
                          </w:txbxContent>
                        </v:textbox>
                      </v:rect>
                      <v:rect id="矩形 322" o:spid="_x0000_s1026" o:spt="1" style="position:absolute;left:4294505;top:560705;height:317501;width:52070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rhyey1AAAAAUBAAAPAAAAAAAAAAEA&#10;IAAAACIAAABkcnMvZG93bnJldi54bWxQSwECFAAUAAAACACHTuJAusC8axMCAAA6BAAADgAAAAAA&#10;AAABACAAAAAjAQAAZHJzL2Uyb0RvYy54bWxQSwUGAAAAAAYABgBZAQAAqAUAAAAA&#10;">
                        <v:fill on="t" focussize="0,0"/>
                        <v:stroke color="#000000" joinstyle="miter" endarrow="block"/>
                        <v:imagedata o:title=""/>
                        <o:lock v:ext="edit" aspectratio="f"/>
                        <v:textbox>
                          <w:txbxContent>
                            <w:p w14:paraId="2315D11A">
                              <w:pPr>
                                <w:rPr>
                                  <w:rFonts w:hint="eastAsia" w:eastAsia="宋体"/>
                                  <w:sz w:val="21"/>
                                  <w:szCs w:val="21"/>
                                  <w:lang w:eastAsia="zh-CN"/>
                                </w:rPr>
                              </w:pPr>
                              <w:r>
                                <w:rPr>
                                  <w:rFonts w:hint="eastAsia"/>
                                  <w:sz w:val="21"/>
                                  <w:szCs w:val="21"/>
                                  <w:lang w:eastAsia="zh-CN"/>
                                </w:rPr>
                                <w:t>脱芯</w:t>
                              </w:r>
                            </w:p>
                          </w:txbxContent>
                        </v:textbox>
                      </v:rect>
                      <v:line id="直线 323" o:spid="_x0000_s1026" o:spt="20" style="position:absolute;left:4827905;top:741680;flip:y;height:0;width:254000;" filled="f" stroked="t" coordsize="21600,21600" o:gfxdata="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jJvXLNYAAAAFAQAADwAAAAAAAAABACAAAAAiAAAAZHJz&#10;L2Rvd25yZXYueG1sUEsBAhQAFAAAAAgAh07iQA3+qzkGAgAA9gMAAA4AAAAAAAAAAQAgAAAAJQEA&#10;AGRycy9lMm9Eb2MueG1sUEsFBgAAAAAGAAYAWQEAAJ0FAAAAAA==&#10;">
                        <v:fill on="f" focussize="0,0"/>
                        <v:stroke color="#000000" joinstyle="round" endarrow="block"/>
                        <v:imagedata o:title=""/>
                        <o:lock v:ext="edit" aspectratio="f"/>
                      </v:line>
                      <v:line id="直线 324" o:spid="_x0000_s1026" o:spt="20" style="position:absolute;left:2941955;top:303531;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FlaoQ1AAAAAUBAAAPAAAAAAAAAAEAIAAAACIAAABk&#10;cnMvZG93bnJldi54bWxQSwECFAAUAAAACACHTuJAuj+Y5AoCAAD4AwAADgAAAAAAAAABACAAAAAj&#10;AQAAZHJzL2Uyb0RvYy54bWxQSwUGAAAAAAYABgBZAQAAnwUAAAAA&#10;">
                        <v:fill on="f" focussize="0,0"/>
                        <v:stroke color="#000000" joinstyle="round" dashstyle="dashDot" endarrow="block"/>
                        <v:imagedata o:title=""/>
                        <o:lock v:ext="edit" aspectratio="f"/>
                      </v:line>
                      <v:line id="直线 325" o:spid="_x0000_s1026" o:spt="20" style="position:absolute;left:4513580;top:1265555;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AWVqhDUAAAABQEAAA8AAAAAAAAAAQAgAAAAIgAAAGRycy9k&#10;b3ducmV2LnhtbFBLAQIUABQAAAAIAIdO4kCht2AABgIAAPkDAAAOAAAAAAAAAAEAIAAAACMBAABk&#10;cnMvZTJvRG9jLnhtbFBLBQYAAAAABgAGAFkBAACbBQAAAAA=&#10;">
                        <v:fill on="f" focussize="0,0"/>
                        <v:stroke color="#000000" joinstyle="round" dashstyle="dashDot" endarrow="block"/>
                        <v:imagedata o:title=""/>
                        <o:lock v:ext="edit" aspectratio="f"/>
                      </v:line>
                      <v:rect id="矩形 326" o:spid="_x0000_s1026" o:spt="1" style="position:absolute;left:2570480;top:36830;height:266700;width:7239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yYPfYNcA&#10;AAAFAQAADwAAAAAAAAABACAAAAAiAAAAZHJzL2Rvd25yZXYueG1sUEsBAhQAFAAAAAgAh07iQOlT&#10;LfauAQAATQMAAA4AAAAAAAAAAQAgAAAAJgEAAGRycy9lMm9Eb2MueG1sUEsFBgAAAAAGAAYAWQEA&#10;AEYFAAAAAA==&#10;">
                        <v:fill on="f" focussize="0,0"/>
                        <v:stroke on="f"/>
                        <v:imagedata o:title=""/>
                        <o:lock v:ext="edit" aspectratio="f"/>
                        <v:textbox>
                          <w:txbxContent>
                            <w:p w14:paraId="731EADDB">
                              <w:pPr>
                                <w:rPr>
                                  <w:rFonts w:hint="eastAsia" w:eastAsia="宋体"/>
                                  <w:sz w:val="18"/>
                                  <w:szCs w:val="18"/>
                                  <w:lang w:eastAsia="zh-CN"/>
                                </w:rPr>
                              </w:pPr>
                              <w:r>
                                <w:rPr>
                                  <w:rFonts w:hint="eastAsia"/>
                                  <w:sz w:val="18"/>
                                  <w:szCs w:val="18"/>
                                </w:rPr>
                                <w:t>噪声</w:t>
                              </w:r>
                              <w:r>
                                <w:rPr>
                                  <w:rFonts w:hint="eastAsia"/>
                                  <w:sz w:val="18"/>
                                  <w:szCs w:val="18"/>
                                  <w:lang w:eastAsia="zh-CN"/>
                                </w:rPr>
                                <w:t>、固废</w:t>
                              </w:r>
                            </w:p>
                          </w:txbxContent>
                        </v:textbox>
                      </v:rect>
                      <v:rect id="矩形 327" o:spid="_x0000_s1026" o:spt="1" style="position:absolute;left:1922780;top:9525;height:266700;width:4953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yYPfYNcA&#10;AAAFAQAADwAAAAAAAAABACAAAAAiAAAAZHJzL2Rvd25yZXYueG1sUEsBAhQAFAAAAAgAh07iQLwN&#10;x2WuAQAATAMAAA4AAAAAAAAAAQAgAAAAJgEAAGRycy9lMm9Eb2MueG1sUEsFBgAAAAAGAAYAWQEA&#10;AEYFAAAAAA==&#10;">
                        <v:fill on="f" focussize="0,0"/>
                        <v:stroke on="f"/>
                        <v:imagedata o:title=""/>
                        <o:lock v:ext="edit" aspectratio="f"/>
                        <v:textbox>
                          <w:txbxContent>
                            <w:p w14:paraId="1E95BEC4">
                              <w:pPr>
                                <w:rPr>
                                  <w:rFonts w:hint="eastAsia" w:eastAsia="宋体"/>
                                  <w:sz w:val="18"/>
                                  <w:szCs w:val="18"/>
                                  <w:lang w:eastAsia="zh-CN"/>
                                </w:rPr>
                              </w:pPr>
                              <w:r>
                                <w:rPr>
                                  <w:rFonts w:hint="eastAsia"/>
                                  <w:sz w:val="18"/>
                                  <w:szCs w:val="18"/>
                                </w:rPr>
                                <w:t>噪声</w:t>
                              </w:r>
                            </w:p>
                          </w:txbxContent>
                        </v:textbox>
                      </v:rect>
                      <v:rect id="矩形 328" o:spid="_x0000_s1026" o:spt="1" style="position:absolute;left:4980305;top:46355;height:266700;width:711200;"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AYaCuvUAAAABQEAAA8AAAAAAAAAAQAgAAAAIgAAAGRycy9kb3ducmV2LnhtbFBL&#10;AQIUABQAAAAIAIdO4kAlhf4NwQEAAHYDAAAOAAAAAAAAAAEAIAAAACMBAABkcnMvZTJvRG9jLnht&#10;bFBLBQYAAAAABgAGAFkBAABWBQAAAAA=&#10;">
                        <v:fill on="t" focussize="0,0"/>
                        <v:stroke on="f"/>
                        <v:imagedata o:title=""/>
                        <o:lock v:ext="edit" aspectratio="f"/>
                        <v:textbox>
                          <w:txbxContent>
                            <w:p w14:paraId="6F976007">
                              <w:pPr>
                                <w:jc w:val="center"/>
                                <w:rPr>
                                  <w:rFonts w:hint="eastAsia" w:eastAsia="宋体"/>
                                  <w:sz w:val="18"/>
                                  <w:szCs w:val="18"/>
                                  <w:lang w:eastAsia="zh-CN"/>
                                </w:rPr>
                              </w:pPr>
                              <w:r>
                                <w:rPr>
                                  <w:rFonts w:hint="eastAsia"/>
                                  <w:sz w:val="18"/>
                                  <w:szCs w:val="18"/>
                                  <w:lang w:eastAsia="zh-CN"/>
                                </w:rPr>
                                <w:t>噪声、固废</w:t>
                              </w:r>
                            </w:p>
                          </w:txbxContent>
                        </v:textbox>
                      </v:rect>
                      <v:line id="直线 329" o:spid="_x0000_s1026" o:spt="20" style="position:absolute;left:5199380;top:1275080;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CylzbAcCAAD5AwAADgAAAAAAAAABACAAAAAjAQAA&#10;ZHJzL2Uyb0RvYy54bWxQSwUGAAAAAAYABgBZAQAAnAUAAAAA&#10;">
                        <v:fill on="f" focussize="0,0"/>
                        <v:stroke color="#000000" joinstyle="round" dashstyle="dashDot" endarrow="block"/>
                        <v:imagedata o:title=""/>
                        <o:lock v:ext="edit" aspectratio="f"/>
                      </v:line>
                      <v:rect id="矩形 330" o:spid="_x0000_s1026" o:spt="1" style="position:absolute;left:4761230;top:1056005;height:266700;width:7112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mD32DX&#10;AAAABQEAAA8AAAAAAAAAAQAgAAAAIgAAAGRycy9kb3ducmV2LnhtbFBLAQIUABQAAAAIAIdO4kDr&#10;pUI1rwEAAE8DAAAOAAAAAAAAAAEAIAAAACYBAABkcnMvZTJvRG9jLnhtbFBLBQYAAAAABgAGAFkB&#10;AABHBQAAAAA=&#10;">
                        <v:fill on="f" focussize="0,0"/>
                        <v:stroke on="f"/>
                        <v:imagedata o:title=""/>
                        <o:lock v:ext="edit" aspectratio="f"/>
                        <v:textbox>
                          <w:txbxContent>
                            <w:p w14:paraId="64AB18D4">
                              <w:pPr>
                                <w:jc w:val="center"/>
                                <w:rPr>
                                  <w:rFonts w:hint="eastAsia" w:eastAsia="宋体"/>
                                  <w:sz w:val="18"/>
                                  <w:szCs w:val="18"/>
                                  <w:lang w:eastAsia="zh-CN"/>
                                </w:rPr>
                              </w:pPr>
                              <w:r>
                                <w:rPr>
                                  <w:rFonts w:hint="eastAsia"/>
                                  <w:sz w:val="18"/>
                                  <w:szCs w:val="18"/>
                                </w:rPr>
                                <w:t>噪声</w:t>
                              </w:r>
                              <w:r>
                                <w:rPr>
                                  <w:rFonts w:hint="eastAsia"/>
                                  <w:sz w:val="18"/>
                                  <w:szCs w:val="18"/>
                                  <w:lang w:eastAsia="zh-CN"/>
                                </w:rPr>
                                <w:t>、固废</w:t>
                              </w:r>
                            </w:p>
                          </w:txbxContent>
                        </v:textbox>
                      </v:rect>
                      <v:rect id="矩形 331" o:spid="_x0000_s1026" o:spt="1" style="position:absolute;left:4313555;top:1522730;height:317500;width:52070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uHJ7LUAAAABQEAAA8AAAAAAAAAAQAg&#10;AAAAIgAAAGRycy9kb3ducmV2LnhtbFBLAQIUABQAAAAIAIdO4kB8TDZVEgIAADsEAAAOAAAAAAAA&#10;AAEAIAAAACMBAABkcnMvZTJvRG9jLnhtbFBLBQYAAAAABgAGAFkBAACnBQAAAAA=&#10;">
                        <v:fill on="t" focussize="0,0"/>
                        <v:stroke color="#000000" joinstyle="miter" endarrow="block"/>
                        <v:imagedata o:title=""/>
                        <o:lock v:ext="edit" aspectratio="f"/>
                        <v:textbox>
                          <w:txbxContent>
                            <w:p w14:paraId="68845D06">
                              <w:pPr>
                                <w:rPr>
                                  <w:rFonts w:hint="eastAsia" w:eastAsia="宋体"/>
                                  <w:sz w:val="21"/>
                                  <w:szCs w:val="21"/>
                                  <w:lang w:eastAsia="zh-CN"/>
                                </w:rPr>
                              </w:pPr>
                              <w:r>
                                <w:rPr>
                                  <w:rFonts w:hint="eastAsia"/>
                                  <w:sz w:val="21"/>
                                  <w:szCs w:val="21"/>
                                  <w:lang w:eastAsia="zh-CN"/>
                                </w:rPr>
                                <w:t>精磨</w:t>
                              </w:r>
                            </w:p>
                          </w:txbxContent>
                        </v:textbox>
                      </v:rect>
                      <v:rect id="矩形 332" o:spid="_x0000_s1026" o:spt="1" style="position:absolute;left:4275455;top:1046480;height:266700;width:4953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yYPf&#10;YNcAAAAFAQAADwAAAAAAAAABACAAAAAiAAAAZHJzL2Rvd25yZXYueG1sUEsBAhQAFAAAAAgAh07i&#10;QMJTQwuxAQAATwMAAA4AAAAAAAAAAQAgAAAAJgEAAGRycy9lMm9Eb2MueG1sUEsFBgAAAAAGAAYA&#10;WQEAAEkFAAAAAA==&#10;">
                        <v:fill on="f" focussize="0,0"/>
                        <v:stroke on="f"/>
                        <v:imagedata o:title=""/>
                        <o:lock v:ext="edit" aspectratio="f"/>
                        <v:textbox>
                          <w:txbxContent>
                            <w:p w14:paraId="14009869">
                              <w:pPr>
                                <w:rPr>
                                  <w:rFonts w:hint="eastAsia" w:eastAsia="宋体"/>
                                  <w:sz w:val="18"/>
                                  <w:szCs w:val="18"/>
                                  <w:lang w:eastAsia="zh-CN"/>
                                </w:rPr>
                              </w:pPr>
                              <w:r>
                                <w:rPr>
                                  <w:rFonts w:hint="eastAsia"/>
                                  <w:sz w:val="18"/>
                                  <w:szCs w:val="18"/>
                                </w:rPr>
                                <w:t>噪声</w:t>
                              </w:r>
                            </w:p>
                          </w:txbxContent>
                        </v:textbox>
                      </v:rect>
                      <v:rect id="矩形 333" o:spid="_x0000_s1026" o:spt="1" style="position:absolute;left:3494405;top:1522730;height:317500;width:484505;"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GuHJ7LUAAAABQEAAA8AAAAA&#10;AAAAAQAgAAAAIgAAAGRycy9kb3ducmV2LnhtbFBLAQIUABQAAAAIAIdO4kACDZLaGAIAADsEAAAO&#10;AAAAAAAAAAEAIAAAACMBAABkcnMvZTJvRG9jLnhtbFBLBQYAAAAABgAGAFkBAACtBQAAAAA=&#10;">
                        <v:fill on="t" focussize="0,0"/>
                        <v:stroke color="#000000" joinstyle="miter" endarrow="block"/>
                        <v:imagedata o:title=""/>
                        <o:lock v:ext="edit" aspectratio="f"/>
                        <v:textbox>
                          <w:txbxContent>
                            <w:p w14:paraId="557938E4">
                              <w:pPr>
                                <w:rPr>
                                  <w:rFonts w:hint="eastAsia" w:eastAsia="宋体"/>
                                  <w:sz w:val="21"/>
                                  <w:szCs w:val="21"/>
                                  <w:lang w:eastAsia="zh-CN"/>
                                </w:rPr>
                              </w:pPr>
                              <w:r>
                                <w:rPr>
                                  <w:rFonts w:hint="eastAsia"/>
                                  <w:sz w:val="21"/>
                                  <w:szCs w:val="21"/>
                                  <w:lang w:eastAsia="zh-CN"/>
                                </w:rPr>
                                <w:t>水磨</w:t>
                              </w:r>
                            </w:p>
                          </w:txbxContent>
                        </v:textbox>
                      </v:rect>
                      <v:line id="直线 334" o:spid="_x0000_s1026" o:spt="20" style="position:absolute;left:4665980;top:1846580;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U5waLQcCAAD5AwAADgAAAAAAAAABACAAAAAjAQAA&#10;ZHJzL2Uyb0RvYy54bWxQSwUGAAAAAAYABgBZAQAAnAUAAAAA&#10;">
                        <v:fill on="f" focussize="0,0"/>
                        <v:stroke color="#000000" joinstyle="round" dashstyle="dashDot" endarrow="block"/>
                        <v:imagedata o:title=""/>
                        <o:lock v:ext="edit" aspectratio="f"/>
                      </v:line>
                      <v:rect id="矩形 335" o:spid="_x0000_s1026" o:spt="1" style="position:absolute;left:4265930;top:2037080;height:266700;width:711200;"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AYaCuvUAAAABQEAAA8AAAAAAAAAAQAgAAAAIgAAAGRycy9kb3ducmV2Lnht&#10;bFBLAQIUABQAAAAIAIdO4kDIYIy5xAEAAHgDAAAOAAAAAAAAAAEAIAAAACMBAABkcnMvZTJvRG9j&#10;LnhtbFBLBQYAAAAABgAGAFkBAABZBQAAAAA=&#10;">
                        <v:fill on="t" focussize="0,0"/>
                        <v:stroke on="f"/>
                        <v:imagedata o:title=""/>
                        <o:lock v:ext="edit" aspectratio="f"/>
                        <v:textbox>
                          <w:txbxContent>
                            <w:p w14:paraId="15237039">
                              <w:pPr>
                                <w:jc w:val="center"/>
                                <w:rPr>
                                  <w:rFonts w:hint="eastAsia" w:eastAsia="宋体"/>
                                  <w:sz w:val="18"/>
                                  <w:szCs w:val="18"/>
                                  <w:lang w:eastAsia="zh-CN"/>
                                </w:rPr>
                              </w:pPr>
                              <w:r>
                                <w:rPr>
                                  <w:rFonts w:hint="eastAsia"/>
                                  <w:sz w:val="18"/>
                                  <w:szCs w:val="18"/>
                                  <w:lang w:eastAsia="zh-CN"/>
                                </w:rPr>
                                <w:t>水循环</w:t>
                              </w:r>
                            </w:p>
                          </w:txbxContent>
                        </v:textbox>
                      </v:rect>
                      <v:rect id="矩形 336" o:spid="_x0000_s1026" o:spt="1" style="position:absolute;left:2751455;top:1532255;height:317500;width:501015;"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rhyey1AAAAAUBAAAPAAAAAAAA&#10;AAEAIAAAACIAAABkcnMvZG93bnJldi54bWxQSwECFAAUAAAACACHTuJAovU9jRYCAAA7BAAADgAA&#10;AAAAAAABACAAAAAjAQAAZHJzL2Uyb0RvYy54bWxQSwUGAAAAAAYABgBZAQAAqwUAAAAA&#10;">
                        <v:fill on="t" focussize="0,0"/>
                        <v:stroke color="#000000" joinstyle="miter" endarrow="block"/>
                        <v:imagedata o:title=""/>
                        <o:lock v:ext="edit" aspectratio="f"/>
                        <v:textbox>
                          <w:txbxContent>
                            <w:p w14:paraId="1744CF63">
                              <w:pPr>
                                <w:rPr>
                                  <w:rFonts w:hint="eastAsia" w:eastAsia="宋体"/>
                                  <w:sz w:val="21"/>
                                  <w:szCs w:val="21"/>
                                  <w:lang w:eastAsia="zh-CN"/>
                                </w:rPr>
                              </w:pPr>
                              <w:r>
                                <w:rPr>
                                  <w:rFonts w:hint="eastAsia"/>
                                  <w:sz w:val="21"/>
                                  <w:szCs w:val="21"/>
                                  <w:lang w:eastAsia="zh-CN"/>
                                </w:rPr>
                                <w:t>拉漆</w:t>
                              </w:r>
                            </w:p>
                          </w:txbxContent>
                        </v:textbox>
                      </v:rect>
                      <v:line id="直线 337" o:spid="_x0000_s1026" o:spt="20" style="position:absolute;left:2488565;top:1704975;flip:y;height:635;width:279400;"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FaVsbvVAAAABQEAAA8AAAAAAAAAAQAgAAAAIgAAAGRy&#10;cy9kb3ducmV2LnhtbFBLAQIUABQAAAAIAIdO4kCqU3K9CAIAAPkDAAAOAAAAAAAAAAEAIAAAACQB&#10;AABkcnMvZTJvRG9jLnhtbFBLBQYAAAAABgAGAFkBAACeBQAAAAA=&#10;">
                        <v:fill on="f" focussize="0,0"/>
                        <v:stroke color="#000000" joinstyle="round" startarrow="block"/>
                        <v:imagedata o:title=""/>
                        <o:lock v:ext="edit" aspectratio="f"/>
                      </v:line>
                      <v:rect id="矩形 338" o:spid="_x0000_s1026" o:spt="1" style="position:absolute;left:1998980;top:1532255;height:317500;width:50038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a4cnstQAAAAFAQAADwAAAAAAAAAB&#10;ACAAAAAiAAAAZHJzL2Rvd25yZXYueG1sUEsBAhQAFAAAAAgAh07iQBgvuY4UAgAAOwQAAA4AAAAA&#10;AAAAAQAgAAAAIwEAAGRycy9lMm9Eb2MueG1sUEsFBgAAAAAGAAYAWQEAAKkFAAAAAA==&#10;">
                        <v:fill on="t" focussize="0,0"/>
                        <v:stroke color="#000000" joinstyle="miter" endarrow="block"/>
                        <v:imagedata o:title=""/>
                        <o:lock v:ext="edit" aspectratio="f"/>
                        <v:textbox>
                          <w:txbxContent>
                            <w:p w14:paraId="5FA0EFB2">
                              <w:pPr>
                                <w:rPr>
                                  <w:rFonts w:hint="eastAsia" w:eastAsia="宋体"/>
                                  <w:sz w:val="21"/>
                                  <w:szCs w:val="21"/>
                                  <w:lang w:eastAsia="zh-CN"/>
                                </w:rPr>
                              </w:pPr>
                              <w:r>
                                <w:rPr>
                                  <w:rFonts w:hint="eastAsia"/>
                                  <w:sz w:val="21"/>
                                  <w:szCs w:val="21"/>
                                  <w:lang w:eastAsia="zh-CN"/>
                                </w:rPr>
                                <w:t>喷漆</w:t>
                              </w:r>
                            </w:p>
                          </w:txbxContent>
                        </v:textbox>
                      </v:rect>
                      <v:line id="直线 339" o:spid="_x0000_s1026" o:spt="20" style="position:absolute;left:1722755;top:1712595;flip:y;height:635;width:288925;"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VpWxu9UAAAAFAQAADwAAAAAAAAABACAAAAAiAAAAZHJz&#10;L2Rvd25yZXYueG1sUEsBAhQAFAAAAAgAh07iQHppecAHAgAA+QMAAA4AAAAAAAAAAQAgAAAAJAEA&#10;AGRycy9lMm9Eb2MueG1sUEsFBgAAAAAGAAYAWQEAAJ0FAAAAAA==&#10;">
                        <v:fill on="f" focussize="0,0"/>
                        <v:stroke color="#000000" joinstyle="round" startarrow="block"/>
                        <v:imagedata o:title=""/>
                        <o:lock v:ext="edit" aspectratio="f"/>
                      </v:line>
                      <v:line id="直线 341" o:spid="_x0000_s1026" o:spt="20" style="position:absolute;left:2322830;top:1856105;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9sSW4wcCAAD5AwAADgAAAAAAAAABACAAAAAjAQAA&#10;ZHJzL2Uyb0RvYy54bWxQSwUGAAAAAAYABgBZAQAAnAUAAAAA&#10;">
                        <v:fill on="f" focussize="0,0"/>
                        <v:stroke color="#000000" joinstyle="round" dashstyle="dashDot" endarrow="block"/>
                        <v:imagedata o:title=""/>
                        <o:lock v:ext="edit" aspectratio="f"/>
                      </v:line>
                      <v:line id="直线 342" o:spid="_x0000_s1026" o:spt="20" style="position:absolute;left:1503680;top:1265555;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AWVqhDUAAAABQEAAA8AAAAAAAAAAQAgAAAAIgAAAGRycy9k&#10;b3ducmV2LnhtbFBLAQIUABQAAAAIAIdO4kDA2EgrBgIAAPkDAAAOAAAAAAAAAAEAIAAAACMBAABk&#10;cnMvZTJvRG9jLnhtbFBLBQYAAAAABgAGAFkBAACbBQAAAAA=&#10;">
                        <v:fill on="f" focussize="0,0"/>
                        <v:stroke color="#000000" joinstyle="round" dashstyle="dashDot" endarrow="block"/>
                        <v:imagedata o:title=""/>
                        <o:lock v:ext="edit" aspectratio="f"/>
                      </v:line>
                      <v:line id="直线 343" o:spid="_x0000_s1026" o:spt="20" style="position:absolute;left:3694430;top:1275080;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BZWqENQAAAAFAQAADwAAAAAAAAABACAAAAAiAAAAZHJz&#10;L2Rvd25yZXYueG1sUEsBAhQAFAAAAAgAh07iQH0jh1cIAgAA+QMAAA4AAAAAAAAAAQAgAAAAIwEA&#10;AGRycy9lMm9Eb2MueG1sUEsFBgAAAAAGAAYAWQEAAJ0FAAAAAA==&#10;">
                        <v:fill on="f" focussize="0,0"/>
                        <v:stroke color="#000000" joinstyle="round" dashstyle="dashDot" endarrow="block"/>
                        <v:imagedata o:title=""/>
                        <o:lock v:ext="edit" aspectratio="f"/>
                      </v:line>
                      <v:line id="直线 344" o:spid="_x0000_s1026" o:spt="20" style="position:absolute;left:2951480;top:1294130;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AWVqhDUAAAABQEAAA8AAAAAAAAAAQAgAAAAIgAAAGRy&#10;cy9kb3ducmV2LnhtbFBLAQIUABQAAAAIAIdO4kAoZgnBCQIAAPkDAAAOAAAAAAAAAAEAIAAAACMB&#10;AABkcnMvZTJvRG9jLnhtbFBLBQYAAAAABgAGAFkBAACeBQAAAAA=&#10;">
                        <v:fill on="f" focussize="0,0"/>
                        <v:stroke color="#000000" joinstyle="round" dashstyle="dashDot" endarrow="block"/>
                        <v:imagedata o:title=""/>
                        <o:lock v:ext="edit" aspectratio="f"/>
                      </v:line>
                      <v:rect id="矩形 346" o:spid="_x0000_s1026" o:spt="1" style="position:absolute;left:3494405;top:1046480;height:266700;width:460375;"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yYPf&#10;YNcAAAAFAQAADwAAAAAAAAABACAAAAAiAAAAZHJzL2Rvd25yZXYueG1sUEsBAhQAFAAAAAgAh07i&#10;QHGM0HexAQAATwMAAA4AAAAAAAAAAQAgAAAAJgEAAGRycy9lMm9Eb2MueG1sUEsFBgAAAAAGAAYA&#10;WQEAAEkFAAAAAA==&#10;">
                        <v:fill on="f" focussize="0,0"/>
                        <v:stroke on="f"/>
                        <v:imagedata o:title=""/>
                        <o:lock v:ext="edit" aspectratio="f"/>
                        <v:textbox>
                          <w:txbxContent>
                            <w:p w14:paraId="2437BFD7">
                              <w:pPr>
                                <w:rPr>
                                  <w:rFonts w:hint="eastAsia" w:eastAsia="宋体"/>
                                  <w:sz w:val="18"/>
                                  <w:szCs w:val="18"/>
                                  <w:lang w:eastAsia="zh-CN"/>
                                </w:rPr>
                              </w:pPr>
                              <w:r>
                                <w:rPr>
                                  <w:rFonts w:hint="eastAsia"/>
                                  <w:sz w:val="18"/>
                                  <w:szCs w:val="18"/>
                                  <w:lang w:eastAsia="zh-CN"/>
                                </w:rPr>
                                <w:t>噪声</w:t>
                              </w:r>
                            </w:p>
                          </w:txbxContent>
                        </v:textbox>
                      </v:rect>
                      <v:line id="直线 347" o:spid="_x0000_s1026" o:spt="20" style="position:absolute;left:941705;top:1703705;flip:y;height:0;width:279400;"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VpWxu9UAAAAFAQAADwAAAAAAAAABACAAAAAiAAAAZHJzL2Rv&#10;d25yZXYueG1sUEsBAhQAFAAAAAgAh07iQAByLqIEAgAA9gMAAA4AAAAAAAAAAQAgAAAAJAEAAGRy&#10;cy9lMm9Eb2MueG1sUEsFBgAAAAAGAAYAWQEAAJoFAAAAAA==&#10;">
                        <v:fill on="f" focussize="0,0"/>
                        <v:stroke color="#000000" joinstyle="round" startarrow="block"/>
                        <v:imagedata o:title=""/>
                        <o:lock v:ext="edit" aspectratio="f"/>
                      </v:line>
                      <v:rect id="矩形 348" o:spid="_x0000_s1026" o:spt="1" style="position:absolute;left:1212215;top:1513205;height:317500;width:523240;" filled="f" stroked="t" coordsize="21600,21600" o:gfxdata="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U43js1QAAAAUBAAAPAAAAAAAAAAEA&#10;IAAAACIAAABkcnMvZG93bnJldi54bWxQSwECFAAUAAAACACHTuJAnHV20RICAAASBAAADgAAAAAA&#10;AAABACAAAAAkAQAAZHJzL2Uyb0RvYy54bWxQSwUGAAAAAAYABgBZAQAAqAUAAAAA&#10;">
                        <v:fill on="f" focussize="0,0"/>
                        <v:stroke color="#000000" joinstyle="miter" endarrow="block"/>
                        <v:imagedata o:title=""/>
                        <o:lock v:ext="edit" aspectratio="f"/>
                        <v:textbox>
                          <w:txbxContent>
                            <w:p w14:paraId="2C167ED5">
                              <w:pPr>
                                <w:rPr>
                                  <w:rFonts w:hint="eastAsia" w:eastAsia="宋体"/>
                                  <w:sz w:val="21"/>
                                  <w:szCs w:val="21"/>
                                  <w:lang w:eastAsia="zh-CN"/>
                                </w:rPr>
                              </w:pPr>
                              <w:r>
                                <w:rPr>
                                  <w:rFonts w:hint="eastAsia"/>
                                  <w:sz w:val="21"/>
                                  <w:szCs w:val="21"/>
                                  <w:lang w:eastAsia="zh-CN"/>
                                </w:rPr>
                                <w:t>烘干</w:t>
                              </w:r>
                            </w:p>
                          </w:txbxContent>
                        </v:textbox>
                      </v:rect>
                      <v:line id="直线 349" o:spid="_x0000_s1026" o:spt="20" style="position:absolute;left:2170430;top:1837055;flip:y;height:228600;width:0;" filled="f" stroked="t" coordsize="21600,21600" o:gfxdata="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&#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sLO5TTAAAABQEAAA8AAAAAAAAAAQAgAAAAIgAAAGRy&#10;cy9kb3ducmV2LnhtbFBLAQIUABQAAAAIAIdO4kCwoBuaCgIAAPkDAAAOAAAAAAAAAAEAIAAAACIB&#10;AABkcnMvZTJvRG9jLnhtbFBLBQYAAAAABgAGAFkBAACeBQAAAAA=&#10;">
                        <v:fill on="f" focussize="0,0"/>
                        <v:stroke color="#000000" joinstyle="round" dashstyle="dashDot" startarrow="block"/>
                        <v:imagedata o:title=""/>
                        <o:lock v:ext="edit" aspectratio="f"/>
                      </v:line>
                      <v:rect id="矩形 350" o:spid="_x0000_s1026" o:spt="1" style="position:absolute;left:3380105;top:2046605;height:266700;width:711200;"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BhoK69QAAAAFAQAADwAAAAAAAAABACAAAAAiAAAAZHJzL2Rvd25yZXYueG1s&#10;UEsBAhQAFAAAAAgAh07iQBmC7HXDAQAAeAMAAA4AAAAAAAAAAQAgAAAAIwEAAGRycy9lMm9Eb2Mu&#10;eG1sUEsFBgAAAAAGAAYAWQEAAFgFAAAAAA==&#10;">
                        <v:fill on="t" focussize="0,0"/>
                        <v:stroke on="f"/>
                        <v:imagedata o:title=""/>
                        <o:lock v:ext="edit" aspectratio="f"/>
                        <v:textbox>
                          <w:txbxContent>
                            <w:p w14:paraId="293BC40A">
                              <w:pPr>
                                <w:jc w:val="center"/>
                                <w:rPr>
                                  <w:rFonts w:hint="eastAsia" w:eastAsia="宋体"/>
                                  <w:sz w:val="18"/>
                                  <w:szCs w:val="18"/>
                                  <w:lang w:eastAsia="zh-CN"/>
                                </w:rPr>
                              </w:pPr>
                              <w:r>
                                <w:rPr>
                                  <w:rFonts w:hint="eastAsia"/>
                                  <w:sz w:val="18"/>
                                  <w:szCs w:val="18"/>
                                  <w:lang w:eastAsia="zh-CN"/>
                                </w:rPr>
                                <w:t>水循环</w:t>
                              </w:r>
                            </w:p>
                          </w:txbxContent>
                        </v:textbox>
                      </v:rect>
                      <v:rect id="矩形 351" o:spid="_x0000_s1026" o:spt="1" style="position:absolute;left:1104900;top:2046605;height:266700;width:711200;"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BhoK69QAAAAFAQAADwAAAAAAAAABACAAAAAiAAAAZHJzL2Rvd25yZXYueG1s&#10;UEsBAhQAFAAAAAgAh07iQGBFsWPDAQAAeAMAAA4AAAAAAAAAAQAgAAAAIwEAAGRycy9lMm9Eb2Mu&#10;eG1sUEsFBgAAAAAGAAYAWQEAAFgFAAAAAA==&#10;">
                        <v:fill on="t" focussize="0,0"/>
                        <v:stroke on="f"/>
                        <v:imagedata o:title=""/>
                        <o:lock v:ext="edit" aspectratio="f"/>
                        <v:textbox>
                          <w:txbxContent>
                            <w:p w14:paraId="7628BCD7">
                              <w:pPr>
                                <w:jc w:val="center"/>
                                <w:rPr>
                                  <w:rFonts w:hint="eastAsia" w:eastAsia="宋体"/>
                                  <w:sz w:val="18"/>
                                  <w:szCs w:val="18"/>
                                  <w:lang w:eastAsia="zh-CN"/>
                                </w:rPr>
                              </w:pPr>
                              <w:r>
                                <w:rPr>
                                  <w:rFonts w:hint="eastAsia"/>
                                  <w:sz w:val="18"/>
                                  <w:szCs w:val="18"/>
                                  <w:lang w:eastAsia="zh-CN"/>
                                </w:rPr>
                                <w:t>电加热</w:t>
                              </w:r>
                            </w:p>
                          </w:txbxContent>
                        </v:textbox>
                      </v:rect>
                      <v:line id="直线 353" o:spid="_x0000_s1026" o:spt="20" style="position:absolute;left:3684905;top:1818005;flip:y;height:228600;width:0;" filled="f" stroked="t" coordsize="21600,21600" o:gfxdata="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LCzuU0wAAAAUBAAAPAAAAAAAAAAEAIAAAACIAAABkcnMv&#10;ZG93bnJldi54bWxQSwECFAAUAAAACACHTuJAJ1hyTAgCAAD5AwAADgAAAAAAAAABACAAAAAiAQAA&#10;ZHJzL2Uyb0RvYy54bWxQSwUGAAAAAAYABgBZAQAAnAUAAAAA&#10;">
                        <v:fill on="f" focussize="0,0"/>
                        <v:stroke color="#000000" joinstyle="round" dashstyle="dashDot" startarrow="block"/>
                        <v:imagedata o:title=""/>
                        <o:lock v:ext="edit" aspectratio="f"/>
                      </v:line>
                      <v:line id="直线 354" o:spid="_x0000_s1026" o:spt="20" style="position:absolute;left:3789680;top:1837055;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FlaoQ1AAAAAUBAAAPAAAAAAAAAAEAIAAAACIAAABk&#10;cnMvZG93bnJldi54bWxQSwECFAAUAAAACACHTuJAeKpRkAoCAAD5AwAADgAAAAAAAAABACAAAAAj&#10;AQAAZHJzL2Uyb0RvYy54bWxQSwUGAAAAAAYABgBZAQAAnwUAAAAA&#10;">
                        <v:fill on="f" focussize="0,0"/>
                        <v:stroke color="#000000" joinstyle="round" dashstyle="dashDot" endarrow="block"/>
                        <v:imagedata o:title=""/>
                        <o:lock v:ext="edit" aspectratio="f"/>
                      </v:line>
                      <v:rect id="矩形 355" o:spid="_x0000_s1026" o:spt="1" style="position:absolute;left:1856105;top:2056130;height:266700;width:787400;" fillcolor="#FFFFFF" filled="t" stroked="f" coordsize="21600,21600" o:gfxdata="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GGgrr1AAAAAUBAAAPAAAAAAAAAAEAIAAAACIAAABkcnMvZG93bnJldi54bWxQ&#10;SwECFAAUAAAACACHTuJAFCMXSsIBAAB4AwAADgAAAAAAAAABACAAAAAjAQAAZHJzL2Uyb0RvYy54&#10;bWxQSwUGAAAAAAYABgBZAQAAVwUAAAAA&#10;">
                        <v:fill on="t" focussize="0,0"/>
                        <v:stroke on="f"/>
                        <v:imagedata o:title=""/>
                        <o:lock v:ext="edit" aspectratio="f"/>
                        <v:textbox>
                          <w:txbxContent>
                            <w:p w14:paraId="555E04CF">
                              <w:pPr>
                                <w:jc w:val="center"/>
                                <w:rPr>
                                  <w:rFonts w:hint="eastAsia" w:eastAsia="宋体"/>
                                  <w:sz w:val="18"/>
                                  <w:szCs w:val="18"/>
                                  <w:lang w:eastAsia="zh-CN"/>
                                </w:rPr>
                              </w:pPr>
                              <w:r>
                                <w:rPr>
                                  <w:rFonts w:hint="eastAsia"/>
                                  <w:sz w:val="18"/>
                                  <w:szCs w:val="18"/>
                                  <w:lang w:eastAsia="zh-CN"/>
                                </w:rPr>
                                <w:t>水循环</w:t>
                              </w:r>
                            </w:p>
                          </w:txbxContent>
                        </v:textbox>
                      </v:rect>
                      <v:line id="直线 356" o:spid="_x0000_s1026" o:spt="20" style="position:absolute;left:2122805;top:313056;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El860wcCAAD4AwAADgAAAAAAAAABACAAAAAjAQAA&#10;ZHJzL2Uyb0RvYy54bWxQSwUGAAAAAAYABgBZAQAAnAUAAAAA&#10;">
                        <v:fill on="f" focussize="0,0"/>
                        <v:stroke color="#000000" joinstyle="round" dashstyle="dashDot" endarrow="block"/>
                        <v:imagedata o:title=""/>
                        <o:lock v:ext="edit" aspectratio="f"/>
                      </v:line>
                      <v:line id="直线 357" o:spid="_x0000_s1026" o:spt="20" style="position:absolute;left:646430;top:1271270;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y53LDwcCAAD4AwAADgAAAAAAAAABACAAAAAjAQAA&#10;ZHJzL2Uyb0RvYy54bWxQSwUGAAAAAAYABgBZAQAAnAUAAAAA&#10;">
                        <v:fill on="f" focussize="0,0"/>
                        <v:stroke color="#000000" joinstyle="round" dashstyle="dashDot" endarrow="block"/>
                        <v:imagedata o:title=""/>
                        <o:lock v:ext="edit" aspectratio="f"/>
                      </v:line>
                      <v:rect id="矩形 358" o:spid="_x0000_s1026" o:spt="1" style="position:absolute;left:1297940;top:1031240;height:266700;width:44704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yYPfYNcA&#10;AAAFAQAADwAAAAAAAAABACAAAAAiAAAAZHJzL2Rvd25yZXYueG1sUEsBAhQAFAAAAAgAh07iQFHc&#10;vBOuAQAATwMAAA4AAAAAAAAAAQAgAAAAJgEAAGRycy9lMm9Eb2MueG1sUEsFBgAAAAAGAAYAWQEA&#10;AEYFAAAAAA==&#10;">
                        <v:fill on="f" focussize="0,0"/>
                        <v:stroke on="f"/>
                        <v:imagedata o:title=""/>
                        <o:lock v:ext="edit" aspectratio="f"/>
                        <v:textbox>
                          <w:txbxContent>
                            <w:p w14:paraId="026B2236">
                              <w:pPr>
                                <w:rPr>
                                  <w:rFonts w:hint="eastAsia" w:eastAsia="宋体"/>
                                  <w:sz w:val="18"/>
                                  <w:szCs w:val="18"/>
                                  <w:lang w:eastAsia="zh-CN"/>
                                </w:rPr>
                              </w:pPr>
                              <w:r>
                                <w:rPr>
                                  <w:rFonts w:hint="eastAsia"/>
                                  <w:sz w:val="18"/>
                                  <w:szCs w:val="18"/>
                                  <w:lang w:eastAsia="zh-CN"/>
                                </w:rPr>
                                <w:t>废气</w:t>
                              </w:r>
                            </w:p>
                          </w:txbxContent>
                        </v:textbox>
                      </v:rect>
                      <v:rect id="矩形 361" o:spid="_x0000_s1026" o:spt="1" style="position:absolute;left:194945;top:1509395;height:317500;width:758190;" fillcolor="#FFFFFF" filled="t" stroked="t" coordsize="21600,21600" o:gfxdata="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a4cnstQAAAAFAQAADwAAAAAA&#10;AAABACAAAAAiAAAAZHJzL2Rvd25yZXYueG1sUEsBAhQAFAAAAAgAh07iQFIkb+kXAgAAOgQAAA4A&#10;AAAAAAAAAQAgAAAAIwEAAGRycy9lMm9Eb2MueG1sUEsFBgAAAAAGAAYAWQEAAKwFAAAAAA==&#10;">
                        <v:fill on="t" focussize="0,0"/>
                        <v:stroke color="#000000" joinstyle="miter" endarrow="block"/>
                        <v:imagedata o:title=""/>
                        <o:lock v:ext="edit" aspectratio="f"/>
                        <v:textbox>
                          <w:txbxContent>
                            <w:p w14:paraId="26DFD4DF">
                              <w:pPr>
                                <w:rPr>
                                  <w:rFonts w:hint="eastAsia" w:eastAsia="宋体"/>
                                  <w:sz w:val="21"/>
                                  <w:szCs w:val="21"/>
                                  <w:lang w:eastAsia="zh-CN"/>
                                </w:rPr>
                              </w:pPr>
                              <w:r>
                                <w:rPr>
                                  <w:rFonts w:hint="eastAsia"/>
                                  <w:sz w:val="21"/>
                                  <w:szCs w:val="21"/>
                                  <w:lang w:eastAsia="zh-CN"/>
                                </w:rPr>
                                <w:t>组装成品</w:t>
                              </w:r>
                            </w:p>
                          </w:txbxContent>
                        </v:textbox>
                      </v:rect>
                      <v:line id="直线 362" o:spid="_x0000_s1026" o:spt="20" style="position:absolute;left:2341880;top:1256030;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FlaoQ1AAAAAUBAAAPAAAAAAAAAAEAIAAAACIAAABkcnMv&#10;ZG93bnJldi54bWxQSwECFAAUAAAACACHTuJAqxwGeAcCAAD5AwAADgAAAAAAAAABACAAAAAjAQAA&#10;ZHJzL2Uyb0RvYy54bWxQSwUGAAAAAAYABgBZAQAAnAUAAAAA&#10;">
                        <v:fill on="f" focussize="0,0"/>
                        <v:stroke color="#000000" joinstyle="round" dashstyle="dashDot" endarrow="block"/>
                        <v:imagedata o:title=""/>
                        <o:lock v:ext="edit" aspectratio="f"/>
                      </v:line>
                      <v:line id="直线 363" o:spid="_x0000_s1026" o:spt="20" style="position:absolute;left:509905;top:1808480;flip:y;height:708660;width:3175;" filled="f" stroked="t" coordsize="21600,21600" o:gfxdata="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yb1yzWAAAABQEAAA8AAAAAAAAAAQAgAAAAIgAAAGRy&#10;cy9kb3ducmV2LnhtbFBLAQIUABQAAAAIAIdO4kBes8UvBwIAAPkDAAAOAAAAAAAAAAEAIAAAACUB&#10;AABkcnMvZTJvRG9jLnhtbFBLBQYAAAAABgAGAFkBAACeBQAAAAA=&#10;">
                        <v:fill on="f" focussize="0,0"/>
                        <v:stroke color="#000000" joinstyle="round" endarrow="block"/>
                        <v:imagedata o:title=""/>
                        <o:lock v:ext="edit" aspectratio="f"/>
                      </v:line>
                      <v:rect id="矩形 364" o:spid="_x0000_s1026" o:spt="1" style="position:absolute;left:265430;top:1026795;height:266700;width:6985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Jg99g&#10;1wAAAAUBAAAPAAAAAAAAAAEAIAAAACIAAABkcnMvZG93bnJldi54bWxQSwECFAAUAAAACACHTuJA&#10;MEmCtbABAABOAwAADgAAAAAAAAABACAAAAAmAQAAZHJzL2Uyb0RvYy54bWxQSwUGAAAAAAYABgBZ&#10;AQAASAUAAAAA&#10;">
                        <v:fill on="f" focussize="0,0"/>
                        <v:stroke on="f"/>
                        <v:imagedata o:title=""/>
                        <o:lock v:ext="edit" aspectratio="f"/>
                        <v:textbox>
                          <w:txbxContent>
                            <w:p w14:paraId="5A2EAA2E">
                              <w:pPr>
                                <w:rPr>
                                  <w:rFonts w:hint="eastAsia" w:eastAsia="宋体"/>
                                  <w:sz w:val="18"/>
                                  <w:szCs w:val="18"/>
                                  <w:lang w:eastAsia="zh-CN"/>
                                </w:rPr>
                              </w:pPr>
                              <w:r>
                                <w:rPr>
                                  <w:rFonts w:hint="eastAsia"/>
                                  <w:sz w:val="18"/>
                                  <w:szCs w:val="18"/>
                                  <w:lang w:eastAsia="zh-CN"/>
                                </w:rPr>
                                <w:t>噪声、废气</w:t>
                              </w:r>
                            </w:p>
                          </w:txbxContent>
                        </v:textbox>
                      </v:rect>
                      <v:line id="直线 365" o:spid="_x0000_s1026" o:spt="20" style="position:absolute;left:1437005;top:1837055;flip:y;height:228600;width:0;" filled="f" stroked="t" coordsize="21600,21600" o:gfxdata="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AWVqhDUAAAABQEAAA8AAAAAAAAAAQAgAAAAIgAAAGRycy9k&#10;b3ducmV2LnhtbFBLAQIUABQAAAAIAIdO4kBLqENUBgIAAPkDAAAOAAAAAAAAAAEAIAAAACMBAABk&#10;cnMvZTJvRG9jLnhtbFBLBQYAAAAABgAGAFkBAACbBQAAAAA=&#10;">
                        <v:fill on="f" focussize="0,0"/>
                        <v:stroke color="#000000" joinstyle="round" dashstyle="dashDot" endarrow="block"/>
                        <v:imagedata o:title=""/>
                        <o:lock v:ext="edit" aspectratio="f"/>
                      </v:line>
                      <v:line id="直线 366" o:spid="_x0000_s1026" o:spt="20" style="position:absolute;left:494030;top:2494280;flip:y;height:0;width:279400;"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VpWxu9UAAAAFAQAADwAAAAAAAAABACAAAAAiAAAAZHJzL2Rv&#10;d25yZXYueG1sUEsBAhQAFAAAAAgAh07iQCZM9QsEAgAA9gMAAA4AAAAAAAAAAQAgAAAAJAEAAGRy&#10;cy9lMm9Eb2MueG1sUEsFBgAAAAAGAAYAWQEAAJoFAAAAAA==&#10;">
                        <v:fill on="f" focussize="0,0"/>
                        <v:stroke color="#000000" joinstyle="round" startarrow="block"/>
                        <v:imagedata o:title=""/>
                        <o:lock v:ext="edit" aspectratio="f"/>
                      </v:line>
                      <v:rect id="矩形 367" o:spid="_x0000_s1026" o:spt="1" style="position:absolute;left:3284855;top:2322830;height:317500;width:920115;" filled="f" stroked="t" coordsize="21600,21600" o:gfxdata="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FTjeOzVAAAABQEAAA8AAAAAAAAAAQAg&#10;AAAAIgAAAGRycy9kb3ducmV2LnhtbFBLAQIUABQAAAAIAIdO4kDxzaEGEQIAABIEAAAOAAAAAAAA&#10;AAEAIAAAACQBAABkcnMvZTJvRG9jLnhtbFBLBQYAAAAABgAGAFkBAACnBQAAAAA=&#10;">
                        <v:fill on="f" focussize="0,0"/>
                        <v:stroke color="#000000" joinstyle="miter" endarrow="block"/>
                        <v:imagedata o:title=""/>
                        <o:lock v:ext="edit" aspectratio="f"/>
                        <v:textbox>
                          <w:txbxContent>
                            <w:p w14:paraId="5EC9FB1B">
                              <w:pPr>
                                <w:rPr>
                                  <w:rFonts w:hint="default" w:eastAsia="宋体"/>
                                  <w:sz w:val="21"/>
                                  <w:szCs w:val="21"/>
                                  <w:lang w:val="en-US" w:eastAsia="zh-CN"/>
                                </w:rPr>
                              </w:pPr>
                              <w:r>
                                <w:rPr>
                                  <w:rFonts w:hint="eastAsia"/>
                                  <w:sz w:val="21"/>
                                  <w:szCs w:val="21"/>
                                  <w:lang w:val="en-US" w:eastAsia="zh-CN"/>
                                </w:rPr>
                                <w:t>EVA半成品</w:t>
                              </w:r>
                            </w:p>
                          </w:txbxContent>
                        </v:textbox>
                      </v:rect>
                      <v:rect id="矩形 368" o:spid="_x0000_s1026" o:spt="1" style="position:absolute;left:2408555;top:2332355;height:317500;width:520700;" filled="f" stroked="t" coordsize="21600,21600" o:gfxdata="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VON47NUAAAAFAQAADwAAAAAAAAABACAAAAAi&#10;AAAAZHJzL2Rvd25yZXYueG1sUEsBAhQAFAAAAAgAh07iQDFQga0NAgAAEgQAAA4AAAAAAAAAAQAg&#10;AAAAJAEAAGRycy9lMm9Eb2MueG1sUEsFBgAAAAAGAAYAWQEAAKMFAAAAAA==&#10;">
                        <v:fill on="f" focussize="0,0"/>
                        <v:stroke color="#000000" joinstyle="miter" endarrow="block"/>
                        <v:imagedata o:title=""/>
                        <o:lock v:ext="edit" aspectratio="f"/>
                        <v:textbox>
                          <w:txbxContent>
                            <w:p w14:paraId="072062FF">
                              <w:pPr>
                                <w:rPr>
                                  <w:rFonts w:hint="default" w:eastAsia="宋体"/>
                                  <w:sz w:val="21"/>
                                  <w:szCs w:val="21"/>
                                  <w:lang w:val="en-US" w:eastAsia="zh-CN"/>
                                </w:rPr>
                              </w:pPr>
                              <w:r>
                                <w:rPr>
                                  <w:rFonts w:hint="eastAsia"/>
                                  <w:sz w:val="21"/>
                                  <w:szCs w:val="21"/>
                                  <w:lang w:val="en-US" w:eastAsia="zh-CN"/>
                                </w:rPr>
                                <w:t>切割</w:t>
                              </w:r>
                            </w:p>
                          </w:txbxContent>
                        </v:textbox>
                      </v:rect>
                      <v:rect id="矩形 369" o:spid="_x0000_s1026" o:spt="1" style="position:absolute;left:1589405;top:2332355;height:317500;width:520700;" filled="f" stroked="t" coordsize="21600,21600" o:gfxdata="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FTjeOzVAAAABQEAAA8AAAAAAAAAAQAg&#10;AAAAIgAAAGRycy9kb3ducmV2LnhtbFBLAQIUABQAAAAIAIdO4kDtBhdVEQIAABIEAAAOAAAAAAAA&#10;AAEAIAAAACQBAABkcnMvZTJvRG9jLnhtbFBLBQYAAAAABgAGAFkBAACnBQAAAAA=&#10;">
                        <v:fill on="f" focussize="0,0"/>
                        <v:stroke color="#000000" joinstyle="miter" endarrow="block"/>
                        <v:imagedata o:title=""/>
                        <o:lock v:ext="edit" aspectratio="f"/>
                        <v:textbox>
                          <w:txbxContent>
                            <w:p w14:paraId="59F699AE">
                              <w:pPr>
                                <w:rPr>
                                  <w:rFonts w:hint="default" w:eastAsia="宋体"/>
                                  <w:sz w:val="21"/>
                                  <w:szCs w:val="21"/>
                                  <w:lang w:val="en-US" w:eastAsia="zh-CN"/>
                                </w:rPr>
                              </w:pPr>
                              <w:r>
                                <w:rPr>
                                  <w:rFonts w:hint="eastAsia"/>
                                  <w:sz w:val="21"/>
                                  <w:szCs w:val="21"/>
                                  <w:lang w:val="en-US" w:eastAsia="zh-CN"/>
                                </w:rPr>
                                <w:t>打孔</w:t>
                              </w:r>
                            </w:p>
                          </w:txbxContent>
                        </v:textbox>
                      </v:rect>
                      <v:rect id="矩形 370" o:spid="_x0000_s1026" o:spt="1" style="position:absolute;left:751205;top:2322830;height:317500;width:520700;" filled="f" stroked="t" coordsize="21600,21600" o:gfxdata="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VON47NUAAAAFAQAADwAAAAAAAAABACAAAAAi&#10;AAAAZHJzL2Rvd25yZXYueG1sUEsBAhQAFAAAAAgAh07iQPFv6rENAgAAEgQAAA4AAAAAAAAAAQAg&#10;AAAAJAEAAGRycy9lMm9Eb2MueG1sUEsFBgAAAAAGAAYAWQEAAKMFAAAAAA==&#10;">
                        <v:fill on="f" focussize="0,0"/>
                        <v:stroke color="#000000" joinstyle="miter" endarrow="block"/>
                        <v:imagedata o:title=""/>
                        <o:lock v:ext="edit" aspectratio="f"/>
                        <v:textbox>
                          <w:txbxContent>
                            <w:p w14:paraId="6E732CF9">
                              <w:pPr>
                                <w:rPr>
                                  <w:rFonts w:hint="default" w:eastAsia="宋体"/>
                                  <w:sz w:val="21"/>
                                  <w:szCs w:val="21"/>
                                  <w:lang w:val="en-US" w:eastAsia="zh-CN"/>
                                </w:rPr>
                              </w:pPr>
                              <w:r>
                                <w:rPr>
                                  <w:rFonts w:hint="eastAsia"/>
                                  <w:sz w:val="21"/>
                                  <w:szCs w:val="21"/>
                                  <w:lang w:val="en-US" w:eastAsia="zh-CN"/>
                                </w:rPr>
                                <w:t>抛光</w:t>
                              </w:r>
                            </w:p>
                          </w:txbxContent>
                        </v:textbox>
                      </v:rect>
                      <v:line id="直线 371" o:spid="_x0000_s1026" o:spt="20" style="position:absolute;left:1284605;top:2465705;flip:y;height:0;width:279400;"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FaVsbvVAAAABQEAAA8AAAAAAAAAAQAgAAAAIgAAAGRycy9k&#10;b3ducmV2LnhtbFBLAQIUABQAAAAIAIdO4kAchNIhBQIAAPgDAAAOAAAAAAAAAAEAIAAAACQBAABk&#10;cnMvZTJvRG9jLnhtbFBLBQYAAAAABgAGAFkBAACbBQAAAAA=&#10;">
                        <v:fill on="f" focussize="0,0"/>
                        <v:stroke color="#000000" joinstyle="round" startarrow="block"/>
                        <v:imagedata o:title=""/>
                        <o:lock v:ext="edit" aspectratio="f"/>
                      </v:line>
                      <v:line id="直线 372" o:spid="_x0000_s1026" o:spt="20" style="position:absolute;left:2141855;top:2456180;flip:y;height:0;width:279400;"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VpWxu9UAAAAFAQAADwAAAAAAAAABACAAAAAiAAAAZHJz&#10;L2Rvd25yZXYueG1sUEsBAhQAFAAAAAgAh07iQKH2cWMHAgAA+AMAAA4AAAAAAAAAAQAgAAAAJAEA&#10;AGRycy9lMm9Eb2MueG1sUEsFBgAAAAAGAAYAWQEAAJ0FAAAAAA==&#10;">
                        <v:fill on="f" focussize="0,0"/>
                        <v:stroke color="#000000" joinstyle="round" startarrow="block"/>
                        <v:imagedata o:title=""/>
                        <o:lock v:ext="edit" aspectratio="f"/>
                      </v:line>
                      <v:line id="直线 373" o:spid="_x0000_s1026" o:spt="20" style="position:absolute;left:2961005;top:2475230;flip:y;height:0;width:279400;" filled="f" stroked="t" coordsize="21600,21600" o:gfxdata="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&#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VpWxu9UAAAAFAQAADwAAAAAAAAABACAAAAAiAAAAZHJz&#10;L2Rvd25yZXYueG1sUEsBAhQAFAAAAAgAh07iQMJ3JAUHAgAA+AMAAA4AAAAAAAAAAQAgAAAAJAEA&#10;AGRycy9lMm9Eb2MueG1sUEsFBgAAAAAGAAYAWQEAAJ0FAAAAAA==&#10;">
                        <v:fill on="f" focussize="0,0"/>
                        <v:stroke color="#000000" joinstyle="round" startarrow="block"/>
                        <v:imagedata o:title=""/>
                        <o:lock v:ext="edit" aspectratio="f"/>
                      </v:line>
                      <v:line id="直线 374" o:spid="_x0000_s1026" o:spt="20" style="position:absolute;left:2665730;top:2646680;flip:y;height:228600;width:0;" filled="f" stroked="t" coordsize="21600,21600" o:gfxdata="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LCzuU0wAAAAUBAAAPAAAAAAAAAAEAIAAAACIAAABkcnMv&#10;ZG93bnJldi54bWxQSwECFAAUAAAACACHTuJA2Q0+eAgCAAD6AwAADgAAAAAAAAABACAAAAAiAQAA&#10;ZHJzL2Uyb0RvYy54bWxQSwUGAAAAAAYABgBZAQAAnAUAAAAA&#10;">
                        <v:fill on="f" focussize="0,0"/>
                        <v:stroke color="#000000" joinstyle="round" dashstyle="dashDot" startarrow="block"/>
                        <v:imagedata o:title=""/>
                        <o:lock v:ext="edit" aspectratio="f"/>
                      </v:line>
                      <v:line id="直线 375" o:spid="_x0000_s1026" o:spt="20" style="position:absolute;left:979805;top:2618105;flip:y;height:228600;width:0;" filled="f" stroked="t" coordsize="21600,21600" o:gfxdata="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yws7lNMAAAAFAQAADwAAAAAAAAABACAAAAAiAAAAZHJzL2Rv&#10;d25yZXYueG1sUEsBAhQAFAAAAAgAh07iQOnaiAMGAgAA+QMAAA4AAAAAAAAAAQAgAAAAIgEAAGRy&#10;cy9lMm9Eb2MueG1sUEsFBgAAAAAGAAYAWQEAAJoFAAAAAA==&#10;">
                        <v:fill on="f" focussize="0,0"/>
                        <v:stroke color="#000000" joinstyle="round" dashstyle="dashDot" startarrow="block"/>
                        <v:imagedata o:title=""/>
                        <o:lock v:ext="edit" aspectratio="f"/>
                      </v:line>
                      <v:line id="直线 376" o:spid="_x0000_s1026" o:spt="20" style="position:absolute;left:1856105;top:2637155;flip:y;height:228600;width:0;" filled="f" stroked="t" coordsize="21600,21600" o:gfxdata="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&#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sLO5TTAAAABQEAAA8AAAAAAAAAAQAgAAAAIgAAAGRy&#10;cy9kb3ducmV2LnhtbFBLAQIUABQAAAAIAIdO4kDLB0U9CgIAAPoDAAAOAAAAAAAAAAEAIAAAACIB&#10;AABkcnMvZTJvRG9jLnhtbFBLBQYAAAAABgAGAFkBAACeBQAAAAA=&#10;">
                        <v:fill on="f" focussize="0,0"/>
                        <v:stroke color="#000000" joinstyle="round" dashstyle="dashDot" startarrow="block"/>
                        <v:imagedata o:title=""/>
                        <o:lock v:ext="edit" aspectratio="f"/>
                      </v:line>
                      <v:rect id="矩形 377" o:spid="_x0000_s1026" o:spt="1" style="position:absolute;left:789305;top:2787650;height:266700;width:4445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yYPf&#10;YNcAAAAFAQAADwAAAAAAAAABACAAAAAiAAAAZHJzL2Rvd25yZXYueG1sUEsBAhQAFAAAAAgAh07i&#10;QAGTOV+xAQAATwMAAA4AAAAAAAAAAQAgAAAAJgEAAGRycy9lMm9Eb2MueG1sUEsFBgAAAAAGAAYA&#10;WQEAAEkFAAAAAA==&#10;">
                        <v:fill on="f" focussize="0,0"/>
                        <v:stroke on="f"/>
                        <v:imagedata o:title=""/>
                        <o:lock v:ext="edit" aspectratio="f"/>
                        <v:textbox>
                          <w:txbxContent>
                            <w:p w14:paraId="0492D462">
                              <w:pPr>
                                <w:rPr>
                                  <w:rFonts w:hint="eastAsia" w:eastAsia="宋体"/>
                                  <w:sz w:val="18"/>
                                  <w:szCs w:val="18"/>
                                  <w:lang w:eastAsia="zh-CN"/>
                                </w:rPr>
                              </w:pPr>
                              <w:r>
                                <w:rPr>
                                  <w:rFonts w:hint="eastAsia"/>
                                  <w:sz w:val="18"/>
                                  <w:szCs w:val="18"/>
                                  <w:lang w:eastAsia="zh-CN"/>
                                </w:rPr>
                                <w:t>废气</w:t>
                              </w:r>
                            </w:p>
                          </w:txbxContent>
                        </v:textbox>
                      </v:rect>
                      <v:rect id="矩形 378" o:spid="_x0000_s1026" o:spt="1" style="position:absolute;left:1646555;top:2828925;height:266700;width:4445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mD&#10;32DXAAAABQEAAA8AAAAAAAAAAQAgAAAAIgAAAGRycy9kb3ducmV2LnhtbFBLAQIUABQAAAAIAIdO&#10;4kCQCrq7sgEAAFADAAAOAAAAAAAAAAEAIAAAACYBAABkcnMvZTJvRG9jLnhtbFBLBQYAAAAABgAG&#10;AFkBAABKBQAAAAA=&#10;">
                        <v:fill on="f" focussize="0,0"/>
                        <v:stroke on="f"/>
                        <v:imagedata o:title=""/>
                        <o:lock v:ext="edit" aspectratio="f"/>
                        <v:textbox>
                          <w:txbxContent>
                            <w:p w14:paraId="6A3D0390">
                              <w:pPr>
                                <w:rPr>
                                  <w:rFonts w:hint="default" w:eastAsia="宋体"/>
                                  <w:sz w:val="18"/>
                                  <w:szCs w:val="18"/>
                                  <w:lang w:val="en-US" w:eastAsia="zh-CN"/>
                                </w:rPr>
                              </w:pPr>
                              <w:r>
                                <w:rPr>
                                  <w:rFonts w:hint="eastAsia"/>
                                  <w:sz w:val="18"/>
                                  <w:szCs w:val="18"/>
                                  <w:lang w:val="en-US" w:eastAsia="zh-CN"/>
                                </w:rPr>
                                <w:t>固废</w:t>
                              </w:r>
                            </w:p>
                          </w:txbxContent>
                        </v:textbox>
                      </v:rect>
                      <v:rect id="矩形 379" o:spid="_x0000_s1026" o:spt="1" style="position:absolute;left:2484755;top:2828925;height:266700;width:444500;" filled="f" stroked="f" coordsize="21600,21600" o:gfxdata="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yYPf&#10;YNcAAAAFAQAADwAAAAAAAAABACAAAAAiAAAAZHJzL2Rvd25yZXYueG1sUEsBAhQAFAAAAAgAh07i&#10;QNSRnzGxAQAAUAMAAA4AAAAAAAAAAQAgAAAAJgEAAGRycy9lMm9Eb2MueG1sUEsFBgAAAAAGAAYA&#10;WQEAAEkFAAAAAA==&#10;">
                        <v:fill on="f" focussize="0,0"/>
                        <v:stroke on="f"/>
                        <v:imagedata o:title=""/>
                        <o:lock v:ext="edit" aspectratio="f"/>
                        <v:textbox>
                          <w:txbxContent>
                            <w:p w14:paraId="4FEBB5F8">
                              <w:pPr>
                                <w:rPr>
                                  <w:rFonts w:hint="default" w:eastAsia="宋体"/>
                                  <w:sz w:val="18"/>
                                  <w:szCs w:val="18"/>
                                  <w:lang w:val="en-US" w:eastAsia="zh-CN"/>
                                </w:rPr>
                              </w:pPr>
                              <w:r>
                                <w:rPr>
                                  <w:rFonts w:hint="eastAsia"/>
                                  <w:sz w:val="18"/>
                                  <w:szCs w:val="18"/>
                                  <w:lang w:val="en-US" w:eastAsia="zh-CN"/>
                                </w:rPr>
                                <w:t>固废</w:t>
                              </w:r>
                            </w:p>
                          </w:txbxContent>
                        </v:textbox>
                      </v:rect>
                      <w10:wrap type="none"/>
                      <w10:anchorlock/>
                    </v:group>
                  </w:pict>
                </mc:Fallback>
              </mc:AlternateContent>
            </w:r>
          </w:p>
          <w:p w14:paraId="135C02C4">
            <w:pPr>
              <w:spacing w:line="360" w:lineRule="auto"/>
              <w:jc w:val="center"/>
            </w:pPr>
            <w:r>
              <w:t>图</w:t>
            </w:r>
            <w:r>
              <w:rPr>
                <w:rFonts w:hint="eastAsia"/>
              </w:rPr>
              <w:t>5-1</w:t>
            </w:r>
            <w:r>
              <w:t xml:space="preserve">  </w:t>
            </w:r>
            <w:r>
              <w:rPr>
                <w:rFonts w:hint="eastAsia"/>
              </w:rPr>
              <w:t>项目鱼竿及配件加工生产</w:t>
            </w:r>
            <w:r>
              <w:t>工艺流程及产污环节图</w:t>
            </w:r>
          </w:p>
          <w:p w14:paraId="751B624D">
            <w:pPr>
              <w:spacing w:line="360" w:lineRule="auto"/>
              <w:ind w:firstLine="480" w:firstLineChars="200"/>
              <w:jc w:val="left"/>
              <w:rPr>
                <w:sz w:val="24"/>
                <w:szCs w:val="24"/>
              </w:rPr>
            </w:pPr>
            <w:r>
              <w:rPr>
                <w:sz w:val="24"/>
                <w:szCs w:val="24"/>
              </w:rPr>
              <w:t>工艺流程简述：</w:t>
            </w:r>
          </w:p>
          <w:p w14:paraId="5483518C">
            <w:pPr>
              <w:spacing w:line="360" w:lineRule="auto"/>
              <w:ind w:firstLine="480" w:firstLineChars="200"/>
              <w:rPr>
                <w:sz w:val="24"/>
                <w:szCs w:val="24"/>
              </w:rPr>
            </w:pPr>
            <w:r>
              <w:rPr>
                <w:sz w:val="24"/>
                <w:szCs w:val="24"/>
              </w:rPr>
              <w:t>1、裁布：</w:t>
            </w:r>
          </w:p>
          <w:p w14:paraId="25C6689F">
            <w:pPr>
              <w:spacing w:line="360" w:lineRule="auto"/>
              <w:ind w:firstLine="480"/>
              <w:rPr>
                <w:sz w:val="24"/>
                <w:szCs w:val="24"/>
              </w:rPr>
            </w:pPr>
            <w:r>
              <w:rPr>
                <w:sz w:val="24"/>
                <w:szCs w:val="24"/>
              </w:rPr>
              <w:t>把碳纤维布按照设计的尺寸进行裁剪</w:t>
            </w:r>
            <w:r>
              <w:rPr>
                <w:rFonts w:hint="eastAsia"/>
                <w:sz w:val="24"/>
                <w:szCs w:val="24"/>
              </w:rPr>
              <w:t>，产生机械噪声和下脚料。</w:t>
            </w:r>
          </w:p>
          <w:p w14:paraId="50F70DF6">
            <w:pPr>
              <w:spacing w:line="360" w:lineRule="auto"/>
              <w:ind w:firstLine="480" w:firstLineChars="200"/>
              <w:rPr>
                <w:sz w:val="24"/>
                <w:szCs w:val="24"/>
              </w:rPr>
            </w:pPr>
            <w:r>
              <w:rPr>
                <w:sz w:val="24"/>
                <w:szCs w:val="24"/>
              </w:rPr>
              <w:t>2、卷管：</w:t>
            </w:r>
          </w:p>
          <w:p w14:paraId="51E31474">
            <w:pPr>
              <w:spacing w:line="360" w:lineRule="auto"/>
              <w:ind w:firstLine="480" w:firstLineChars="200"/>
              <w:rPr>
                <w:sz w:val="24"/>
                <w:szCs w:val="24"/>
              </w:rPr>
            </w:pPr>
            <w:r>
              <w:rPr>
                <w:sz w:val="24"/>
                <w:szCs w:val="24"/>
              </w:rPr>
              <w:t>利用卷管机将碳纤维布卷到模具上</w:t>
            </w:r>
            <w:r>
              <w:rPr>
                <w:rFonts w:hint="eastAsia"/>
                <w:sz w:val="24"/>
                <w:szCs w:val="24"/>
              </w:rPr>
              <w:t>，产生机械噪声。</w:t>
            </w:r>
          </w:p>
          <w:p w14:paraId="64EA57A0">
            <w:pPr>
              <w:spacing w:line="360" w:lineRule="auto"/>
              <w:ind w:firstLine="480" w:firstLineChars="200"/>
              <w:rPr>
                <w:sz w:val="24"/>
                <w:szCs w:val="24"/>
              </w:rPr>
            </w:pPr>
            <w:r>
              <w:rPr>
                <w:sz w:val="24"/>
                <w:szCs w:val="24"/>
              </w:rPr>
              <w:t>3、缠带：</w:t>
            </w:r>
          </w:p>
          <w:p w14:paraId="2D68BF91">
            <w:pPr>
              <w:spacing w:line="360" w:lineRule="auto"/>
              <w:ind w:firstLine="480" w:firstLineChars="200"/>
              <w:rPr>
                <w:sz w:val="24"/>
                <w:szCs w:val="24"/>
              </w:rPr>
            </w:pPr>
            <w:r>
              <w:rPr>
                <w:sz w:val="24"/>
                <w:szCs w:val="24"/>
              </w:rPr>
              <w:t>将卷上布的模具放到缠带机上缠BOPP带</w:t>
            </w:r>
            <w:r>
              <w:rPr>
                <w:rFonts w:hint="eastAsia"/>
                <w:sz w:val="24"/>
                <w:szCs w:val="24"/>
              </w:rPr>
              <w:t>，产生机械噪声和下脚料。</w:t>
            </w:r>
          </w:p>
          <w:p w14:paraId="77923427">
            <w:pPr>
              <w:spacing w:line="360" w:lineRule="auto"/>
              <w:ind w:firstLine="480" w:firstLineChars="200"/>
              <w:rPr>
                <w:sz w:val="24"/>
                <w:szCs w:val="24"/>
              </w:rPr>
            </w:pPr>
            <w:r>
              <w:rPr>
                <w:sz w:val="24"/>
                <w:szCs w:val="24"/>
              </w:rPr>
              <w:t>4、固化：</w:t>
            </w:r>
          </w:p>
          <w:p w14:paraId="47CDF9A0">
            <w:pPr>
              <w:spacing w:line="360" w:lineRule="auto"/>
              <w:ind w:firstLine="480" w:firstLineChars="200"/>
              <w:rPr>
                <w:sz w:val="24"/>
                <w:szCs w:val="24"/>
              </w:rPr>
            </w:pPr>
            <w:r>
              <w:rPr>
                <w:sz w:val="24"/>
                <w:szCs w:val="24"/>
              </w:rPr>
              <w:t>把模具缠好带后放到固化炉中固化，固化炉采用电加热温度在125℃到130℃之间，在固化的过程中会产生</w:t>
            </w:r>
            <w:r>
              <w:rPr>
                <w:rFonts w:hint="eastAsia"/>
                <w:sz w:val="24"/>
                <w:szCs w:val="24"/>
              </w:rPr>
              <w:t>少量有机废气，设备运行产生机械噪声</w:t>
            </w:r>
            <w:r>
              <w:rPr>
                <w:sz w:val="24"/>
                <w:szCs w:val="24"/>
              </w:rPr>
              <w:t>。</w:t>
            </w:r>
          </w:p>
          <w:p w14:paraId="6359A046">
            <w:pPr>
              <w:spacing w:line="360" w:lineRule="auto"/>
              <w:ind w:firstLine="480" w:firstLineChars="200"/>
              <w:rPr>
                <w:sz w:val="24"/>
                <w:szCs w:val="24"/>
              </w:rPr>
            </w:pPr>
            <w:r>
              <w:rPr>
                <w:sz w:val="24"/>
                <w:szCs w:val="24"/>
              </w:rPr>
              <w:t>5、脱芯</w:t>
            </w:r>
          </w:p>
          <w:p w14:paraId="45DB243E">
            <w:pPr>
              <w:spacing w:line="360" w:lineRule="auto"/>
              <w:ind w:firstLine="480" w:firstLineChars="200"/>
              <w:rPr>
                <w:sz w:val="24"/>
                <w:szCs w:val="24"/>
              </w:rPr>
            </w:pPr>
            <w:r>
              <w:rPr>
                <w:sz w:val="24"/>
                <w:szCs w:val="24"/>
              </w:rPr>
              <w:t>将固化完成后的产品利用脱芯机把模具取下，形成裸竿</w:t>
            </w:r>
            <w:r>
              <w:rPr>
                <w:rFonts w:hint="eastAsia"/>
                <w:sz w:val="24"/>
                <w:szCs w:val="24"/>
              </w:rPr>
              <w:t>，产生机械噪声。</w:t>
            </w:r>
          </w:p>
          <w:p w14:paraId="36C5F4FF">
            <w:pPr>
              <w:spacing w:line="360" w:lineRule="auto"/>
              <w:ind w:firstLine="480" w:firstLineChars="200"/>
              <w:rPr>
                <w:sz w:val="24"/>
                <w:szCs w:val="24"/>
              </w:rPr>
            </w:pPr>
            <w:r>
              <w:rPr>
                <w:sz w:val="24"/>
                <w:szCs w:val="24"/>
              </w:rPr>
              <w:t>6、扒带</w:t>
            </w:r>
          </w:p>
          <w:p w14:paraId="1FE19040">
            <w:pPr>
              <w:spacing w:line="360" w:lineRule="auto"/>
              <w:ind w:firstLine="480" w:firstLineChars="200"/>
              <w:rPr>
                <w:sz w:val="24"/>
                <w:szCs w:val="24"/>
              </w:rPr>
            </w:pPr>
            <w:r>
              <w:rPr>
                <w:sz w:val="24"/>
                <w:szCs w:val="24"/>
              </w:rPr>
              <w:t>将脱芯后的裸竿外层的BOPP带取下</w:t>
            </w:r>
            <w:r>
              <w:rPr>
                <w:rFonts w:hint="eastAsia"/>
                <w:sz w:val="24"/>
                <w:szCs w:val="24"/>
              </w:rPr>
              <w:t>，产生机械噪声和固废。</w:t>
            </w:r>
          </w:p>
          <w:p w14:paraId="4915491C">
            <w:pPr>
              <w:spacing w:line="360" w:lineRule="auto"/>
              <w:ind w:firstLine="480" w:firstLineChars="200"/>
              <w:rPr>
                <w:sz w:val="24"/>
                <w:szCs w:val="24"/>
              </w:rPr>
            </w:pPr>
            <w:r>
              <w:rPr>
                <w:sz w:val="24"/>
                <w:szCs w:val="24"/>
              </w:rPr>
              <w:t>7、切断</w:t>
            </w:r>
          </w:p>
          <w:p w14:paraId="7EA8109D">
            <w:pPr>
              <w:spacing w:line="360" w:lineRule="auto"/>
              <w:ind w:firstLine="480" w:firstLineChars="200"/>
              <w:rPr>
                <w:sz w:val="24"/>
                <w:szCs w:val="24"/>
              </w:rPr>
            </w:pPr>
            <w:r>
              <w:rPr>
                <w:sz w:val="24"/>
                <w:szCs w:val="24"/>
              </w:rPr>
              <w:t>按照原本设计的尺寸，将多余的部分用裁断机切断</w:t>
            </w:r>
            <w:r>
              <w:rPr>
                <w:rFonts w:hint="eastAsia"/>
                <w:sz w:val="24"/>
                <w:szCs w:val="24"/>
              </w:rPr>
              <w:t>，产生机械噪声和固废。</w:t>
            </w:r>
          </w:p>
          <w:p w14:paraId="73DF731B">
            <w:pPr>
              <w:spacing w:line="360" w:lineRule="auto"/>
              <w:ind w:firstLine="480" w:firstLineChars="200"/>
              <w:rPr>
                <w:sz w:val="24"/>
                <w:szCs w:val="24"/>
              </w:rPr>
            </w:pPr>
            <w:r>
              <w:rPr>
                <w:sz w:val="24"/>
                <w:szCs w:val="24"/>
              </w:rPr>
              <w:t>8、磨杆</w:t>
            </w:r>
          </w:p>
          <w:p w14:paraId="1C080628">
            <w:pPr>
              <w:spacing w:line="360" w:lineRule="auto"/>
              <w:ind w:firstLine="480"/>
              <w:rPr>
                <w:sz w:val="24"/>
                <w:szCs w:val="24"/>
              </w:rPr>
            </w:pPr>
            <w:r>
              <w:rPr>
                <w:sz w:val="24"/>
                <w:szCs w:val="24"/>
              </w:rPr>
              <w:t>对裸竿进行精磨和水磨，均在水中进行，因此磨杆过程无粉尘产生，磨杆废水经沉淀后循环使用、定期补充，不外排</w:t>
            </w:r>
            <w:r>
              <w:rPr>
                <w:rFonts w:hint="eastAsia"/>
                <w:sz w:val="24"/>
                <w:szCs w:val="24"/>
              </w:rPr>
              <w:t>；设备运行产生机械噪声。</w:t>
            </w:r>
          </w:p>
          <w:p w14:paraId="67DBE2DD">
            <w:pPr>
              <w:pStyle w:val="37"/>
              <w:numPr>
                <w:ilvl w:val="0"/>
                <w:numId w:val="8"/>
              </w:numPr>
              <w:spacing w:line="360" w:lineRule="auto"/>
              <w:ind w:firstLine="480"/>
              <w:rPr>
                <w:sz w:val="24"/>
                <w:szCs w:val="24"/>
              </w:rPr>
            </w:pPr>
            <w:r>
              <w:rPr>
                <w:rFonts w:hint="eastAsia"/>
                <w:sz w:val="24"/>
                <w:szCs w:val="24"/>
              </w:rPr>
              <w:t>拉漆</w:t>
            </w:r>
          </w:p>
          <w:p w14:paraId="7D5C7A4A">
            <w:pPr>
              <w:pStyle w:val="37"/>
              <w:spacing w:line="360" w:lineRule="auto"/>
              <w:ind w:firstLine="480"/>
              <w:rPr>
                <w:sz w:val="24"/>
                <w:szCs w:val="24"/>
              </w:rPr>
            </w:pPr>
            <w:r>
              <w:rPr>
                <w:sz w:val="24"/>
                <w:szCs w:val="24"/>
              </w:rPr>
              <w:t>将漆料置于一个拉漆装置中，装置的其中一面有一片橡胶皮，皮上则有小于裸竿直径的圆孔，将裸竿一端穿过圆孔并将其抽出，使漆料均匀的涂于裸竿之上。</w:t>
            </w:r>
          </w:p>
          <w:p w14:paraId="4E241F7F">
            <w:pPr>
              <w:spacing w:line="360" w:lineRule="auto"/>
              <w:ind w:firstLine="480" w:firstLineChars="200"/>
              <w:rPr>
                <w:sz w:val="24"/>
                <w:szCs w:val="24"/>
              </w:rPr>
            </w:pPr>
            <w:r>
              <w:rPr>
                <w:rFonts w:hint="eastAsia"/>
                <w:sz w:val="24"/>
                <w:szCs w:val="24"/>
              </w:rPr>
              <w:t>10</w:t>
            </w:r>
            <w:r>
              <w:rPr>
                <w:sz w:val="24"/>
                <w:szCs w:val="24"/>
              </w:rPr>
              <w:t>、喷漆、烘干</w:t>
            </w:r>
          </w:p>
          <w:p w14:paraId="1DBAA136">
            <w:pPr>
              <w:spacing w:line="360" w:lineRule="auto"/>
              <w:ind w:firstLine="480" w:firstLineChars="200"/>
              <w:jc w:val="left"/>
              <w:rPr>
                <w:sz w:val="24"/>
                <w:szCs w:val="24"/>
              </w:rPr>
            </w:pPr>
            <w:r>
              <w:rPr>
                <w:sz w:val="24"/>
                <w:szCs w:val="24"/>
              </w:rPr>
              <w:t>项目</w:t>
            </w:r>
            <w:r>
              <w:rPr>
                <w:rFonts w:hint="eastAsia"/>
                <w:sz w:val="24"/>
                <w:szCs w:val="24"/>
              </w:rPr>
              <w:t>调漆工序在喷漆室内进行，</w:t>
            </w:r>
            <w:r>
              <w:rPr>
                <w:sz w:val="24"/>
                <w:szCs w:val="24"/>
              </w:rPr>
              <w:t>喷漆完成后将裸竿放置到烘箱进行烘干，</w:t>
            </w:r>
            <w:r>
              <w:rPr>
                <w:rFonts w:hint="eastAsia"/>
                <w:sz w:val="24"/>
                <w:szCs w:val="24"/>
              </w:rPr>
              <w:t>调漆、</w:t>
            </w:r>
            <w:r>
              <w:rPr>
                <w:sz w:val="24"/>
                <w:szCs w:val="24"/>
              </w:rPr>
              <w:t>喷漆、烘干工序产生少量漆渣、漆雾、</w:t>
            </w:r>
            <w:r>
              <w:rPr>
                <w:rFonts w:hint="eastAsia"/>
                <w:sz w:val="24"/>
                <w:szCs w:val="24"/>
              </w:rPr>
              <w:t>有机</w:t>
            </w:r>
            <w:r>
              <w:rPr>
                <w:sz w:val="24"/>
                <w:szCs w:val="24"/>
              </w:rPr>
              <w:t>废气；项目采用</w:t>
            </w:r>
            <w:r>
              <w:rPr>
                <w:rFonts w:hint="eastAsia"/>
                <w:sz w:val="24"/>
                <w:szCs w:val="24"/>
              </w:rPr>
              <w:t>水喷淋</w:t>
            </w:r>
            <w:r>
              <w:rPr>
                <w:sz w:val="24"/>
                <w:szCs w:val="24"/>
              </w:rPr>
              <w:t>装置除去部分废气中的漆雾，</w:t>
            </w:r>
            <w:r>
              <w:rPr>
                <w:rFonts w:hint="eastAsia"/>
                <w:sz w:val="24"/>
                <w:szCs w:val="24"/>
              </w:rPr>
              <w:t>水喷淋</w:t>
            </w:r>
            <w:r>
              <w:rPr>
                <w:sz w:val="24"/>
                <w:szCs w:val="24"/>
              </w:rPr>
              <w:t>装置废水经沉淀</w:t>
            </w:r>
            <w:r>
              <w:rPr>
                <w:rFonts w:hint="eastAsia"/>
                <w:sz w:val="24"/>
                <w:szCs w:val="24"/>
              </w:rPr>
              <w:t>并过滤漆渣</w:t>
            </w:r>
            <w:r>
              <w:rPr>
                <w:sz w:val="24"/>
                <w:szCs w:val="24"/>
              </w:rPr>
              <w:t>后循环利用，</w:t>
            </w:r>
            <w:r>
              <w:rPr>
                <w:rFonts w:hint="eastAsia"/>
                <w:sz w:val="24"/>
                <w:szCs w:val="24"/>
              </w:rPr>
              <w:t>定期更换的少量废液委托有危废处置资质单位处置；</w:t>
            </w:r>
            <w:r>
              <w:rPr>
                <w:sz w:val="24"/>
                <w:szCs w:val="24"/>
              </w:rPr>
              <w:t>调漆、喷漆、烘干过程产生的有机废气采用催化燃烧</w:t>
            </w:r>
            <w:r>
              <w:rPr>
                <w:rFonts w:hint="eastAsia"/>
                <w:sz w:val="24"/>
                <w:szCs w:val="24"/>
              </w:rPr>
              <w:t>废气处理</w:t>
            </w:r>
            <w:r>
              <w:rPr>
                <w:sz w:val="24"/>
                <w:szCs w:val="24"/>
              </w:rPr>
              <w:t>装置进行处理。</w:t>
            </w:r>
          </w:p>
          <w:p w14:paraId="5E648687">
            <w:pPr>
              <w:pStyle w:val="37"/>
              <w:spacing w:line="360" w:lineRule="auto"/>
              <w:ind w:firstLine="480"/>
              <w:rPr>
                <w:sz w:val="24"/>
                <w:szCs w:val="24"/>
              </w:rPr>
            </w:pPr>
            <w:r>
              <w:rPr>
                <w:rFonts w:hint="eastAsia"/>
                <w:sz w:val="24"/>
                <w:szCs w:val="24"/>
              </w:rPr>
              <w:t>11、EVA半成品加工</w:t>
            </w:r>
          </w:p>
          <w:p w14:paraId="28AFC3F5">
            <w:pPr>
              <w:spacing w:line="360" w:lineRule="auto"/>
              <w:ind w:firstLine="480" w:firstLineChars="200"/>
              <w:jc w:val="left"/>
              <w:rPr>
                <w:sz w:val="24"/>
                <w:szCs w:val="24"/>
              </w:rPr>
            </w:pPr>
            <w:r>
              <w:rPr>
                <w:sz w:val="24"/>
                <w:szCs w:val="24"/>
              </w:rPr>
              <w:t>本</w:t>
            </w:r>
            <w:r>
              <w:rPr>
                <w:rFonts w:hint="eastAsia"/>
                <w:sz w:val="24"/>
                <w:szCs w:val="24"/>
              </w:rPr>
              <w:t>工艺主要为鱼竿生产提供部分配件手柄等</w:t>
            </w:r>
            <w:r>
              <w:rPr>
                <w:sz w:val="24"/>
                <w:szCs w:val="24"/>
              </w:rPr>
              <w:t>，项目</w:t>
            </w:r>
            <w:r>
              <w:rPr>
                <w:rFonts w:hint="eastAsia"/>
                <w:sz w:val="24"/>
                <w:szCs w:val="24"/>
              </w:rPr>
              <w:t>采购EVA半成品进行切割、打孔、抛光后入库待用。</w:t>
            </w:r>
          </w:p>
          <w:p w14:paraId="21338753">
            <w:pPr>
              <w:spacing w:line="360" w:lineRule="auto"/>
              <w:ind w:firstLine="480" w:firstLineChars="200"/>
              <w:rPr>
                <w:sz w:val="24"/>
                <w:szCs w:val="24"/>
              </w:rPr>
            </w:pPr>
            <w:r>
              <w:rPr>
                <w:sz w:val="24"/>
                <w:szCs w:val="24"/>
              </w:rPr>
              <w:t>1</w:t>
            </w:r>
            <w:r>
              <w:rPr>
                <w:rFonts w:hint="eastAsia"/>
                <w:sz w:val="24"/>
                <w:szCs w:val="24"/>
              </w:rPr>
              <w:t>2</w:t>
            </w:r>
            <w:r>
              <w:rPr>
                <w:sz w:val="24"/>
                <w:szCs w:val="24"/>
              </w:rPr>
              <w:t>、组装</w:t>
            </w:r>
          </w:p>
          <w:p w14:paraId="39625966">
            <w:pPr>
              <w:spacing w:line="360" w:lineRule="auto"/>
              <w:ind w:firstLine="480" w:firstLineChars="200"/>
              <w:jc w:val="left"/>
              <w:rPr>
                <w:sz w:val="24"/>
                <w:szCs w:val="24"/>
              </w:rPr>
            </w:pPr>
            <w:r>
              <w:rPr>
                <w:sz w:val="24"/>
                <w:szCs w:val="24"/>
              </w:rPr>
              <w:t>对鱼竿进行组装，将企业外购的导眼、轮座</w:t>
            </w:r>
            <w:r>
              <w:rPr>
                <w:rFonts w:hint="eastAsia"/>
                <w:sz w:val="24"/>
                <w:szCs w:val="24"/>
              </w:rPr>
              <w:t>等部件</w:t>
            </w:r>
            <w:r>
              <w:rPr>
                <w:sz w:val="24"/>
                <w:szCs w:val="24"/>
              </w:rPr>
              <w:t>组装上裸竿。</w:t>
            </w:r>
            <w:r>
              <w:rPr>
                <w:rFonts w:hint="eastAsia"/>
                <w:sz w:val="24"/>
                <w:szCs w:val="24"/>
              </w:rPr>
              <w:t>该过程采用环氧树脂胶挥发少量有机废气。</w:t>
            </w:r>
          </w:p>
          <w:p w14:paraId="6263581A">
            <w:pPr>
              <w:spacing w:line="360" w:lineRule="auto"/>
              <w:ind w:firstLine="480"/>
            </w:pPr>
            <w:r>
              <w:rPr>
                <w:sz w:val="24"/>
                <w:szCs w:val="24"/>
                <w:lang w:val="zh-TW"/>
              </w:rPr>
              <w:t>产污环节：</w:t>
            </w:r>
            <w:r>
              <w:rPr>
                <w:sz w:val="24"/>
                <w:szCs w:val="24"/>
              </w:rPr>
              <w:t>机械设备运行产生机械噪声；</w:t>
            </w:r>
            <w:r>
              <w:rPr>
                <w:rFonts w:hint="eastAsia"/>
                <w:sz w:val="24"/>
                <w:szCs w:val="24"/>
              </w:rPr>
              <w:t>固化、调漆、拉漆、喷漆、烘干、环氧等过程产生漆渣、漆雾等有机废气；抛光</w:t>
            </w:r>
            <w:r>
              <w:rPr>
                <w:sz w:val="24"/>
                <w:szCs w:val="24"/>
              </w:rPr>
              <w:t>过程产生</w:t>
            </w:r>
            <w:r>
              <w:rPr>
                <w:rFonts w:hint="eastAsia"/>
                <w:sz w:val="24"/>
                <w:szCs w:val="24"/>
              </w:rPr>
              <w:t>少量粉尘</w:t>
            </w:r>
            <w:r>
              <w:rPr>
                <w:sz w:val="24"/>
                <w:szCs w:val="24"/>
              </w:rPr>
              <w:t>；</w:t>
            </w:r>
            <w:r>
              <w:rPr>
                <w:rFonts w:hint="eastAsia"/>
                <w:sz w:val="24"/>
                <w:szCs w:val="24"/>
              </w:rPr>
              <w:t>打孔</w:t>
            </w:r>
            <w:r>
              <w:rPr>
                <w:sz w:val="24"/>
                <w:szCs w:val="24"/>
              </w:rPr>
              <w:t>过程产生一定量下脚料</w:t>
            </w:r>
            <w:r>
              <w:rPr>
                <w:rFonts w:hint="eastAsia"/>
                <w:sz w:val="24"/>
                <w:szCs w:val="24"/>
              </w:rPr>
              <w:t>。</w:t>
            </w:r>
          </w:p>
        </w:tc>
      </w:tr>
      <w:tr w14:paraId="276FA9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357" w:type="dxa"/>
          </w:tcPr>
          <w:p w14:paraId="2D489385">
            <w:pPr>
              <w:spacing w:line="360" w:lineRule="auto"/>
              <w:rPr>
                <w:b/>
                <w:bCs/>
                <w:sz w:val="24"/>
                <w:szCs w:val="24"/>
              </w:rPr>
            </w:pPr>
            <w:r>
              <w:rPr>
                <w:b/>
                <w:bCs/>
                <w:sz w:val="24"/>
                <w:szCs w:val="24"/>
              </w:rPr>
              <w:t>主要污染工序：</w:t>
            </w:r>
          </w:p>
          <w:p w14:paraId="661D2F4C">
            <w:pPr>
              <w:adjustRightInd w:val="0"/>
              <w:snapToGrid w:val="0"/>
              <w:spacing w:line="360" w:lineRule="auto"/>
              <w:ind w:firstLine="482" w:firstLineChars="200"/>
              <w:rPr>
                <w:b/>
                <w:bCs/>
                <w:sz w:val="24"/>
                <w:szCs w:val="24"/>
              </w:rPr>
            </w:pPr>
            <w:r>
              <w:rPr>
                <w:b/>
                <w:bCs/>
                <w:sz w:val="24"/>
                <w:szCs w:val="24"/>
              </w:rPr>
              <w:t>一、施工期</w:t>
            </w:r>
          </w:p>
          <w:p w14:paraId="63AD1A96">
            <w:pPr>
              <w:spacing w:line="360" w:lineRule="auto"/>
              <w:ind w:firstLine="480" w:firstLineChars="200"/>
              <w:jc w:val="left"/>
              <w:rPr>
                <w:sz w:val="24"/>
                <w:szCs w:val="24"/>
              </w:rPr>
            </w:pPr>
            <w:r>
              <w:rPr>
                <w:rFonts w:hint="eastAsia"/>
                <w:sz w:val="24"/>
                <w:szCs w:val="24"/>
              </w:rPr>
              <w:t>本</w:t>
            </w:r>
            <w:r>
              <w:rPr>
                <w:sz w:val="24"/>
                <w:szCs w:val="24"/>
              </w:rPr>
              <w:t>项目</w:t>
            </w:r>
            <w:r>
              <w:rPr>
                <w:rFonts w:hint="eastAsia"/>
                <w:sz w:val="24"/>
                <w:szCs w:val="24"/>
              </w:rPr>
              <w:t>租用已建</w:t>
            </w:r>
            <w:r>
              <w:rPr>
                <w:sz w:val="24"/>
                <w:szCs w:val="24"/>
              </w:rPr>
              <w:t>生产车间</w:t>
            </w:r>
            <w:r>
              <w:rPr>
                <w:rFonts w:hint="eastAsia"/>
                <w:sz w:val="24"/>
                <w:szCs w:val="24"/>
              </w:rPr>
              <w:t>进行生产</w:t>
            </w:r>
            <w:r>
              <w:rPr>
                <w:sz w:val="24"/>
                <w:szCs w:val="24"/>
              </w:rPr>
              <w:t>，</w:t>
            </w:r>
            <w:r>
              <w:rPr>
                <w:rFonts w:hint="eastAsia"/>
                <w:sz w:val="24"/>
                <w:szCs w:val="24"/>
              </w:rPr>
              <w:t>无土建工程</w:t>
            </w:r>
            <w:r>
              <w:rPr>
                <w:sz w:val="24"/>
                <w:szCs w:val="24"/>
              </w:rPr>
              <w:t>，因此，本环评对施工期不再进行分析和评价。</w:t>
            </w:r>
          </w:p>
          <w:p w14:paraId="76CA5249">
            <w:pPr>
              <w:spacing w:line="360" w:lineRule="auto"/>
              <w:ind w:firstLine="482" w:firstLineChars="200"/>
              <w:rPr>
                <w:rFonts w:asciiTheme="minorEastAsia" w:hAnsiTheme="minorEastAsia" w:eastAsiaTheme="minorEastAsia" w:cstheme="minorEastAsia"/>
                <w:b/>
                <w:bCs/>
                <w:sz w:val="24"/>
                <w:szCs w:val="24"/>
              </w:rPr>
            </w:pPr>
            <w:r>
              <w:rPr>
                <w:b/>
                <w:bCs/>
                <w:sz w:val="24"/>
                <w:szCs w:val="24"/>
              </w:rPr>
              <w:t>二</w:t>
            </w:r>
            <w:r>
              <w:rPr>
                <w:rFonts w:hint="eastAsia" w:asciiTheme="minorEastAsia" w:hAnsiTheme="minorEastAsia" w:eastAsiaTheme="minorEastAsia" w:cstheme="minorEastAsia"/>
                <w:b/>
                <w:bCs/>
                <w:sz w:val="24"/>
                <w:szCs w:val="24"/>
              </w:rPr>
              <w:t>、运营期</w:t>
            </w:r>
          </w:p>
          <w:p w14:paraId="76068016">
            <w:pPr>
              <w:spacing w:line="360" w:lineRule="auto"/>
              <w:ind w:firstLine="480" w:firstLineChars="200"/>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t>1、废气</w:t>
            </w:r>
          </w:p>
          <w:p w14:paraId="35F17AB7">
            <w:pPr>
              <w:pStyle w:val="61"/>
              <w:autoSpaceDE w:val="0"/>
              <w:autoSpaceDN w:val="0"/>
              <w:adjustRightInd/>
              <w:spacing w:line="360" w:lineRule="auto"/>
              <w:jc w:val="left"/>
              <w:textAlignment w:val="auto"/>
              <w:rPr>
                <w:rFonts w:eastAsiaTheme="minorEastAsia"/>
                <w:color w:val="auto"/>
                <w:szCs w:val="24"/>
              </w:rPr>
            </w:pPr>
            <w:r>
              <w:rPr>
                <w:rFonts w:hint="eastAsia" w:asciiTheme="minorEastAsia" w:hAnsiTheme="minorEastAsia" w:eastAsiaTheme="minorEastAsia" w:cstheme="minorEastAsia"/>
                <w:szCs w:val="24"/>
              </w:rPr>
              <w:t>本项目不设食堂及宿舍无生活废气产生；生产废气主要包括：固化、调漆、拉漆、喷漆、烘干、环氧过程产生的有机</w:t>
            </w:r>
            <w:r>
              <w:rPr>
                <w:rFonts w:hint="eastAsia" w:asciiTheme="minorEastAsia" w:hAnsiTheme="minorEastAsia" w:eastAsiaTheme="minorEastAsia" w:cstheme="minorEastAsia"/>
                <w:color w:val="auto"/>
                <w:szCs w:val="24"/>
              </w:rPr>
              <w:t>废气和漆雾（主要为喷漆工序产生），有机废气主要污染物为VOCs、二甲苯等。喷漆废气经水喷淋装置除漆雾后与固化、拉漆、调漆、烘干、环氧等过程产生废气一起经催化燃烧废气处理装置处理后由15m排气筒排放。</w:t>
            </w:r>
            <w:r>
              <w:rPr>
                <w:rFonts w:eastAsiaTheme="minorEastAsia"/>
                <w:color w:val="auto"/>
                <w:szCs w:val="24"/>
              </w:rPr>
              <w:t>EVA半成品抛光工序产生的粉尘，</w:t>
            </w:r>
            <w:r>
              <w:rPr>
                <w:rFonts w:eastAsiaTheme="minorEastAsia"/>
                <w:color w:val="auto"/>
                <w:szCs w:val="24"/>
                <w:lang w:val="zh-CN"/>
              </w:rPr>
              <w:t>主要污染物为颗粒物，分为有组织排放和无组织排放，项目厂区内设</w:t>
            </w:r>
            <w:r>
              <w:rPr>
                <w:rFonts w:eastAsiaTheme="minorEastAsia"/>
                <w:color w:val="auto"/>
                <w:szCs w:val="24"/>
              </w:rPr>
              <w:t>2根15m排气筒。</w:t>
            </w:r>
          </w:p>
          <w:p w14:paraId="6D742BDD">
            <w:pPr>
              <w:spacing w:line="360" w:lineRule="auto"/>
              <w:ind w:firstLine="480" w:firstLineChars="200"/>
              <w:rPr>
                <w:color w:val="auto"/>
                <w:sz w:val="24"/>
                <w:szCs w:val="24"/>
              </w:rPr>
            </w:pPr>
            <w:r>
              <w:rPr>
                <w:color w:val="auto"/>
                <w:sz w:val="24"/>
                <w:szCs w:val="24"/>
              </w:rPr>
              <w:t>2、废水</w:t>
            </w:r>
          </w:p>
          <w:p w14:paraId="194B9D49">
            <w:pPr>
              <w:bidi w:val="0"/>
              <w:spacing w:line="360" w:lineRule="auto"/>
              <w:ind w:firstLine="480" w:firstLineChars="200"/>
              <w:jc w:val="left"/>
              <w:rPr>
                <w:rFonts w:hint="eastAsia" w:eastAsia="宋体"/>
                <w:sz w:val="24"/>
                <w:szCs w:val="24"/>
                <w:lang w:eastAsia="zh-CN"/>
              </w:rPr>
            </w:pPr>
            <w:r>
              <w:rPr>
                <w:color w:val="auto"/>
                <w:sz w:val="24"/>
                <w:szCs w:val="24"/>
              </w:rPr>
              <w:t>项目运营期间</w:t>
            </w:r>
            <w:r>
              <w:rPr>
                <w:rFonts w:hint="eastAsia"/>
                <w:color w:val="auto"/>
                <w:sz w:val="24"/>
                <w:szCs w:val="24"/>
                <w:lang w:eastAsia="zh-CN"/>
              </w:rPr>
              <w:t>喷漆工序</w:t>
            </w:r>
            <w:r>
              <w:rPr>
                <w:rFonts w:hint="eastAsia"/>
                <w:color w:val="auto"/>
                <w:sz w:val="24"/>
                <w:lang w:eastAsia="zh-CN"/>
              </w:rPr>
              <w:t>使用</w:t>
            </w:r>
            <w:r>
              <w:rPr>
                <w:rFonts w:eastAsia="新宋体"/>
                <w:color w:val="auto"/>
                <w:sz w:val="24"/>
                <w:szCs w:val="24"/>
              </w:rPr>
              <w:t>水喷淋装置</w:t>
            </w:r>
            <w:r>
              <w:rPr>
                <w:rFonts w:hint="eastAsia" w:eastAsia="新宋体"/>
                <w:color w:val="auto"/>
                <w:sz w:val="24"/>
                <w:szCs w:val="24"/>
                <w:lang w:eastAsia="zh-CN"/>
              </w:rPr>
              <w:t>除漆雾，产生的</w:t>
            </w:r>
            <w:r>
              <w:rPr>
                <w:color w:val="auto"/>
                <w:sz w:val="24"/>
                <w:szCs w:val="24"/>
              </w:rPr>
              <w:t>废水经沉淀分离漆渣后循环使用，</w:t>
            </w:r>
            <w:r>
              <w:rPr>
                <w:rFonts w:hint="eastAsia"/>
                <w:color w:val="auto"/>
                <w:sz w:val="24"/>
                <w:szCs w:val="24"/>
              </w:rPr>
              <w:t>定期补充</w:t>
            </w:r>
            <w:r>
              <w:rPr>
                <w:color w:val="auto"/>
                <w:sz w:val="24"/>
                <w:szCs w:val="24"/>
              </w:rPr>
              <w:t>，</w:t>
            </w:r>
            <w:r>
              <w:rPr>
                <w:rFonts w:hint="eastAsia"/>
                <w:color w:val="auto"/>
                <w:sz w:val="24"/>
                <w:szCs w:val="24"/>
              </w:rPr>
              <w:t>产生少量废液</w:t>
            </w:r>
            <w:r>
              <w:rPr>
                <w:rFonts w:hint="eastAsia"/>
                <w:color w:val="auto"/>
                <w:sz w:val="24"/>
                <w:szCs w:val="24"/>
                <w:lang w:eastAsia="zh-CN"/>
              </w:rPr>
              <w:t>，产生量为</w:t>
            </w:r>
            <w:r>
              <w:rPr>
                <w:rFonts w:hint="eastAsia"/>
                <w:color w:val="auto"/>
                <w:sz w:val="24"/>
                <w:szCs w:val="24"/>
                <w:lang w:val="en-US" w:eastAsia="zh-CN"/>
              </w:rPr>
              <w:t>2t/a，</w:t>
            </w:r>
            <w:r>
              <w:rPr>
                <w:rFonts w:hint="eastAsia"/>
                <w:color w:val="auto"/>
                <w:sz w:val="24"/>
                <w:szCs w:val="24"/>
              </w:rPr>
              <w:t>委托有危废处置资质的单位处置</w:t>
            </w:r>
            <w:r>
              <w:rPr>
                <w:color w:val="auto"/>
                <w:sz w:val="24"/>
                <w:szCs w:val="24"/>
              </w:rPr>
              <w:t>；磨杆工序废水经沉淀后循环使用，</w:t>
            </w:r>
            <w:r>
              <w:rPr>
                <w:rFonts w:hint="eastAsia"/>
                <w:color w:val="auto"/>
                <w:sz w:val="24"/>
                <w:szCs w:val="24"/>
              </w:rPr>
              <w:t>定期补充</w:t>
            </w:r>
            <w:r>
              <w:rPr>
                <w:color w:val="auto"/>
                <w:sz w:val="24"/>
                <w:szCs w:val="24"/>
              </w:rPr>
              <w:t>，不外排</w:t>
            </w:r>
            <w:r>
              <w:rPr>
                <w:rFonts w:hint="eastAsia"/>
                <w:color w:val="auto"/>
                <w:sz w:val="24"/>
                <w:szCs w:val="24"/>
              </w:rPr>
              <w:t>。</w:t>
            </w:r>
            <w:r>
              <w:rPr>
                <w:color w:val="auto"/>
                <w:sz w:val="24"/>
                <w:szCs w:val="24"/>
              </w:rPr>
              <w:t>因此，本项目废水主要为生活污水</w:t>
            </w:r>
            <w:r>
              <w:rPr>
                <w:rFonts w:hint="eastAsia"/>
                <w:color w:val="auto"/>
                <w:sz w:val="24"/>
                <w:szCs w:val="24"/>
              </w:rPr>
              <w:t>，产生量约为960t/a，主要污染物为CODcr、氨氮等。</w:t>
            </w:r>
            <w:r>
              <w:rPr>
                <w:color w:val="auto"/>
                <w:sz w:val="24"/>
                <w:szCs w:val="24"/>
              </w:rPr>
              <w:t>项目生活</w:t>
            </w:r>
            <w:r>
              <w:rPr>
                <w:sz w:val="24"/>
                <w:szCs w:val="24"/>
              </w:rPr>
              <w:t>污水经</w:t>
            </w:r>
            <w:r>
              <w:rPr>
                <w:rFonts w:hint="eastAsia"/>
                <w:sz w:val="24"/>
                <w:szCs w:val="24"/>
                <w:lang w:val="en-US" w:eastAsia="zh-CN"/>
              </w:rPr>
              <w:t>三级沉淀池</w:t>
            </w:r>
            <w:r>
              <w:rPr>
                <w:sz w:val="24"/>
                <w:szCs w:val="24"/>
              </w:rPr>
              <w:t>预处理达到《污水排入城镇下水道水质标准》（GB/T 31962-2015）表1 B等级标准后，</w:t>
            </w:r>
            <w:r>
              <w:rPr>
                <w:rFonts w:hint="eastAsia"/>
                <w:sz w:val="24"/>
                <w:szCs w:val="24"/>
                <w:lang w:val="en-US" w:eastAsia="zh-CN"/>
              </w:rPr>
              <w:t>定期</w:t>
            </w:r>
            <w:r>
              <w:rPr>
                <w:sz w:val="24"/>
                <w:szCs w:val="24"/>
              </w:rPr>
              <w:t>由</w:t>
            </w:r>
            <w:r>
              <w:rPr>
                <w:rFonts w:hint="eastAsia"/>
                <w:sz w:val="24"/>
                <w:szCs w:val="24"/>
                <w:lang w:val="en-US" w:eastAsia="zh-CN"/>
              </w:rPr>
              <w:t>罐车抽</w:t>
            </w:r>
            <w:r>
              <w:rPr>
                <w:sz w:val="24"/>
                <w:szCs w:val="24"/>
              </w:rPr>
              <w:t>送至</w:t>
            </w:r>
            <w:r>
              <w:rPr>
                <w:rFonts w:hint="eastAsia"/>
                <w:sz w:val="24"/>
                <w:szCs w:val="24"/>
              </w:rPr>
              <w:t>威海经区污水处理厂</w:t>
            </w:r>
            <w:r>
              <w:rPr>
                <w:sz w:val="24"/>
                <w:szCs w:val="24"/>
              </w:rPr>
              <w:t>进一步处理</w:t>
            </w:r>
            <w:r>
              <w:rPr>
                <w:rFonts w:hint="eastAsia"/>
                <w:sz w:val="24"/>
                <w:szCs w:val="24"/>
                <w:lang w:eastAsia="zh-CN"/>
              </w:rPr>
              <w:t>，</w:t>
            </w:r>
            <w:r>
              <w:rPr>
                <w:rFonts w:hint="eastAsia" w:eastAsiaTheme="minorEastAsia"/>
                <w:sz w:val="24"/>
                <w:szCs w:val="24"/>
                <w:lang w:val="en-US" w:eastAsia="zh-CN"/>
              </w:rPr>
              <w:t>待项目</w:t>
            </w:r>
            <w:r>
              <w:rPr>
                <w:rFonts w:eastAsiaTheme="minorEastAsia"/>
                <w:sz w:val="24"/>
                <w:szCs w:val="24"/>
              </w:rPr>
              <w:t>区域污水管网铺设完善</w:t>
            </w:r>
            <w:r>
              <w:rPr>
                <w:rFonts w:hint="eastAsia" w:eastAsiaTheme="minorEastAsia"/>
                <w:sz w:val="24"/>
                <w:szCs w:val="24"/>
                <w:lang w:val="en-US" w:eastAsia="zh-CN"/>
              </w:rPr>
              <w:t>后项目应及时并入市政污水管网</w:t>
            </w:r>
            <w:r>
              <w:rPr>
                <w:rFonts w:hint="eastAsia" w:eastAsiaTheme="minorEastAsia"/>
                <w:sz w:val="24"/>
                <w:szCs w:val="24"/>
                <w:lang w:eastAsia="zh-CN"/>
              </w:rPr>
              <w:t>。</w:t>
            </w:r>
          </w:p>
          <w:p w14:paraId="70B4F465">
            <w:pPr>
              <w:pStyle w:val="17"/>
              <w:autoSpaceDE w:val="0"/>
              <w:autoSpaceDN w:val="0"/>
              <w:adjustRightInd w:val="0"/>
              <w:ind w:left="0" w:firstLine="480" w:firstLineChars="200"/>
              <w:rPr>
                <w:szCs w:val="24"/>
              </w:rPr>
            </w:pPr>
            <w:r>
              <w:rPr>
                <w:rFonts w:hint="default" w:ascii="Times New Roman" w:hAnsi="Times New Roman" w:cs="Times New Roman"/>
                <w:szCs w:val="24"/>
              </w:rPr>
              <w:t>3、</w:t>
            </w:r>
            <w:r>
              <w:rPr>
                <w:szCs w:val="24"/>
              </w:rPr>
              <w:t>噪声</w:t>
            </w:r>
          </w:p>
          <w:p w14:paraId="3A33AB34">
            <w:pPr>
              <w:spacing w:line="360" w:lineRule="auto"/>
              <w:ind w:firstLine="480" w:firstLineChars="200"/>
              <w:rPr>
                <w:sz w:val="24"/>
                <w:szCs w:val="24"/>
              </w:rPr>
            </w:pPr>
            <w:r>
              <w:rPr>
                <w:sz w:val="24"/>
                <w:szCs w:val="24"/>
              </w:rPr>
              <w:t>本项目噪声主要来自</w:t>
            </w:r>
            <w:r>
              <w:rPr>
                <w:rFonts w:hint="eastAsia"/>
                <w:sz w:val="24"/>
                <w:szCs w:val="24"/>
              </w:rPr>
              <w:t>裁布机、缠带机、水磨机、风机、抛光机</w:t>
            </w:r>
            <w:r>
              <w:rPr>
                <w:sz w:val="24"/>
                <w:szCs w:val="24"/>
              </w:rPr>
              <w:t>等机械设备的运行，根据国内同类行业的车间内噪声值的经验数据，噪声值约在65～85dB(A)左右。</w:t>
            </w:r>
          </w:p>
          <w:p w14:paraId="6042575E">
            <w:pPr>
              <w:spacing w:line="360" w:lineRule="auto"/>
              <w:ind w:firstLine="480" w:firstLineChars="200"/>
              <w:rPr>
                <w:sz w:val="24"/>
                <w:szCs w:val="24"/>
              </w:rPr>
            </w:pPr>
            <w:r>
              <w:rPr>
                <w:sz w:val="24"/>
                <w:szCs w:val="24"/>
              </w:rPr>
              <w:t>4、固体废物</w:t>
            </w:r>
          </w:p>
          <w:p w14:paraId="6AC65B76">
            <w:pPr>
              <w:adjustRightInd w:val="0"/>
              <w:snapToGrid w:val="0"/>
              <w:spacing w:line="360" w:lineRule="auto"/>
              <w:ind w:firstLine="480"/>
              <w:rPr>
                <w:sz w:val="24"/>
                <w:szCs w:val="24"/>
              </w:rPr>
            </w:pPr>
            <w:r>
              <w:rPr>
                <w:rFonts w:hint="eastAsia"/>
                <w:sz w:val="24"/>
                <w:szCs w:val="24"/>
              </w:rPr>
              <w:t>本项目</w:t>
            </w:r>
            <w:r>
              <w:rPr>
                <w:sz w:val="24"/>
                <w:szCs w:val="24"/>
              </w:rPr>
              <w:t>营运期固体废物分为一般工业固废</w:t>
            </w:r>
            <w:r>
              <w:rPr>
                <w:rFonts w:hint="eastAsia"/>
                <w:sz w:val="24"/>
                <w:szCs w:val="24"/>
              </w:rPr>
              <w:t>、危险废物和</w:t>
            </w:r>
            <w:r>
              <w:rPr>
                <w:sz w:val="24"/>
                <w:szCs w:val="24"/>
              </w:rPr>
              <w:t>职工生活垃圾。</w:t>
            </w:r>
            <w:r>
              <w:rPr>
                <w:rFonts w:hint="eastAsia"/>
                <w:sz w:val="24"/>
                <w:szCs w:val="24"/>
              </w:rPr>
              <w:t>其中一般工业固废主要为下脚料、不合格品、废包装；危险废物主要为</w:t>
            </w:r>
            <w:r>
              <w:rPr>
                <w:sz w:val="24"/>
                <w:szCs w:val="24"/>
              </w:rPr>
              <w:t>漆渣、废</w:t>
            </w:r>
            <w:r>
              <w:rPr>
                <w:rFonts w:hint="eastAsia"/>
                <w:sz w:val="24"/>
                <w:szCs w:val="24"/>
              </w:rPr>
              <w:t>包装桶（油漆桶、稀料桶、环氧树脂胶桶等）、</w:t>
            </w:r>
            <w:r>
              <w:rPr>
                <w:sz w:val="24"/>
                <w:szCs w:val="24"/>
              </w:rPr>
              <w:t>废过滤材料、废催化剂</w:t>
            </w:r>
            <w:r>
              <w:rPr>
                <w:rFonts w:hint="eastAsia"/>
                <w:sz w:val="24"/>
                <w:szCs w:val="24"/>
              </w:rPr>
              <w:t>、水喷淋装置废液</w:t>
            </w:r>
            <w:r>
              <w:rPr>
                <w:sz w:val="24"/>
                <w:szCs w:val="24"/>
              </w:rPr>
              <w:t>。</w:t>
            </w:r>
          </w:p>
          <w:p w14:paraId="6549B9B6">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5、环境风险</w:t>
            </w:r>
          </w:p>
          <w:p w14:paraId="65D1802E">
            <w:pPr>
              <w:spacing w:line="360" w:lineRule="auto"/>
              <w:ind w:firstLine="480" w:firstLineChars="200"/>
              <w:rPr>
                <w:bCs/>
                <w:sz w:val="24"/>
                <w:szCs w:val="24"/>
              </w:rPr>
            </w:pPr>
            <w:r>
              <w:rPr>
                <w:rFonts w:hint="default" w:ascii="Times New Roman" w:hAnsi="Times New Roman" w:cs="Times New Roman"/>
                <w:sz w:val="24"/>
                <w:szCs w:val="24"/>
              </w:rPr>
              <w:t>本项目聚氨酯漆及稀料年使用量</w:t>
            </w:r>
            <w:r>
              <w:rPr>
                <w:rFonts w:hint="default" w:ascii="Times New Roman" w:hAnsi="Times New Roman" w:cs="Times New Roman"/>
                <w:sz w:val="24"/>
                <w:szCs w:val="24"/>
                <w:lang w:eastAsia="zh-CN"/>
              </w:rPr>
              <w:t>约</w:t>
            </w:r>
            <w:r>
              <w:rPr>
                <w:rFonts w:hint="default" w:ascii="Times New Roman" w:hAnsi="Times New Roman" w:cs="Times New Roman"/>
                <w:sz w:val="24"/>
                <w:szCs w:val="24"/>
              </w:rPr>
              <w:t>为1.6t/a，最大存储量约为1.6t，其临界量为50t。根据《建设项目环境风险评价技术导则》(HJ169-2018)和《危险化学品重大危险源辨识》(GB18218-2018)可知，本项目Q=0.032＜1，没有构成重大危险源，因此环境风险潜势为Ⅰ级。</w:t>
            </w:r>
          </w:p>
        </w:tc>
      </w:tr>
    </w:tbl>
    <w:p w14:paraId="728A80C1">
      <w:pPr>
        <w:spacing w:after="120"/>
        <w:rPr>
          <w:rFonts w:eastAsia="黑体"/>
          <w:sz w:val="30"/>
          <w:szCs w:val="30"/>
        </w:rPr>
      </w:pPr>
      <w:r>
        <w:rPr>
          <w:rFonts w:eastAsia="黑体"/>
          <w:sz w:val="30"/>
          <w:szCs w:val="30"/>
        </w:rPr>
        <w:t>六、项目主要污染物产生及预计排放情况</w:t>
      </w:r>
    </w:p>
    <w:tbl>
      <w:tblPr>
        <w:tblStyle w:val="27"/>
        <w:tblW w:w="9356"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1224"/>
        <w:gridCol w:w="980"/>
        <w:gridCol w:w="1781"/>
        <w:gridCol w:w="1260"/>
        <w:gridCol w:w="1425"/>
        <w:gridCol w:w="1343"/>
        <w:gridCol w:w="1343"/>
      </w:tblGrid>
      <w:tr w14:paraId="24278F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67" w:hRule="atLeast"/>
          <w:jc w:val="center"/>
        </w:trPr>
        <w:tc>
          <w:tcPr>
            <w:tcW w:w="1224" w:type="dxa"/>
            <w:vMerge w:val="restart"/>
            <w:tcBorders>
              <w:tl2br w:val="single" w:color="auto" w:sz="4" w:space="0"/>
            </w:tcBorders>
            <w:vAlign w:val="center"/>
          </w:tcPr>
          <w:p w14:paraId="2A6BE051">
            <w:pPr>
              <w:rPr>
                <w:szCs w:val="21"/>
              </w:rPr>
            </w:pPr>
            <w:r>
              <w:rPr>
                <w:szCs w:val="21"/>
              </w:rPr>
              <w:t xml:space="preserve">   内</w:t>
            </w:r>
          </w:p>
          <w:p w14:paraId="128B4634">
            <w:pPr>
              <w:ind w:firstLine="840" w:firstLineChars="400"/>
              <w:rPr>
                <w:szCs w:val="21"/>
              </w:rPr>
            </w:pPr>
            <w:r>
              <w:rPr>
                <w:szCs w:val="21"/>
              </w:rPr>
              <w:t>容</w:t>
            </w:r>
          </w:p>
          <w:p w14:paraId="1E40748A">
            <w:pPr>
              <w:ind w:firstLine="105" w:firstLineChars="50"/>
              <w:rPr>
                <w:szCs w:val="21"/>
              </w:rPr>
            </w:pPr>
            <w:r>
              <w:rPr>
                <w:szCs w:val="21"/>
              </w:rPr>
              <w:t>类</w:t>
            </w:r>
          </w:p>
          <w:p w14:paraId="02AF041E">
            <w:pPr>
              <w:ind w:firstLine="420" w:firstLineChars="200"/>
              <w:rPr>
                <w:szCs w:val="21"/>
              </w:rPr>
            </w:pPr>
            <w:r>
              <w:rPr>
                <w:szCs w:val="21"/>
              </w:rPr>
              <w:t>型</w:t>
            </w:r>
          </w:p>
        </w:tc>
        <w:tc>
          <w:tcPr>
            <w:tcW w:w="980" w:type="dxa"/>
            <w:vMerge w:val="restart"/>
            <w:vAlign w:val="center"/>
          </w:tcPr>
          <w:p w14:paraId="44DC8000">
            <w:pPr>
              <w:jc w:val="center"/>
              <w:rPr>
                <w:szCs w:val="21"/>
              </w:rPr>
            </w:pPr>
            <w:r>
              <w:rPr>
                <w:szCs w:val="21"/>
              </w:rPr>
              <w:t>排放源</w:t>
            </w:r>
          </w:p>
          <w:p w14:paraId="33B57236">
            <w:pPr>
              <w:jc w:val="center"/>
              <w:rPr>
                <w:szCs w:val="21"/>
              </w:rPr>
            </w:pPr>
            <w:r>
              <w:rPr>
                <w:szCs w:val="21"/>
              </w:rPr>
              <w:t>(编号)</w:t>
            </w:r>
          </w:p>
        </w:tc>
        <w:tc>
          <w:tcPr>
            <w:tcW w:w="1781" w:type="dxa"/>
            <w:vMerge w:val="restart"/>
            <w:vAlign w:val="center"/>
          </w:tcPr>
          <w:p w14:paraId="3696D913">
            <w:pPr>
              <w:jc w:val="center"/>
              <w:rPr>
                <w:szCs w:val="21"/>
              </w:rPr>
            </w:pPr>
            <w:r>
              <w:rPr>
                <w:szCs w:val="21"/>
              </w:rPr>
              <w:t>污染物名称</w:t>
            </w:r>
          </w:p>
        </w:tc>
        <w:tc>
          <w:tcPr>
            <w:tcW w:w="2685" w:type="dxa"/>
            <w:gridSpan w:val="2"/>
            <w:vAlign w:val="center"/>
          </w:tcPr>
          <w:p w14:paraId="36E6E357">
            <w:pPr>
              <w:jc w:val="center"/>
              <w:rPr>
                <w:szCs w:val="21"/>
              </w:rPr>
            </w:pPr>
            <w:r>
              <w:rPr>
                <w:szCs w:val="21"/>
              </w:rPr>
              <w:t>污染物处理前</w:t>
            </w:r>
          </w:p>
        </w:tc>
        <w:tc>
          <w:tcPr>
            <w:tcW w:w="2686" w:type="dxa"/>
            <w:gridSpan w:val="2"/>
            <w:vAlign w:val="center"/>
          </w:tcPr>
          <w:p w14:paraId="367F07A1">
            <w:pPr>
              <w:jc w:val="center"/>
              <w:rPr>
                <w:szCs w:val="21"/>
              </w:rPr>
            </w:pPr>
            <w:r>
              <w:rPr>
                <w:szCs w:val="21"/>
              </w:rPr>
              <w:t>污染物处理后</w:t>
            </w:r>
          </w:p>
        </w:tc>
      </w:tr>
      <w:tr w14:paraId="4B625C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67" w:hRule="atLeast"/>
          <w:jc w:val="center"/>
        </w:trPr>
        <w:tc>
          <w:tcPr>
            <w:tcW w:w="1224" w:type="dxa"/>
            <w:vMerge w:val="continue"/>
            <w:vAlign w:val="center"/>
          </w:tcPr>
          <w:p w14:paraId="1D1F0E0E">
            <w:pPr>
              <w:rPr>
                <w:szCs w:val="21"/>
              </w:rPr>
            </w:pPr>
          </w:p>
        </w:tc>
        <w:tc>
          <w:tcPr>
            <w:tcW w:w="980" w:type="dxa"/>
            <w:vMerge w:val="continue"/>
            <w:vAlign w:val="center"/>
          </w:tcPr>
          <w:p w14:paraId="23534DA8">
            <w:pPr>
              <w:jc w:val="center"/>
              <w:rPr>
                <w:szCs w:val="21"/>
              </w:rPr>
            </w:pPr>
          </w:p>
        </w:tc>
        <w:tc>
          <w:tcPr>
            <w:tcW w:w="1781" w:type="dxa"/>
            <w:vMerge w:val="continue"/>
            <w:vAlign w:val="center"/>
          </w:tcPr>
          <w:p w14:paraId="47402BAD">
            <w:pPr>
              <w:jc w:val="center"/>
              <w:rPr>
                <w:szCs w:val="21"/>
              </w:rPr>
            </w:pPr>
          </w:p>
        </w:tc>
        <w:tc>
          <w:tcPr>
            <w:tcW w:w="1260" w:type="dxa"/>
            <w:vAlign w:val="center"/>
          </w:tcPr>
          <w:p w14:paraId="727A1CD0">
            <w:pPr>
              <w:jc w:val="center"/>
              <w:rPr>
                <w:szCs w:val="21"/>
              </w:rPr>
            </w:pPr>
            <w:r>
              <w:rPr>
                <w:szCs w:val="21"/>
              </w:rPr>
              <w:t>产生浓度</w:t>
            </w:r>
          </w:p>
          <w:p w14:paraId="28CF8AA2">
            <w:pPr>
              <w:jc w:val="center"/>
              <w:rPr>
                <w:szCs w:val="21"/>
              </w:rPr>
            </w:pPr>
            <w:r>
              <w:rPr>
                <w:szCs w:val="21"/>
              </w:rPr>
              <w:t>(单位)</w:t>
            </w:r>
          </w:p>
        </w:tc>
        <w:tc>
          <w:tcPr>
            <w:tcW w:w="1425" w:type="dxa"/>
            <w:vAlign w:val="center"/>
          </w:tcPr>
          <w:p w14:paraId="78DF47DD">
            <w:pPr>
              <w:jc w:val="center"/>
              <w:rPr>
                <w:szCs w:val="21"/>
              </w:rPr>
            </w:pPr>
            <w:r>
              <w:rPr>
                <w:szCs w:val="21"/>
              </w:rPr>
              <w:t>产生量</w:t>
            </w:r>
          </w:p>
          <w:p w14:paraId="5A27DB43">
            <w:pPr>
              <w:jc w:val="center"/>
              <w:rPr>
                <w:szCs w:val="21"/>
              </w:rPr>
            </w:pPr>
            <w:r>
              <w:rPr>
                <w:szCs w:val="21"/>
              </w:rPr>
              <w:t>(单位)</w:t>
            </w:r>
          </w:p>
        </w:tc>
        <w:tc>
          <w:tcPr>
            <w:tcW w:w="1343" w:type="dxa"/>
            <w:vAlign w:val="center"/>
          </w:tcPr>
          <w:p w14:paraId="086F806A">
            <w:pPr>
              <w:jc w:val="center"/>
              <w:rPr>
                <w:szCs w:val="21"/>
              </w:rPr>
            </w:pPr>
            <w:r>
              <w:rPr>
                <w:szCs w:val="21"/>
              </w:rPr>
              <w:t>排放浓度</w:t>
            </w:r>
          </w:p>
          <w:p w14:paraId="2ED8AD5F">
            <w:pPr>
              <w:jc w:val="center"/>
              <w:rPr>
                <w:szCs w:val="21"/>
              </w:rPr>
            </w:pPr>
            <w:r>
              <w:rPr>
                <w:szCs w:val="21"/>
              </w:rPr>
              <w:t>(单位)</w:t>
            </w:r>
          </w:p>
        </w:tc>
        <w:tc>
          <w:tcPr>
            <w:tcW w:w="1343" w:type="dxa"/>
            <w:vAlign w:val="center"/>
          </w:tcPr>
          <w:p w14:paraId="40C73973">
            <w:pPr>
              <w:jc w:val="center"/>
              <w:rPr>
                <w:szCs w:val="21"/>
              </w:rPr>
            </w:pPr>
            <w:r>
              <w:rPr>
                <w:szCs w:val="21"/>
              </w:rPr>
              <w:t>排放量</w:t>
            </w:r>
          </w:p>
          <w:p w14:paraId="702A0C28">
            <w:pPr>
              <w:jc w:val="center"/>
              <w:rPr>
                <w:szCs w:val="21"/>
              </w:rPr>
            </w:pPr>
            <w:r>
              <w:rPr>
                <w:szCs w:val="21"/>
              </w:rPr>
              <w:t>(单位)</w:t>
            </w:r>
          </w:p>
        </w:tc>
      </w:tr>
      <w:tr w14:paraId="43B25A7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00" w:hRule="atLeast"/>
          <w:jc w:val="center"/>
        </w:trPr>
        <w:tc>
          <w:tcPr>
            <w:tcW w:w="1224" w:type="dxa"/>
            <w:vMerge w:val="restart"/>
            <w:vAlign w:val="center"/>
          </w:tcPr>
          <w:p w14:paraId="4401D850">
            <w:pPr>
              <w:jc w:val="center"/>
              <w:rPr>
                <w:szCs w:val="21"/>
              </w:rPr>
            </w:pPr>
            <w:r>
              <w:rPr>
                <w:szCs w:val="21"/>
              </w:rPr>
              <w:t>大</w:t>
            </w:r>
          </w:p>
          <w:p w14:paraId="3B6B5B22">
            <w:pPr>
              <w:jc w:val="center"/>
              <w:rPr>
                <w:szCs w:val="21"/>
              </w:rPr>
            </w:pPr>
            <w:r>
              <w:rPr>
                <w:szCs w:val="21"/>
              </w:rPr>
              <w:t>气</w:t>
            </w:r>
          </w:p>
          <w:p w14:paraId="387BDF6F">
            <w:pPr>
              <w:jc w:val="center"/>
              <w:rPr>
                <w:szCs w:val="21"/>
              </w:rPr>
            </w:pPr>
            <w:r>
              <w:rPr>
                <w:szCs w:val="21"/>
              </w:rPr>
              <w:t>污</w:t>
            </w:r>
          </w:p>
          <w:p w14:paraId="06E21F02">
            <w:pPr>
              <w:jc w:val="center"/>
              <w:rPr>
                <w:szCs w:val="21"/>
              </w:rPr>
            </w:pPr>
            <w:r>
              <w:rPr>
                <w:szCs w:val="21"/>
              </w:rPr>
              <w:t>染</w:t>
            </w:r>
          </w:p>
          <w:p w14:paraId="03785EB2">
            <w:pPr>
              <w:jc w:val="center"/>
              <w:rPr>
                <w:szCs w:val="21"/>
              </w:rPr>
            </w:pPr>
            <w:r>
              <w:rPr>
                <w:szCs w:val="21"/>
              </w:rPr>
              <w:t>物</w:t>
            </w:r>
          </w:p>
        </w:tc>
        <w:tc>
          <w:tcPr>
            <w:tcW w:w="980" w:type="dxa"/>
            <w:vMerge w:val="restart"/>
            <w:vAlign w:val="center"/>
          </w:tcPr>
          <w:p w14:paraId="086731E9">
            <w:pPr>
              <w:pStyle w:val="41"/>
              <w:jc w:val="center"/>
              <w:rPr>
                <w:rFonts w:ascii="Times New Roman" w:cs="Times New Roman"/>
                <w:color w:val="auto"/>
                <w:sz w:val="21"/>
                <w:szCs w:val="21"/>
              </w:rPr>
            </w:pPr>
            <w:r>
              <w:rPr>
                <w:rFonts w:hint="eastAsia" w:ascii="Times New Roman" w:cs="Times New Roman"/>
                <w:color w:val="auto"/>
                <w:sz w:val="21"/>
                <w:szCs w:val="21"/>
              </w:rPr>
              <w:t>生产过程</w:t>
            </w:r>
          </w:p>
        </w:tc>
        <w:tc>
          <w:tcPr>
            <w:tcW w:w="1781" w:type="dxa"/>
            <w:vAlign w:val="center"/>
          </w:tcPr>
          <w:p w14:paraId="23F38B22">
            <w:pPr>
              <w:adjustRightInd w:val="0"/>
              <w:snapToGrid w:val="0"/>
              <w:jc w:val="center"/>
              <w:rPr>
                <w:szCs w:val="21"/>
              </w:rPr>
            </w:pPr>
            <w:r>
              <w:rPr>
                <w:rFonts w:hint="eastAsia"/>
                <w:szCs w:val="21"/>
              </w:rPr>
              <w:t>VOCs（有组织P1）</w:t>
            </w:r>
          </w:p>
        </w:tc>
        <w:tc>
          <w:tcPr>
            <w:tcW w:w="1260" w:type="dxa"/>
            <w:vAlign w:val="center"/>
          </w:tcPr>
          <w:p w14:paraId="7F6C5538">
            <w:pPr>
              <w:jc w:val="center"/>
              <w:rPr>
                <w:szCs w:val="21"/>
              </w:rPr>
            </w:pPr>
            <w:r>
              <w:rPr>
                <w:rFonts w:hint="eastAsia"/>
                <w:szCs w:val="21"/>
              </w:rPr>
              <w:t>56.45</w:t>
            </w:r>
            <w:r>
              <w:rPr>
                <w:szCs w:val="21"/>
              </w:rPr>
              <w:t>mg/m</w:t>
            </w:r>
            <w:r>
              <w:rPr>
                <w:szCs w:val="21"/>
                <w:vertAlign w:val="superscript"/>
              </w:rPr>
              <w:t>3</w:t>
            </w:r>
          </w:p>
        </w:tc>
        <w:tc>
          <w:tcPr>
            <w:tcW w:w="1425" w:type="dxa"/>
            <w:vAlign w:val="center"/>
          </w:tcPr>
          <w:p w14:paraId="12C29CFE">
            <w:pPr>
              <w:jc w:val="center"/>
              <w:rPr>
                <w:szCs w:val="21"/>
              </w:rPr>
            </w:pPr>
            <w:r>
              <w:rPr>
                <w:rFonts w:hint="eastAsia"/>
                <w:szCs w:val="21"/>
              </w:rPr>
              <w:t>1.287</w:t>
            </w:r>
            <w:r>
              <w:rPr>
                <w:szCs w:val="21"/>
              </w:rPr>
              <w:t>t/a</w:t>
            </w:r>
          </w:p>
        </w:tc>
        <w:tc>
          <w:tcPr>
            <w:tcW w:w="1343" w:type="dxa"/>
            <w:vAlign w:val="center"/>
          </w:tcPr>
          <w:p w14:paraId="1229DB83">
            <w:pPr>
              <w:jc w:val="center"/>
              <w:rPr>
                <w:szCs w:val="21"/>
              </w:rPr>
            </w:pPr>
            <w:r>
              <w:rPr>
                <w:rFonts w:hint="eastAsia"/>
                <w:szCs w:val="21"/>
              </w:rPr>
              <w:t>5.66</w:t>
            </w:r>
            <w:r>
              <w:rPr>
                <w:szCs w:val="21"/>
              </w:rPr>
              <w:t>mg/m</w:t>
            </w:r>
            <w:r>
              <w:rPr>
                <w:szCs w:val="21"/>
                <w:vertAlign w:val="superscript"/>
              </w:rPr>
              <w:t>3</w:t>
            </w:r>
          </w:p>
        </w:tc>
        <w:tc>
          <w:tcPr>
            <w:tcW w:w="1343" w:type="dxa"/>
            <w:vAlign w:val="center"/>
          </w:tcPr>
          <w:p w14:paraId="51E5CF34">
            <w:pPr>
              <w:pStyle w:val="41"/>
              <w:jc w:val="center"/>
              <w:rPr>
                <w:rFonts w:ascii="Times New Roman" w:cs="Times New Roman"/>
                <w:color w:val="auto"/>
                <w:sz w:val="21"/>
                <w:szCs w:val="21"/>
              </w:rPr>
            </w:pPr>
            <w:r>
              <w:rPr>
                <w:rFonts w:hint="eastAsia" w:ascii="Times New Roman" w:cs="Times New Roman"/>
                <w:color w:val="auto"/>
                <w:sz w:val="21"/>
                <w:szCs w:val="21"/>
              </w:rPr>
              <w:t>0.129</w:t>
            </w:r>
            <w:r>
              <w:rPr>
                <w:rFonts w:ascii="Times New Roman" w:cs="Times New Roman"/>
                <w:color w:val="auto"/>
                <w:sz w:val="21"/>
                <w:szCs w:val="21"/>
              </w:rPr>
              <w:t xml:space="preserve">t/a </w:t>
            </w:r>
          </w:p>
        </w:tc>
      </w:tr>
      <w:tr w14:paraId="17F9E36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24" w:hRule="atLeast"/>
          <w:jc w:val="center"/>
        </w:trPr>
        <w:tc>
          <w:tcPr>
            <w:tcW w:w="1224" w:type="dxa"/>
            <w:vMerge w:val="continue"/>
            <w:vAlign w:val="center"/>
          </w:tcPr>
          <w:p w14:paraId="6D5A0842">
            <w:pPr>
              <w:jc w:val="center"/>
              <w:rPr>
                <w:szCs w:val="21"/>
              </w:rPr>
            </w:pPr>
          </w:p>
        </w:tc>
        <w:tc>
          <w:tcPr>
            <w:tcW w:w="980" w:type="dxa"/>
            <w:vMerge w:val="continue"/>
            <w:vAlign w:val="center"/>
          </w:tcPr>
          <w:p w14:paraId="2F52B5B5">
            <w:pPr>
              <w:pStyle w:val="41"/>
              <w:jc w:val="center"/>
              <w:rPr>
                <w:rFonts w:ascii="Times New Roman" w:cs="Times New Roman"/>
                <w:color w:val="auto"/>
                <w:sz w:val="21"/>
                <w:szCs w:val="21"/>
              </w:rPr>
            </w:pPr>
          </w:p>
        </w:tc>
        <w:tc>
          <w:tcPr>
            <w:tcW w:w="1781" w:type="dxa"/>
            <w:vAlign w:val="center"/>
          </w:tcPr>
          <w:p w14:paraId="41B29B04">
            <w:pPr>
              <w:adjustRightInd w:val="0"/>
              <w:snapToGrid w:val="0"/>
              <w:jc w:val="center"/>
              <w:rPr>
                <w:szCs w:val="21"/>
              </w:rPr>
            </w:pPr>
            <w:r>
              <w:rPr>
                <w:rFonts w:hint="eastAsia"/>
                <w:szCs w:val="21"/>
              </w:rPr>
              <w:t>二甲苯（有组织P1）</w:t>
            </w:r>
          </w:p>
        </w:tc>
        <w:tc>
          <w:tcPr>
            <w:tcW w:w="1260" w:type="dxa"/>
            <w:vAlign w:val="center"/>
          </w:tcPr>
          <w:p w14:paraId="0CDB86D0">
            <w:pPr>
              <w:jc w:val="center"/>
              <w:rPr>
                <w:szCs w:val="21"/>
              </w:rPr>
            </w:pPr>
            <w:r>
              <w:rPr>
                <w:rFonts w:hint="eastAsia"/>
                <w:szCs w:val="21"/>
              </w:rPr>
              <w:t>11.67</w:t>
            </w:r>
            <w:r>
              <w:rPr>
                <w:szCs w:val="21"/>
              </w:rPr>
              <w:t>mg/m</w:t>
            </w:r>
            <w:r>
              <w:rPr>
                <w:szCs w:val="21"/>
                <w:vertAlign w:val="superscript"/>
              </w:rPr>
              <w:t>3</w:t>
            </w:r>
          </w:p>
        </w:tc>
        <w:tc>
          <w:tcPr>
            <w:tcW w:w="1425" w:type="dxa"/>
            <w:vAlign w:val="center"/>
          </w:tcPr>
          <w:p w14:paraId="55A2EC71">
            <w:pPr>
              <w:jc w:val="center"/>
              <w:rPr>
                <w:szCs w:val="21"/>
              </w:rPr>
            </w:pPr>
            <w:r>
              <w:rPr>
                <w:rFonts w:hint="eastAsia"/>
                <w:szCs w:val="21"/>
              </w:rPr>
              <w:t>0.266</w:t>
            </w:r>
            <w:r>
              <w:rPr>
                <w:szCs w:val="21"/>
              </w:rPr>
              <w:t>t/a</w:t>
            </w:r>
          </w:p>
        </w:tc>
        <w:tc>
          <w:tcPr>
            <w:tcW w:w="1343" w:type="dxa"/>
            <w:vAlign w:val="center"/>
          </w:tcPr>
          <w:p w14:paraId="530092B4">
            <w:pPr>
              <w:jc w:val="center"/>
              <w:rPr>
                <w:szCs w:val="21"/>
              </w:rPr>
            </w:pPr>
            <w:r>
              <w:rPr>
                <w:rFonts w:hint="eastAsia"/>
                <w:szCs w:val="21"/>
              </w:rPr>
              <w:t>1.18</w:t>
            </w:r>
            <w:r>
              <w:rPr>
                <w:szCs w:val="21"/>
              </w:rPr>
              <w:t>mg/m</w:t>
            </w:r>
            <w:r>
              <w:rPr>
                <w:szCs w:val="21"/>
                <w:vertAlign w:val="superscript"/>
              </w:rPr>
              <w:t>3</w:t>
            </w:r>
          </w:p>
        </w:tc>
        <w:tc>
          <w:tcPr>
            <w:tcW w:w="1343" w:type="dxa"/>
            <w:vAlign w:val="center"/>
          </w:tcPr>
          <w:p w14:paraId="675865AC">
            <w:pPr>
              <w:pStyle w:val="41"/>
              <w:jc w:val="center"/>
              <w:rPr>
                <w:rFonts w:ascii="Times New Roman" w:cs="Times New Roman"/>
                <w:color w:val="auto"/>
                <w:sz w:val="21"/>
                <w:szCs w:val="21"/>
              </w:rPr>
            </w:pPr>
            <w:r>
              <w:rPr>
                <w:rFonts w:hint="eastAsia" w:ascii="Times New Roman" w:cs="Times New Roman"/>
                <w:color w:val="auto"/>
                <w:sz w:val="21"/>
                <w:szCs w:val="21"/>
              </w:rPr>
              <w:t>0.027</w:t>
            </w:r>
            <w:r>
              <w:rPr>
                <w:rFonts w:ascii="Times New Roman" w:cs="Times New Roman"/>
                <w:color w:val="auto"/>
                <w:sz w:val="21"/>
                <w:szCs w:val="21"/>
              </w:rPr>
              <w:t xml:space="preserve">t/a </w:t>
            </w:r>
          </w:p>
        </w:tc>
      </w:tr>
      <w:tr w14:paraId="732802F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24" w:hRule="atLeast"/>
          <w:jc w:val="center"/>
        </w:trPr>
        <w:tc>
          <w:tcPr>
            <w:tcW w:w="1224" w:type="dxa"/>
            <w:vMerge w:val="continue"/>
            <w:vAlign w:val="center"/>
          </w:tcPr>
          <w:p w14:paraId="13AE5178">
            <w:pPr>
              <w:jc w:val="center"/>
              <w:rPr>
                <w:szCs w:val="21"/>
              </w:rPr>
            </w:pPr>
          </w:p>
        </w:tc>
        <w:tc>
          <w:tcPr>
            <w:tcW w:w="980" w:type="dxa"/>
            <w:vMerge w:val="continue"/>
            <w:vAlign w:val="center"/>
          </w:tcPr>
          <w:p w14:paraId="78445311">
            <w:pPr>
              <w:pStyle w:val="41"/>
              <w:jc w:val="center"/>
              <w:rPr>
                <w:rFonts w:ascii="Times New Roman" w:cs="Times New Roman"/>
                <w:color w:val="auto"/>
                <w:sz w:val="21"/>
                <w:szCs w:val="21"/>
              </w:rPr>
            </w:pPr>
          </w:p>
        </w:tc>
        <w:tc>
          <w:tcPr>
            <w:tcW w:w="1781" w:type="dxa"/>
            <w:vAlign w:val="center"/>
          </w:tcPr>
          <w:p w14:paraId="1090C01A">
            <w:pPr>
              <w:adjustRightInd w:val="0"/>
              <w:snapToGrid w:val="0"/>
              <w:jc w:val="center"/>
              <w:rPr>
                <w:szCs w:val="21"/>
              </w:rPr>
            </w:pPr>
            <w:r>
              <w:rPr>
                <w:rFonts w:hint="eastAsia"/>
                <w:szCs w:val="21"/>
              </w:rPr>
              <w:t>颗粒物（有组织P2）</w:t>
            </w:r>
          </w:p>
        </w:tc>
        <w:tc>
          <w:tcPr>
            <w:tcW w:w="1260" w:type="dxa"/>
            <w:vAlign w:val="center"/>
          </w:tcPr>
          <w:p w14:paraId="097B2085">
            <w:pPr>
              <w:jc w:val="center"/>
              <w:rPr>
                <w:szCs w:val="21"/>
              </w:rPr>
            </w:pPr>
            <w:r>
              <w:rPr>
                <w:rFonts w:hint="eastAsia"/>
                <w:szCs w:val="21"/>
              </w:rPr>
              <w:t>6.14</w:t>
            </w:r>
            <w:r>
              <w:rPr>
                <w:szCs w:val="21"/>
              </w:rPr>
              <w:t>mg/m</w:t>
            </w:r>
            <w:r>
              <w:rPr>
                <w:szCs w:val="21"/>
                <w:vertAlign w:val="superscript"/>
              </w:rPr>
              <w:t>3</w:t>
            </w:r>
          </w:p>
        </w:tc>
        <w:tc>
          <w:tcPr>
            <w:tcW w:w="1425" w:type="dxa"/>
            <w:vAlign w:val="center"/>
          </w:tcPr>
          <w:p w14:paraId="697D03B8">
            <w:pPr>
              <w:jc w:val="center"/>
              <w:rPr>
                <w:szCs w:val="21"/>
              </w:rPr>
            </w:pPr>
            <w:r>
              <w:rPr>
                <w:rFonts w:hint="eastAsia"/>
                <w:szCs w:val="21"/>
              </w:rPr>
              <w:t>0.081</w:t>
            </w:r>
            <w:r>
              <w:rPr>
                <w:szCs w:val="21"/>
              </w:rPr>
              <w:t>t/a</w:t>
            </w:r>
          </w:p>
        </w:tc>
        <w:tc>
          <w:tcPr>
            <w:tcW w:w="1343" w:type="dxa"/>
            <w:vAlign w:val="center"/>
          </w:tcPr>
          <w:p w14:paraId="07EFCD5E">
            <w:pPr>
              <w:jc w:val="center"/>
              <w:rPr>
                <w:szCs w:val="21"/>
              </w:rPr>
            </w:pPr>
            <w:r>
              <w:rPr>
                <w:rFonts w:hint="eastAsia"/>
                <w:szCs w:val="21"/>
              </w:rPr>
              <w:t>0.3</w:t>
            </w:r>
            <w:r>
              <w:rPr>
                <w:szCs w:val="21"/>
              </w:rPr>
              <w:t>mg/m</w:t>
            </w:r>
            <w:r>
              <w:rPr>
                <w:szCs w:val="21"/>
                <w:vertAlign w:val="superscript"/>
              </w:rPr>
              <w:t>3</w:t>
            </w:r>
          </w:p>
        </w:tc>
        <w:tc>
          <w:tcPr>
            <w:tcW w:w="1343" w:type="dxa"/>
            <w:vAlign w:val="center"/>
          </w:tcPr>
          <w:p w14:paraId="26305B59">
            <w:pPr>
              <w:pStyle w:val="41"/>
              <w:jc w:val="center"/>
              <w:rPr>
                <w:rFonts w:ascii="Times New Roman" w:cs="Times New Roman"/>
                <w:color w:val="auto"/>
                <w:sz w:val="21"/>
                <w:szCs w:val="21"/>
              </w:rPr>
            </w:pPr>
            <w:r>
              <w:rPr>
                <w:rFonts w:hint="eastAsia" w:ascii="Times New Roman" w:cs="Times New Roman"/>
                <w:color w:val="auto"/>
                <w:szCs w:val="21"/>
              </w:rPr>
              <w:t>0.004</w:t>
            </w:r>
            <w:r>
              <w:rPr>
                <w:rFonts w:ascii="Times New Roman" w:cs="Times New Roman"/>
                <w:color w:val="auto"/>
                <w:szCs w:val="21"/>
              </w:rPr>
              <w:t>t/a</w:t>
            </w:r>
          </w:p>
        </w:tc>
      </w:tr>
      <w:tr w14:paraId="69DB2DD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64" w:hRule="atLeast"/>
          <w:jc w:val="center"/>
        </w:trPr>
        <w:tc>
          <w:tcPr>
            <w:tcW w:w="1224" w:type="dxa"/>
            <w:vMerge w:val="continue"/>
            <w:vAlign w:val="center"/>
          </w:tcPr>
          <w:p w14:paraId="420CE298">
            <w:pPr>
              <w:jc w:val="center"/>
              <w:rPr>
                <w:szCs w:val="21"/>
              </w:rPr>
            </w:pPr>
          </w:p>
        </w:tc>
        <w:tc>
          <w:tcPr>
            <w:tcW w:w="980" w:type="dxa"/>
            <w:vMerge w:val="continue"/>
            <w:vAlign w:val="center"/>
          </w:tcPr>
          <w:p w14:paraId="264B27A4">
            <w:pPr>
              <w:pStyle w:val="41"/>
              <w:jc w:val="center"/>
              <w:rPr>
                <w:rFonts w:ascii="Times New Roman" w:cs="Times New Roman"/>
                <w:color w:val="auto"/>
                <w:sz w:val="21"/>
                <w:szCs w:val="21"/>
              </w:rPr>
            </w:pPr>
          </w:p>
        </w:tc>
        <w:tc>
          <w:tcPr>
            <w:tcW w:w="1781" w:type="dxa"/>
            <w:vAlign w:val="center"/>
          </w:tcPr>
          <w:p w14:paraId="2DEC44E8">
            <w:pPr>
              <w:adjustRightInd w:val="0"/>
              <w:snapToGrid w:val="0"/>
              <w:jc w:val="center"/>
              <w:rPr>
                <w:szCs w:val="21"/>
              </w:rPr>
            </w:pPr>
            <w:r>
              <w:rPr>
                <w:rFonts w:hint="eastAsia"/>
                <w:szCs w:val="21"/>
              </w:rPr>
              <w:t>无组织</w:t>
            </w:r>
          </w:p>
        </w:tc>
        <w:tc>
          <w:tcPr>
            <w:tcW w:w="5371" w:type="dxa"/>
            <w:gridSpan w:val="4"/>
            <w:vAlign w:val="center"/>
          </w:tcPr>
          <w:p w14:paraId="441D12F4">
            <w:pPr>
              <w:jc w:val="center"/>
              <w:rPr>
                <w:szCs w:val="21"/>
              </w:rPr>
            </w:pPr>
            <w:r>
              <w:rPr>
                <w:rFonts w:hint="eastAsia"/>
                <w:szCs w:val="21"/>
              </w:rPr>
              <w:t>VOCs0.068t/a；二甲苯0.014t/a；颗粒物0.009t/a</w:t>
            </w:r>
          </w:p>
        </w:tc>
      </w:tr>
      <w:tr w14:paraId="3D781C0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84" w:hRule="atLeast"/>
          <w:jc w:val="center"/>
        </w:trPr>
        <w:tc>
          <w:tcPr>
            <w:tcW w:w="1224" w:type="dxa"/>
            <w:vMerge w:val="restart"/>
            <w:vAlign w:val="center"/>
          </w:tcPr>
          <w:p w14:paraId="41E61D8D">
            <w:pPr>
              <w:jc w:val="center"/>
              <w:rPr>
                <w:szCs w:val="21"/>
              </w:rPr>
            </w:pPr>
            <w:r>
              <w:rPr>
                <w:szCs w:val="21"/>
              </w:rPr>
              <w:t>水污</w:t>
            </w:r>
          </w:p>
          <w:p w14:paraId="74132F03">
            <w:pPr>
              <w:jc w:val="center"/>
              <w:rPr>
                <w:szCs w:val="21"/>
              </w:rPr>
            </w:pPr>
            <w:r>
              <w:rPr>
                <w:szCs w:val="21"/>
              </w:rPr>
              <w:t>染物</w:t>
            </w:r>
          </w:p>
        </w:tc>
        <w:tc>
          <w:tcPr>
            <w:tcW w:w="980" w:type="dxa"/>
            <w:vMerge w:val="restart"/>
            <w:vAlign w:val="center"/>
          </w:tcPr>
          <w:p w14:paraId="769292F2">
            <w:pPr>
              <w:jc w:val="center"/>
              <w:rPr>
                <w:szCs w:val="21"/>
              </w:rPr>
            </w:pPr>
            <w:r>
              <w:rPr>
                <w:szCs w:val="21"/>
              </w:rPr>
              <w:t>生活污水</w:t>
            </w:r>
          </w:p>
          <w:p w14:paraId="6BBB5626">
            <w:pPr>
              <w:jc w:val="center"/>
              <w:rPr>
                <w:szCs w:val="21"/>
              </w:rPr>
            </w:pPr>
            <w:r>
              <w:rPr>
                <w:rFonts w:hint="eastAsia"/>
                <w:spacing w:val="-8"/>
                <w:szCs w:val="21"/>
              </w:rPr>
              <w:t>960</w:t>
            </w:r>
            <w:r>
              <w:rPr>
                <w:spacing w:val="-8"/>
                <w:szCs w:val="21"/>
              </w:rPr>
              <w:t>t/a</w:t>
            </w:r>
          </w:p>
        </w:tc>
        <w:tc>
          <w:tcPr>
            <w:tcW w:w="1781" w:type="dxa"/>
            <w:tcBorders>
              <w:bottom w:val="single" w:color="auto" w:sz="4" w:space="0"/>
            </w:tcBorders>
            <w:vAlign w:val="center"/>
          </w:tcPr>
          <w:p w14:paraId="66170D5B">
            <w:pPr>
              <w:autoSpaceDE w:val="0"/>
              <w:autoSpaceDN w:val="0"/>
              <w:adjustRightInd w:val="0"/>
              <w:jc w:val="center"/>
              <w:rPr>
                <w:szCs w:val="21"/>
              </w:rPr>
            </w:pPr>
            <w:r>
              <w:rPr>
                <w:szCs w:val="21"/>
              </w:rPr>
              <w:t>CODcr</w:t>
            </w:r>
          </w:p>
        </w:tc>
        <w:tc>
          <w:tcPr>
            <w:tcW w:w="1260" w:type="dxa"/>
            <w:vAlign w:val="center"/>
          </w:tcPr>
          <w:p w14:paraId="00280ABE">
            <w:pPr>
              <w:jc w:val="center"/>
              <w:rPr>
                <w:szCs w:val="21"/>
              </w:rPr>
            </w:pPr>
            <w:r>
              <w:rPr>
                <w:szCs w:val="21"/>
              </w:rPr>
              <w:t>450mg/L</w:t>
            </w:r>
          </w:p>
        </w:tc>
        <w:tc>
          <w:tcPr>
            <w:tcW w:w="1425" w:type="dxa"/>
            <w:vAlign w:val="center"/>
          </w:tcPr>
          <w:p w14:paraId="50EBCBEF">
            <w:pPr>
              <w:jc w:val="center"/>
              <w:rPr>
                <w:szCs w:val="21"/>
              </w:rPr>
            </w:pPr>
            <w:r>
              <w:rPr>
                <w:rFonts w:hint="eastAsia"/>
                <w:szCs w:val="21"/>
              </w:rPr>
              <w:t>0.432</w:t>
            </w:r>
            <w:r>
              <w:rPr>
                <w:szCs w:val="21"/>
              </w:rPr>
              <w:t>t/a</w:t>
            </w:r>
          </w:p>
        </w:tc>
        <w:tc>
          <w:tcPr>
            <w:tcW w:w="1343" w:type="dxa"/>
            <w:vAlign w:val="center"/>
          </w:tcPr>
          <w:p w14:paraId="5B9EA3CE">
            <w:pPr>
              <w:jc w:val="center"/>
              <w:rPr>
                <w:szCs w:val="21"/>
              </w:rPr>
            </w:pPr>
            <w:r>
              <w:rPr>
                <w:szCs w:val="21"/>
              </w:rPr>
              <w:t>350mg/L</w:t>
            </w:r>
          </w:p>
        </w:tc>
        <w:tc>
          <w:tcPr>
            <w:tcW w:w="1343" w:type="dxa"/>
            <w:vAlign w:val="center"/>
          </w:tcPr>
          <w:p w14:paraId="48EDFEC5">
            <w:pPr>
              <w:jc w:val="center"/>
              <w:rPr>
                <w:szCs w:val="21"/>
              </w:rPr>
            </w:pPr>
            <w:r>
              <w:rPr>
                <w:rFonts w:hint="eastAsia"/>
                <w:szCs w:val="21"/>
              </w:rPr>
              <w:t>0.336</w:t>
            </w:r>
            <w:r>
              <w:rPr>
                <w:szCs w:val="21"/>
              </w:rPr>
              <w:t>t/a</w:t>
            </w:r>
          </w:p>
        </w:tc>
      </w:tr>
      <w:tr w14:paraId="36457F9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05" w:hRule="atLeast"/>
          <w:jc w:val="center"/>
        </w:trPr>
        <w:tc>
          <w:tcPr>
            <w:tcW w:w="1224" w:type="dxa"/>
            <w:vMerge w:val="continue"/>
            <w:vAlign w:val="center"/>
          </w:tcPr>
          <w:p w14:paraId="6812130C">
            <w:pPr>
              <w:jc w:val="center"/>
              <w:rPr>
                <w:szCs w:val="21"/>
              </w:rPr>
            </w:pPr>
          </w:p>
        </w:tc>
        <w:tc>
          <w:tcPr>
            <w:tcW w:w="980" w:type="dxa"/>
            <w:vMerge w:val="continue"/>
            <w:vAlign w:val="center"/>
          </w:tcPr>
          <w:p w14:paraId="0FDBA40F">
            <w:pPr>
              <w:jc w:val="center"/>
              <w:rPr>
                <w:szCs w:val="21"/>
              </w:rPr>
            </w:pPr>
          </w:p>
        </w:tc>
        <w:tc>
          <w:tcPr>
            <w:tcW w:w="1781" w:type="dxa"/>
            <w:vAlign w:val="center"/>
          </w:tcPr>
          <w:p w14:paraId="2CE1CF92">
            <w:pPr>
              <w:autoSpaceDE w:val="0"/>
              <w:autoSpaceDN w:val="0"/>
              <w:adjustRightInd w:val="0"/>
              <w:jc w:val="center"/>
              <w:rPr>
                <w:szCs w:val="21"/>
              </w:rPr>
            </w:pPr>
            <w:r>
              <w:rPr>
                <w:szCs w:val="21"/>
              </w:rPr>
              <w:t>氨氮</w:t>
            </w:r>
          </w:p>
        </w:tc>
        <w:tc>
          <w:tcPr>
            <w:tcW w:w="1260" w:type="dxa"/>
            <w:vAlign w:val="center"/>
          </w:tcPr>
          <w:p w14:paraId="4B691446">
            <w:pPr>
              <w:jc w:val="center"/>
              <w:rPr>
                <w:szCs w:val="21"/>
              </w:rPr>
            </w:pPr>
            <w:r>
              <w:rPr>
                <w:szCs w:val="21"/>
              </w:rPr>
              <w:t>40mg/L</w:t>
            </w:r>
          </w:p>
        </w:tc>
        <w:tc>
          <w:tcPr>
            <w:tcW w:w="1425" w:type="dxa"/>
            <w:vAlign w:val="center"/>
          </w:tcPr>
          <w:p w14:paraId="1A7341B3">
            <w:pPr>
              <w:jc w:val="center"/>
              <w:rPr>
                <w:szCs w:val="21"/>
              </w:rPr>
            </w:pPr>
            <w:r>
              <w:rPr>
                <w:rFonts w:hint="eastAsia"/>
                <w:szCs w:val="21"/>
              </w:rPr>
              <w:t>0.038</w:t>
            </w:r>
            <w:r>
              <w:rPr>
                <w:szCs w:val="21"/>
              </w:rPr>
              <w:t>t/a</w:t>
            </w:r>
          </w:p>
        </w:tc>
        <w:tc>
          <w:tcPr>
            <w:tcW w:w="1343" w:type="dxa"/>
            <w:tcBorders>
              <w:bottom w:val="single" w:color="auto" w:sz="4" w:space="0"/>
            </w:tcBorders>
            <w:vAlign w:val="center"/>
          </w:tcPr>
          <w:p w14:paraId="1669A452">
            <w:pPr>
              <w:jc w:val="center"/>
              <w:rPr>
                <w:szCs w:val="21"/>
              </w:rPr>
            </w:pPr>
            <w:r>
              <w:rPr>
                <w:szCs w:val="21"/>
              </w:rPr>
              <w:t>25mg/L</w:t>
            </w:r>
          </w:p>
        </w:tc>
        <w:tc>
          <w:tcPr>
            <w:tcW w:w="1343" w:type="dxa"/>
            <w:tcBorders>
              <w:bottom w:val="single" w:color="auto" w:sz="4" w:space="0"/>
            </w:tcBorders>
            <w:vAlign w:val="center"/>
          </w:tcPr>
          <w:p w14:paraId="00CEED11">
            <w:pPr>
              <w:jc w:val="center"/>
              <w:rPr>
                <w:szCs w:val="21"/>
              </w:rPr>
            </w:pPr>
            <w:r>
              <w:rPr>
                <w:szCs w:val="21"/>
              </w:rPr>
              <w:t>0.0</w:t>
            </w:r>
            <w:r>
              <w:rPr>
                <w:rFonts w:hint="eastAsia"/>
                <w:szCs w:val="21"/>
              </w:rPr>
              <w:t>24</w:t>
            </w:r>
            <w:r>
              <w:rPr>
                <w:szCs w:val="21"/>
              </w:rPr>
              <w:t>t/a</w:t>
            </w:r>
          </w:p>
        </w:tc>
      </w:tr>
      <w:tr w14:paraId="2D74A5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17" w:hRule="atLeast"/>
          <w:jc w:val="center"/>
        </w:trPr>
        <w:tc>
          <w:tcPr>
            <w:tcW w:w="1224" w:type="dxa"/>
            <w:vMerge w:val="restart"/>
            <w:vAlign w:val="center"/>
          </w:tcPr>
          <w:p w14:paraId="04DC0400">
            <w:pPr>
              <w:jc w:val="center"/>
              <w:rPr>
                <w:szCs w:val="21"/>
              </w:rPr>
            </w:pPr>
            <w:r>
              <w:rPr>
                <w:szCs w:val="21"/>
              </w:rPr>
              <w:t>固</w:t>
            </w:r>
          </w:p>
          <w:p w14:paraId="326AECEC">
            <w:pPr>
              <w:jc w:val="center"/>
              <w:rPr>
                <w:szCs w:val="21"/>
              </w:rPr>
            </w:pPr>
            <w:r>
              <w:rPr>
                <w:szCs w:val="21"/>
              </w:rPr>
              <w:t>体</w:t>
            </w:r>
          </w:p>
          <w:p w14:paraId="6040A012">
            <w:pPr>
              <w:jc w:val="center"/>
              <w:rPr>
                <w:szCs w:val="21"/>
              </w:rPr>
            </w:pPr>
            <w:r>
              <w:rPr>
                <w:szCs w:val="21"/>
              </w:rPr>
              <w:t>废</w:t>
            </w:r>
          </w:p>
          <w:p w14:paraId="5AED7986">
            <w:pPr>
              <w:jc w:val="center"/>
              <w:rPr>
                <w:szCs w:val="21"/>
              </w:rPr>
            </w:pPr>
            <w:r>
              <w:rPr>
                <w:szCs w:val="21"/>
              </w:rPr>
              <w:t>物</w:t>
            </w:r>
          </w:p>
        </w:tc>
        <w:tc>
          <w:tcPr>
            <w:tcW w:w="980" w:type="dxa"/>
            <w:vMerge w:val="restart"/>
            <w:vAlign w:val="center"/>
          </w:tcPr>
          <w:p w14:paraId="4C7F2307">
            <w:pPr>
              <w:jc w:val="center"/>
              <w:rPr>
                <w:szCs w:val="21"/>
              </w:rPr>
            </w:pPr>
            <w:r>
              <w:rPr>
                <w:szCs w:val="21"/>
              </w:rPr>
              <w:t>生产过程</w:t>
            </w:r>
          </w:p>
        </w:tc>
        <w:tc>
          <w:tcPr>
            <w:tcW w:w="1781" w:type="dxa"/>
            <w:vAlign w:val="center"/>
          </w:tcPr>
          <w:p w14:paraId="573DDD19">
            <w:pPr>
              <w:adjustRightInd w:val="0"/>
              <w:snapToGrid w:val="0"/>
              <w:jc w:val="center"/>
              <w:rPr>
                <w:szCs w:val="21"/>
              </w:rPr>
            </w:pPr>
            <w:r>
              <w:rPr>
                <w:rFonts w:hint="eastAsia"/>
                <w:szCs w:val="21"/>
              </w:rPr>
              <w:t>下脚料、不合格品</w:t>
            </w:r>
          </w:p>
        </w:tc>
        <w:tc>
          <w:tcPr>
            <w:tcW w:w="1260" w:type="dxa"/>
            <w:vAlign w:val="center"/>
          </w:tcPr>
          <w:p w14:paraId="3F12FE21">
            <w:pPr>
              <w:jc w:val="center"/>
              <w:rPr>
                <w:szCs w:val="21"/>
              </w:rPr>
            </w:pPr>
            <w:r>
              <w:rPr>
                <w:szCs w:val="21"/>
              </w:rPr>
              <w:t>/</w:t>
            </w:r>
          </w:p>
        </w:tc>
        <w:tc>
          <w:tcPr>
            <w:tcW w:w="1425" w:type="dxa"/>
            <w:vAlign w:val="center"/>
          </w:tcPr>
          <w:p w14:paraId="7D0B5E59">
            <w:pPr>
              <w:adjustRightInd w:val="0"/>
              <w:snapToGrid w:val="0"/>
              <w:jc w:val="center"/>
              <w:rPr>
                <w:szCs w:val="21"/>
              </w:rPr>
            </w:pPr>
            <w:r>
              <w:rPr>
                <w:rFonts w:hint="eastAsia"/>
                <w:szCs w:val="21"/>
              </w:rPr>
              <w:t>3</w:t>
            </w:r>
            <w:r>
              <w:rPr>
                <w:szCs w:val="21"/>
              </w:rPr>
              <w:t>t/a</w:t>
            </w:r>
          </w:p>
        </w:tc>
        <w:tc>
          <w:tcPr>
            <w:tcW w:w="2686" w:type="dxa"/>
            <w:gridSpan w:val="2"/>
            <w:vMerge w:val="restart"/>
            <w:vAlign w:val="center"/>
          </w:tcPr>
          <w:p w14:paraId="0404ECF0">
            <w:pPr>
              <w:adjustRightInd w:val="0"/>
              <w:snapToGrid w:val="0"/>
              <w:jc w:val="center"/>
              <w:rPr>
                <w:szCs w:val="21"/>
              </w:rPr>
            </w:pPr>
            <w:r>
              <w:rPr>
                <w:szCs w:val="21"/>
              </w:rPr>
              <w:t>由物资回收部门回收处置</w:t>
            </w:r>
          </w:p>
        </w:tc>
      </w:tr>
      <w:tr w14:paraId="03CF58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66" w:hRule="atLeast"/>
          <w:jc w:val="center"/>
        </w:trPr>
        <w:tc>
          <w:tcPr>
            <w:tcW w:w="1224" w:type="dxa"/>
            <w:vMerge w:val="continue"/>
            <w:vAlign w:val="center"/>
          </w:tcPr>
          <w:p w14:paraId="5D3308A6">
            <w:pPr>
              <w:jc w:val="center"/>
              <w:rPr>
                <w:szCs w:val="21"/>
              </w:rPr>
            </w:pPr>
          </w:p>
        </w:tc>
        <w:tc>
          <w:tcPr>
            <w:tcW w:w="980" w:type="dxa"/>
            <w:vMerge w:val="continue"/>
            <w:vAlign w:val="center"/>
          </w:tcPr>
          <w:p w14:paraId="7B80BAD9">
            <w:pPr>
              <w:jc w:val="center"/>
              <w:rPr>
                <w:szCs w:val="21"/>
              </w:rPr>
            </w:pPr>
          </w:p>
        </w:tc>
        <w:tc>
          <w:tcPr>
            <w:tcW w:w="1781" w:type="dxa"/>
            <w:vAlign w:val="center"/>
          </w:tcPr>
          <w:p w14:paraId="185D1EB5">
            <w:pPr>
              <w:adjustRightInd w:val="0"/>
              <w:snapToGrid w:val="0"/>
              <w:jc w:val="center"/>
              <w:rPr>
                <w:szCs w:val="21"/>
              </w:rPr>
            </w:pPr>
            <w:r>
              <w:rPr>
                <w:rFonts w:hint="eastAsia"/>
                <w:szCs w:val="21"/>
              </w:rPr>
              <w:t>废包装</w:t>
            </w:r>
          </w:p>
        </w:tc>
        <w:tc>
          <w:tcPr>
            <w:tcW w:w="1260" w:type="dxa"/>
            <w:vAlign w:val="center"/>
          </w:tcPr>
          <w:p w14:paraId="09B3C5EB">
            <w:pPr>
              <w:jc w:val="center"/>
              <w:rPr>
                <w:szCs w:val="21"/>
              </w:rPr>
            </w:pPr>
            <w:r>
              <w:rPr>
                <w:rFonts w:hint="eastAsia"/>
                <w:szCs w:val="21"/>
              </w:rPr>
              <w:t>/</w:t>
            </w:r>
          </w:p>
        </w:tc>
        <w:tc>
          <w:tcPr>
            <w:tcW w:w="1425" w:type="dxa"/>
            <w:vAlign w:val="center"/>
          </w:tcPr>
          <w:p w14:paraId="7E70BB8A">
            <w:pPr>
              <w:adjustRightInd w:val="0"/>
              <w:snapToGrid w:val="0"/>
              <w:jc w:val="center"/>
              <w:rPr>
                <w:szCs w:val="21"/>
              </w:rPr>
            </w:pPr>
            <w:r>
              <w:rPr>
                <w:rFonts w:hint="eastAsia"/>
                <w:szCs w:val="21"/>
              </w:rPr>
              <w:t>0.2t/a</w:t>
            </w:r>
          </w:p>
        </w:tc>
        <w:tc>
          <w:tcPr>
            <w:tcW w:w="2686" w:type="dxa"/>
            <w:gridSpan w:val="2"/>
            <w:vMerge w:val="continue"/>
            <w:vAlign w:val="center"/>
          </w:tcPr>
          <w:p w14:paraId="7BC4BBB8">
            <w:pPr>
              <w:adjustRightInd w:val="0"/>
              <w:snapToGrid w:val="0"/>
              <w:jc w:val="center"/>
              <w:rPr>
                <w:szCs w:val="21"/>
              </w:rPr>
            </w:pPr>
          </w:p>
        </w:tc>
      </w:tr>
      <w:tr w14:paraId="1F35DC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57" w:hRule="atLeast"/>
          <w:jc w:val="center"/>
        </w:trPr>
        <w:tc>
          <w:tcPr>
            <w:tcW w:w="1224" w:type="dxa"/>
            <w:vMerge w:val="continue"/>
            <w:vAlign w:val="center"/>
          </w:tcPr>
          <w:p w14:paraId="08414EAC">
            <w:pPr>
              <w:jc w:val="center"/>
              <w:rPr>
                <w:szCs w:val="21"/>
              </w:rPr>
            </w:pPr>
          </w:p>
        </w:tc>
        <w:tc>
          <w:tcPr>
            <w:tcW w:w="980" w:type="dxa"/>
            <w:vMerge w:val="continue"/>
            <w:vAlign w:val="center"/>
          </w:tcPr>
          <w:p w14:paraId="50824CF2">
            <w:pPr>
              <w:jc w:val="center"/>
              <w:rPr>
                <w:szCs w:val="21"/>
              </w:rPr>
            </w:pPr>
          </w:p>
        </w:tc>
        <w:tc>
          <w:tcPr>
            <w:tcW w:w="1781" w:type="dxa"/>
            <w:vAlign w:val="center"/>
          </w:tcPr>
          <w:p w14:paraId="34008486">
            <w:pPr>
              <w:adjustRightInd w:val="0"/>
              <w:snapToGrid w:val="0"/>
              <w:jc w:val="center"/>
              <w:rPr>
                <w:szCs w:val="21"/>
              </w:rPr>
            </w:pPr>
            <w:r>
              <w:rPr>
                <w:szCs w:val="21"/>
              </w:rPr>
              <w:t>漆渣</w:t>
            </w:r>
          </w:p>
        </w:tc>
        <w:tc>
          <w:tcPr>
            <w:tcW w:w="1260" w:type="dxa"/>
            <w:vAlign w:val="center"/>
          </w:tcPr>
          <w:p w14:paraId="5B0263EB">
            <w:pPr>
              <w:jc w:val="center"/>
              <w:rPr>
                <w:szCs w:val="21"/>
              </w:rPr>
            </w:pPr>
            <w:r>
              <w:rPr>
                <w:szCs w:val="21"/>
              </w:rPr>
              <w:t>/</w:t>
            </w:r>
          </w:p>
        </w:tc>
        <w:tc>
          <w:tcPr>
            <w:tcW w:w="1425" w:type="dxa"/>
            <w:vAlign w:val="center"/>
          </w:tcPr>
          <w:p w14:paraId="0E184B83">
            <w:pPr>
              <w:adjustRightInd w:val="0"/>
              <w:snapToGrid w:val="0"/>
              <w:jc w:val="center"/>
              <w:rPr>
                <w:szCs w:val="21"/>
              </w:rPr>
            </w:pPr>
            <w:r>
              <w:rPr>
                <w:rFonts w:hint="eastAsia"/>
                <w:szCs w:val="21"/>
              </w:rPr>
              <w:t>0.25</w:t>
            </w:r>
            <w:r>
              <w:rPr>
                <w:szCs w:val="21"/>
              </w:rPr>
              <w:t>t/a</w:t>
            </w:r>
          </w:p>
        </w:tc>
        <w:tc>
          <w:tcPr>
            <w:tcW w:w="2686" w:type="dxa"/>
            <w:gridSpan w:val="2"/>
            <w:vMerge w:val="restart"/>
            <w:vAlign w:val="center"/>
          </w:tcPr>
          <w:p w14:paraId="64B28443">
            <w:pPr>
              <w:adjustRightInd w:val="0"/>
              <w:snapToGrid w:val="0"/>
              <w:jc w:val="center"/>
              <w:rPr>
                <w:szCs w:val="21"/>
              </w:rPr>
            </w:pPr>
            <w:r>
              <w:rPr>
                <w:szCs w:val="21"/>
              </w:rPr>
              <w:t>由有危废处置资质单位处置</w:t>
            </w:r>
          </w:p>
        </w:tc>
      </w:tr>
      <w:tr w14:paraId="284358E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81" w:hRule="atLeast"/>
          <w:jc w:val="center"/>
        </w:trPr>
        <w:tc>
          <w:tcPr>
            <w:tcW w:w="1224" w:type="dxa"/>
            <w:vMerge w:val="continue"/>
            <w:vAlign w:val="center"/>
          </w:tcPr>
          <w:p w14:paraId="728341CB">
            <w:pPr>
              <w:jc w:val="center"/>
              <w:rPr>
                <w:szCs w:val="21"/>
              </w:rPr>
            </w:pPr>
          </w:p>
        </w:tc>
        <w:tc>
          <w:tcPr>
            <w:tcW w:w="980" w:type="dxa"/>
            <w:vMerge w:val="continue"/>
            <w:vAlign w:val="center"/>
          </w:tcPr>
          <w:p w14:paraId="20FEE76E">
            <w:pPr>
              <w:jc w:val="center"/>
              <w:rPr>
                <w:szCs w:val="21"/>
              </w:rPr>
            </w:pPr>
          </w:p>
        </w:tc>
        <w:tc>
          <w:tcPr>
            <w:tcW w:w="1781" w:type="dxa"/>
            <w:vAlign w:val="center"/>
          </w:tcPr>
          <w:p w14:paraId="4ADC298F">
            <w:pPr>
              <w:adjustRightInd w:val="0"/>
              <w:snapToGrid w:val="0"/>
              <w:jc w:val="center"/>
              <w:rPr>
                <w:szCs w:val="21"/>
              </w:rPr>
            </w:pPr>
            <w:r>
              <w:rPr>
                <w:rFonts w:hint="eastAsia"/>
                <w:szCs w:val="21"/>
              </w:rPr>
              <w:t>废包装桶</w:t>
            </w:r>
          </w:p>
        </w:tc>
        <w:tc>
          <w:tcPr>
            <w:tcW w:w="1260" w:type="dxa"/>
            <w:vAlign w:val="center"/>
          </w:tcPr>
          <w:p w14:paraId="18EB020A">
            <w:pPr>
              <w:jc w:val="center"/>
              <w:rPr>
                <w:szCs w:val="21"/>
              </w:rPr>
            </w:pPr>
            <w:r>
              <w:rPr>
                <w:szCs w:val="21"/>
              </w:rPr>
              <w:t>/</w:t>
            </w:r>
          </w:p>
        </w:tc>
        <w:tc>
          <w:tcPr>
            <w:tcW w:w="1425" w:type="dxa"/>
            <w:vAlign w:val="center"/>
          </w:tcPr>
          <w:p w14:paraId="64F1FB89">
            <w:pPr>
              <w:adjustRightInd w:val="0"/>
              <w:snapToGrid w:val="0"/>
              <w:jc w:val="center"/>
              <w:rPr>
                <w:szCs w:val="21"/>
              </w:rPr>
            </w:pPr>
            <w:r>
              <w:rPr>
                <w:rFonts w:hint="eastAsia"/>
                <w:szCs w:val="21"/>
              </w:rPr>
              <w:t>130</w:t>
            </w:r>
            <w:r>
              <w:rPr>
                <w:szCs w:val="21"/>
              </w:rPr>
              <w:t>个/a</w:t>
            </w:r>
          </w:p>
        </w:tc>
        <w:tc>
          <w:tcPr>
            <w:tcW w:w="2686" w:type="dxa"/>
            <w:gridSpan w:val="2"/>
            <w:vMerge w:val="continue"/>
            <w:vAlign w:val="center"/>
          </w:tcPr>
          <w:p w14:paraId="69DCA26E">
            <w:pPr>
              <w:adjustRightInd w:val="0"/>
              <w:snapToGrid w:val="0"/>
              <w:jc w:val="center"/>
              <w:rPr>
                <w:szCs w:val="21"/>
              </w:rPr>
            </w:pPr>
          </w:p>
        </w:tc>
      </w:tr>
      <w:tr w14:paraId="0B0FE5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08" w:hRule="atLeast"/>
          <w:jc w:val="center"/>
        </w:trPr>
        <w:tc>
          <w:tcPr>
            <w:tcW w:w="1224" w:type="dxa"/>
            <w:vMerge w:val="continue"/>
            <w:vAlign w:val="center"/>
          </w:tcPr>
          <w:p w14:paraId="3C254E32">
            <w:pPr>
              <w:jc w:val="center"/>
              <w:rPr>
                <w:szCs w:val="21"/>
              </w:rPr>
            </w:pPr>
          </w:p>
        </w:tc>
        <w:tc>
          <w:tcPr>
            <w:tcW w:w="980" w:type="dxa"/>
            <w:vMerge w:val="continue"/>
            <w:vAlign w:val="center"/>
          </w:tcPr>
          <w:p w14:paraId="4E1A2C5F">
            <w:pPr>
              <w:jc w:val="center"/>
              <w:rPr>
                <w:szCs w:val="21"/>
              </w:rPr>
            </w:pPr>
          </w:p>
        </w:tc>
        <w:tc>
          <w:tcPr>
            <w:tcW w:w="1781" w:type="dxa"/>
            <w:vAlign w:val="center"/>
          </w:tcPr>
          <w:p w14:paraId="2E3160AC">
            <w:pPr>
              <w:adjustRightInd w:val="0"/>
              <w:snapToGrid w:val="0"/>
              <w:jc w:val="center"/>
              <w:rPr>
                <w:szCs w:val="21"/>
              </w:rPr>
            </w:pPr>
            <w:r>
              <w:rPr>
                <w:szCs w:val="21"/>
              </w:rPr>
              <w:t>废过滤材料</w:t>
            </w:r>
          </w:p>
        </w:tc>
        <w:tc>
          <w:tcPr>
            <w:tcW w:w="1260" w:type="dxa"/>
            <w:vAlign w:val="center"/>
          </w:tcPr>
          <w:p w14:paraId="03190ABB">
            <w:pPr>
              <w:jc w:val="center"/>
              <w:rPr>
                <w:szCs w:val="21"/>
              </w:rPr>
            </w:pPr>
            <w:r>
              <w:rPr>
                <w:szCs w:val="21"/>
              </w:rPr>
              <w:t>/</w:t>
            </w:r>
          </w:p>
        </w:tc>
        <w:tc>
          <w:tcPr>
            <w:tcW w:w="1425" w:type="dxa"/>
            <w:vAlign w:val="center"/>
          </w:tcPr>
          <w:p w14:paraId="4FF6E124">
            <w:pPr>
              <w:adjustRightInd w:val="0"/>
              <w:snapToGrid w:val="0"/>
              <w:jc w:val="center"/>
              <w:rPr>
                <w:szCs w:val="21"/>
              </w:rPr>
            </w:pPr>
            <w:r>
              <w:rPr>
                <w:szCs w:val="21"/>
              </w:rPr>
              <w:t>0.</w:t>
            </w:r>
            <w:r>
              <w:rPr>
                <w:rFonts w:hint="eastAsia"/>
                <w:szCs w:val="21"/>
              </w:rPr>
              <w:t>47</w:t>
            </w:r>
            <w:r>
              <w:rPr>
                <w:szCs w:val="21"/>
              </w:rPr>
              <w:t>t/a</w:t>
            </w:r>
          </w:p>
        </w:tc>
        <w:tc>
          <w:tcPr>
            <w:tcW w:w="2686" w:type="dxa"/>
            <w:gridSpan w:val="2"/>
            <w:vMerge w:val="continue"/>
            <w:vAlign w:val="center"/>
          </w:tcPr>
          <w:p w14:paraId="1B9D1753">
            <w:pPr>
              <w:adjustRightInd w:val="0"/>
              <w:snapToGrid w:val="0"/>
              <w:jc w:val="center"/>
              <w:rPr>
                <w:szCs w:val="21"/>
              </w:rPr>
            </w:pPr>
          </w:p>
        </w:tc>
      </w:tr>
      <w:tr w14:paraId="4F5429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96" w:hRule="atLeast"/>
          <w:jc w:val="center"/>
        </w:trPr>
        <w:tc>
          <w:tcPr>
            <w:tcW w:w="1224" w:type="dxa"/>
            <w:vMerge w:val="continue"/>
            <w:vAlign w:val="center"/>
          </w:tcPr>
          <w:p w14:paraId="5F1B1D71">
            <w:pPr>
              <w:jc w:val="center"/>
              <w:rPr>
                <w:szCs w:val="21"/>
              </w:rPr>
            </w:pPr>
          </w:p>
        </w:tc>
        <w:tc>
          <w:tcPr>
            <w:tcW w:w="980" w:type="dxa"/>
            <w:vMerge w:val="continue"/>
            <w:vAlign w:val="center"/>
          </w:tcPr>
          <w:p w14:paraId="597A4AB9">
            <w:pPr>
              <w:jc w:val="center"/>
              <w:rPr>
                <w:szCs w:val="21"/>
              </w:rPr>
            </w:pPr>
          </w:p>
        </w:tc>
        <w:tc>
          <w:tcPr>
            <w:tcW w:w="1781" w:type="dxa"/>
            <w:vAlign w:val="center"/>
          </w:tcPr>
          <w:p w14:paraId="5F574FC5">
            <w:pPr>
              <w:adjustRightInd w:val="0"/>
              <w:snapToGrid w:val="0"/>
              <w:jc w:val="center"/>
              <w:rPr>
                <w:szCs w:val="21"/>
              </w:rPr>
            </w:pPr>
            <w:r>
              <w:rPr>
                <w:szCs w:val="21"/>
              </w:rPr>
              <w:t>废催化剂</w:t>
            </w:r>
          </w:p>
        </w:tc>
        <w:tc>
          <w:tcPr>
            <w:tcW w:w="1260" w:type="dxa"/>
            <w:vAlign w:val="center"/>
          </w:tcPr>
          <w:p w14:paraId="388ABC10">
            <w:pPr>
              <w:jc w:val="center"/>
              <w:rPr>
                <w:szCs w:val="21"/>
              </w:rPr>
            </w:pPr>
            <w:r>
              <w:rPr>
                <w:szCs w:val="21"/>
              </w:rPr>
              <w:t>/</w:t>
            </w:r>
          </w:p>
        </w:tc>
        <w:tc>
          <w:tcPr>
            <w:tcW w:w="1425" w:type="dxa"/>
            <w:vAlign w:val="center"/>
          </w:tcPr>
          <w:p w14:paraId="305BDB75">
            <w:pPr>
              <w:adjustRightInd w:val="0"/>
              <w:snapToGrid w:val="0"/>
              <w:jc w:val="center"/>
              <w:rPr>
                <w:szCs w:val="21"/>
              </w:rPr>
            </w:pPr>
            <w:r>
              <w:rPr>
                <w:szCs w:val="21"/>
              </w:rPr>
              <w:t>0.002t/a</w:t>
            </w:r>
          </w:p>
        </w:tc>
        <w:tc>
          <w:tcPr>
            <w:tcW w:w="2686" w:type="dxa"/>
            <w:gridSpan w:val="2"/>
            <w:vMerge w:val="continue"/>
            <w:vAlign w:val="center"/>
          </w:tcPr>
          <w:p w14:paraId="3BA18B10">
            <w:pPr>
              <w:adjustRightInd w:val="0"/>
              <w:snapToGrid w:val="0"/>
              <w:jc w:val="center"/>
              <w:rPr>
                <w:szCs w:val="21"/>
              </w:rPr>
            </w:pPr>
          </w:p>
        </w:tc>
      </w:tr>
      <w:tr w14:paraId="23CA08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20" w:hRule="atLeast"/>
          <w:jc w:val="center"/>
        </w:trPr>
        <w:tc>
          <w:tcPr>
            <w:tcW w:w="1224" w:type="dxa"/>
            <w:vMerge w:val="continue"/>
            <w:vAlign w:val="center"/>
          </w:tcPr>
          <w:p w14:paraId="280CA40B">
            <w:pPr>
              <w:jc w:val="center"/>
              <w:rPr>
                <w:szCs w:val="21"/>
              </w:rPr>
            </w:pPr>
          </w:p>
        </w:tc>
        <w:tc>
          <w:tcPr>
            <w:tcW w:w="980" w:type="dxa"/>
            <w:vMerge w:val="continue"/>
            <w:vAlign w:val="center"/>
          </w:tcPr>
          <w:p w14:paraId="100C8AB4">
            <w:pPr>
              <w:jc w:val="center"/>
              <w:rPr>
                <w:szCs w:val="21"/>
              </w:rPr>
            </w:pPr>
          </w:p>
        </w:tc>
        <w:tc>
          <w:tcPr>
            <w:tcW w:w="1781" w:type="dxa"/>
            <w:vAlign w:val="center"/>
          </w:tcPr>
          <w:p w14:paraId="183C3482">
            <w:pPr>
              <w:adjustRightInd w:val="0"/>
              <w:snapToGrid w:val="0"/>
              <w:jc w:val="center"/>
              <w:rPr>
                <w:szCs w:val="21"/>
              </w:rPr>
            </w:pPr>
            <w:r>
              <w:rPr>
                <w:rFonts w:hint="eastAsia"/>
                <w:szCs w:val="21"/>
              </w:rPr>
              <w:t>水喷淋装置废液</w:t>
            </w:r>
          </w:p>
        </w:tc>
        <w:tc>
          <w:tcPr>
            <w:tcW w:w="1260" w:type="dxa"/>
            <w:vAlign w:val="center"/>
          </w:tcPr>
          <w:p w14:paraId="78780F94">
            <w:pPr>
              <w:jc w:val="center"/>
              <w:rPr>
                <w:szCs w:val="21"/>
              </w:rPr>
            </w:pPr>
            <w:r>
              <w:rPr>
                <w:rFonts w:hint="eastAsia"/>
                <w:szCs w:val="21"/>
              </w:rPr>
              <w:t>/</w:t>
            </w:r>
          </w:p>
        </w:tc>
        <w:tc>
          <w:tcPr>
            <w:tcW w:w="1425" w:type="dxa"/>
            <w:vAlign w:val="center"/>
          </w:tcPr>
          <w:p w14:paraId="126CD2CD">
            <w:pPr>
              <w:adjustRightInd w:val="0"/>
              <w:snapToGrid w:val="0"/>
              <w:jc w:val="center"/>
              <w:rPr>
                <w:szCs w:val="21"/>
              </w:rPr>
            </w:pPr>
            <w:r>
              <w:rPr>
                <w:rFonts w:hint="eastAsia"/>
                <w:szCs w:val="21"/>
              </w:rPr>
              <w:t>2t/a</w:t>
            </w:r>
          </w:p>
        </w:tc>
        <w:tc>
          <w:tcPr>
            <w:tcW w:w="2686" w:type="dxa"/>
            <w:gridSpan w:val="2"/>
            <w:vMerge w:val="continue"/>
            <w:vAlign w:val="center"/>
          </w:tcPr>
          <w:p w14:paraId="21E35DC7">
            <w:pPr>
              <w:adjustRightInd w:val="0"/>
              <w:snapToGrid w:val="0"/>
              <w:jc w:val="center"/>
              <w:rPr>
                <w:szCs w:val="21"/>
              </w:rPr>
            </w:pPr>
          </w:p>
        </w:tc>
      </w:tr>
      <w:tr w14:paraId="1853F2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03" w:hRule="atLeast"/>
          <w:jc w:val="center"/>
        </w:trPr>
        <w:tc>
          <w:tcPr>
            <w:tcW w:w="1224" w:type="dxa"/>
            <w:vMerge w:val="continue"/>
            <w:vAlign w:val="center"/>
          </w:tcPr>
          <w:p w14:paraId="49620BF2">
            <w:pPr>
              <w:jc w:val="center"/>
              <w:rPr>
                <w:szCs w:val="21"/>
              </w:rPr>
            </w:pPr>
          </w:p>
        </w:tc>
        <w:tc>
          <w:tcPr>
            <w:tcW w:w="980" w:type="dxa"/>
            <w:vAlign w:val="center"/>
          </w:tcPr>
          <w:p w14:paraId="362305AE">
            <w:pPr>
              <w:jc w:val="center"/>
              <w:rPr>
                <w:szCs w:val="21"/>
              </w:rPr>
            </w:pPr>
            <w:r>
              <w:rPr>
                <w:szCs w:val="21"/>
              </w:rPr>
              <w:t>职工生活</w:t>
            </w:r>
          </w:p>
        </w:tc>
        <w:tc>
          <w:tcPr>
            <w:tcW w:w="1781" w:type="dxa"/>
            <w:vAlign w:val="center"/>
          </w:tcPr>
          <w:p w14:paraId="0A343858">
            <w:pPr>
              <w:adjustRightInd w:val="0"/>
              <w:snapToGrid w:val="0"/>
              <w:jc w:val="center"/>
              <w:rPr>
                <w:szCs w:val="21"/>
              </w:rPr>
            </w:pPr>
            <w:r>
              <w:rPr>
                <w:szCs w:val="21"/>
              </w:rPr>
              <w:t>生活垃圾</w:t>
            </w:r>
          </w:p>
        </w:tc>
        <w:tc>
          <w:tcPr>
            <w:tcW w:w="1260" w:type="dxa"/>
            <w:vAlign w:val="center"/>
          </w:tcPr>
          <w:p w14:paraId="456C70B3">
            <w:pPr>
              <w:jc w:val="center"/>
              <w:rPr>
                <w:szCs w:val="21"/>
              </w:rPr>
            </w:pPr>
            <w:r>
              <w:rPr>
                <w:szCs w:val="21"/>
              </w:rPr>
              <w:t>/</w:t>
            </w:r>
          </w:p>
        </w:tc>
        <w:tc>
          <w:tcPr>
            <w:tcW w:w="1425" w:type="dxa"/>
            <w:vAlign w:val="center"/>
          </w:tcPr>
          <w:p w14:paraId="52BB10E6">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7.5</w:t>
            </w:r>
            <w:r>
              <w:rPr>
                <w:color w:val="000000" w:themeColor="text1"/>
                <w:szCs w:val="21"/>
                <w14:textFill>
                  <w14:solidFill>
                    <w14:schemeClr w14:val="tx1"/>
                  </w14:solidFill>
                </w14:textFill>
              </w:rPr>
              <w:t>t/a</w:t>
            </w:r>
          </w:p>
        </w:tc>
        <w:tc>
          <w:tcPr>
            <w:tcW w:w="2686" w:type="dxa"/>
            <w:gridSpan w:val="2"/>
            <w:vAlign w:val="center"/>
          </w:tcPr>
          <w:p w14:paraId="683384CA">
            <w:pPr>
              <w:adjustRightInd w:val="0"/>
              <w:snapToGrid w:val="0"/>
              <w:jc w:val="center"/>
              <w:rPr>
                <w:szCs w:val="21"/>
              </w:rPr>
            </w:pPr>
            <w:r>
              <w:rPr>
                <w:szCs w:val="21"/>
              </w:rPr>
              <w:t>由环卫部门定期清运</w:t>
            </w:r>
          </w:p>
        </w:tc>
      </w:tr>
      <w:tr w14:paraId="535F40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06" w:hRule="atLeast"/>
          <w:jc w:val="center"/>
        </w:trPr>
        <w:tc>
          <w:tcPr>
            <w:tcW w:w="1224" w:type="dxa"/>
            <w:vAlign w:val="center"/>
          </w:tcPr>
          <w:p w14:paraId="7C1812BD">
            <w:pPr>
              <w:jc w:val="center"/>
              <w:rPr>
                <w:szCs w:val="21"/>
              </w:rPr>
            </w:pPr>
            <w:r>
              <w:rPr>
                <w:szCs w:val="21"/>
              </w:rPr>
              <w:t>噪声</w:t>
            </w:r>
          </w:p>
        </w:tc>
        <w:tc>
          <w:tcPr>
            <w:tcW w:w="980" w:type="dxa"/>
            <w:vAlign w:val="center"/>
          </w:tcPr>
          <w:p w14:paraId="7540A95D">
            <w:pPr>
              <w:spacing w:beforeLines="50" w:afterLines="50"/>
              <w:jc w:val="center"/>
              <w:rPr>
                <w:szCs w:val="21"/>
              </w:rPr>
            </w:pPr>
            <w:r>
              <w:rPr>
                <w:szCs w:val="21"/>
              </w:rPr>
              <w:t>运营期</w:t>
            </w:r>
          </w:p>
        </w:tc>
        <w:tc>
          <w:tcPr>
            <w:tcW w:w="1781" w:type="dxa"/>
            <w:vAlign w:val="center"/>
          </w:tcPr>
          <w:p w14:paraId="0E8F1F42">
            <w:pPr>
              <w:spacing w:beforeLines="50" w:afterLines="50"/>
              <w:jc w:val="center"/>
              <w:rPr>
                <w:szCs w:val="21"/>
              </w:rPr>
            </w:pPr>
            <w:r>
              <w:rPr>
                <w:szCs w:val="21"/>
              </w:rPr>
              <w:t>设备噪声</w:t>
            </w:r>
          </w:p>
        </w:tc>
        <w:tc>
          <w:tcPr>
            <w:tcW w:w="1260" w:type="dxa"/>
            <w:vAlign w:val="center"/>
          </w:tcPr>
          <w:p w14:paraId="4233073D">
            <w:pPr>
              <w:spacing w:beforeLines="50" w:afterLines="50"/>
              <w:jc w:val="center"/>
              <w:rPr>
                <w:szCs w:val="21"/>
              </w:rPr>
            </w:pPr>
            <w:r>
              <w:rPr>
                <w:szCs w:val="21"/>
              </w:rPr>
              <w:t>/</w:t>
            </w:r>
          </w:p>
        </w:tc>
        <w:tc>
          <w:tcPr>
            <w:tcW w:w="1425" w:type="dxa"/>
            <w:vAlign w:val="center"/>
          </w:tcPr>
          <w:p w14:paraId="0BF7D9C3">
            <w:pPr>
              <w:spacing w:beforeLines="50" w:afterLines="50"/>
              <w:jc w:val="center"/>
              <w:rPr>
                <w:szCs w:val="21"/>
              </w:rPr>
            </w:pPr>
            <w:r>
              <w:rPr>
                <w:szCs w:val="21"/>
              </w:rPr>
              <w:t>≤</w:t>
            </w:r>
            <w:r>
              <w:rPr>
                <w:rFonts w:hint="eastAsia"/>
                <w:szCs w:val="21"/>
              </w:rPr>
              <w:t>85</w:t>
            </w:r>
            <w:r>
              <w:rPr>
                <w:szCs w:val="21"/>
              </w:rPr>
              <w:t>dB(A)</w:t>
            </w:r>
          </w:p>
        </w:tc>
        <w:tc>
          <w:tcPr>
            <w:tcW w:w="1343" w:type="dxa"/>
            <w:vAlign w:val="center"/>
          </w:tcPr>
          <w:p w14:paraId="5CF7CABD">
            <w:pPr>
              <w:spacing w:beforeLines="50" w:afterLines="50"/>
              <w:jc w:val="center"/>
              <w:rPr>
                <w:szCs w:val="21"/>
              </w:rPr>
            </w:pPr>
            <w:r>
              <w:rPr>
                <w:szCs w:val="21"/>
              </w:rPr>
              <w:t>/</w:t>
            </w:r>
          </w:p>
        </w:tc>
        <w:tc>
          <w:tcPr>
            <w:tcW w:w="1343" w:type="dxa"/>
            <w:vAlign w:val="center"/>
          </w:tcPr>
          <w:p w14:paraId="4CCBA333">
            <w:pPr>
              <w:spacing w:beforeLines="50" w:afterLines="50"/>
              <w:jc w:val="center"/>
              <w:rPr>
                <w:szCs w:val="21"/>
              </w:rPr>
            </w:pPr>
            <w:r>
              <w:rPr>
                <w:szCs w:val="21"/>
              </w:rPr>
              <w:t>5</w:t>
            </w:r>
            <w:r>
              <w:rPr>
                <w:rFonts w:hint="eastAsia"/>
                <w:szCs w:val="21"/>
              </w:rPr>
              <w:t>5</w:t>
            </w:r>
            <w:r>
              <w:rPr>
                <w:szCs w:val="21"/>
              </w:rPr>
              <w:t>~6</w:t>
            </w:r>
            <w:r>
              <w:rPr>
                <w:rFonts w:hint="eastAsia"/>
                <w:szCs w:val="21"/>
              </w:rPr>
              <w:t>5</w:t>
            </w:r>
            <w:r>
              <w:rPr>
                <w:szCs w:val="21"/>
              </w:rPr>
              <w:t>dB(A)</w:t>
            </w:r>
          </w:p>
        </w:tc>
      </w:tr>
      <w:tr w14:paraId="080F907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492" w:hRule="atLeast"/>
          <w:jc w:val="center"/>
        </w:trPr>
        <w:tc>
          <w:tcPr>
            <w:tcW w:w="1224" w:type="dxa"/>
            <w:vAlign w:val="center"/>
          </w:tcPr>
          <w:p w14:paraId="63FF7433">
            <w:pPr>
              <w:jc w:val="center"/>
              <w:rPr>
                <w:szCs w:val="21"/>
              </w:rPr>
            </w:pPr>
            <w:r>
              <w:rPr>
                <w:szCs w:val="21"/>
              </w:rPr>
              <w:t>其他</w:t>
            </w:r>
          </w:p>
        </w:tc>
        <w:tc>
          <w:tcPr>
            <w:tcW w:w="8132" w:type="dxa"/>
            <w:gridSpan w:val="6"/>
            <w:vAlign w:val="center"/>
          </w:tcPr>
          <w:p w14:paraId="428F01DC">
            <w:pPr>
              <w:jc w:val="center"/>
              <w:rPr>
                <w:szCs w:val="21"/>
              </w:rPr>
            </w:pPr>
            <w:r>
              <w:rPr>
                <w:szCs w:val="21"/>
              </w:rPr>
              <w:t>/</w:t>
            </w:r>
          </w:p>
        </w:tc>
      </w:tr>
      <w:tr w14:paraId="56CA795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90" w:hRule="atLeast"/>
          <w:jc w:val="center"/>
        </w:trPr>
        <w:tc>
          <w:tcPr>
            <w:tcW w:w="9356" w:type="dxa"/>
            <w:gridSpan w:val="7"/>
            <w:vAlign w:val="center"/>
          </w:tcPr>
          <w:p w14:paraId="08AC25B2">
            <w:pPr>
              <w:spacing w:line="360" w:lineRule="auto"/>
            </w:pPr>
            <w:r>
              <w:t>主要生态影响(不够时可附另页)：</w:t>
            </w:r>
          </w:p>
          <w:p w14:paraId="1DF77CFA">
            <w:pPr>
              <w:spacing w:line="360" w:lineRule="auto"/>
              <w:ind w:firstLine="420" w:firstLineChars="200"/>
            </w:pPr>
            <w:r>
              <w:t>本项目位于</w:t>
            </w:r>
            <w:r>
              <w:rPr>
                <w:rFonts w:hint="eastAsia"/>
              </w:rPr>
              <w:t>威海市环翠区温泉镇刘家台村南</w:t>
            </w:r>
            <w:r>
              <w:t>，周围无重要的生态资源。由于本次项目利用已建厂房进行生产经营，没有进行土地开挖，因此不考虑对生态环境的影响。</w:t>
            </w:r>
          </w:p>
          <w:p w14:paraId="777C23F9">
            <w:pPr>
              <w:pStyle w:val="37"/>
              <w:ind w:firstLine="420"/>
              <w:rPr>
                <w:sz w:val="21"/>
                <w:szCs w:val="21"/>
              </w:rPr>
            </w:pPr>
          </w:p>
          <w:p w14:paraId="78249C57">
            <w:pPr>
              <w:pStyle w:val="37"/>
              <w:ind w:firstLine="420"/>
              <w:rPr>
                <w:sz w:val="21"/>
                <w:szCs w:val="21"/>
              </w:rPr>
            </w:pPr>
          </w:p>
          <w:p w14:paraId="7D1EF7D4">
            <w:pPr>
              <w:pStyle w:val="37"/>
              <w:ind w:firstLine="420"/>
              <w:rPr>
                <w:sz w:val="21"/>
                <w:szCs w:val="21"/>
              </w:rPr>
            </w:pPr>
          </w:p>
          <w:p w14:paraId="369842A3">
            <w:pPr>
              <w:pStyle w:val="37"/>
              <w:ind w:firstLine="420"/>
              <w:rPr>
                <w:sz w:val="21"/>
                <w:szCs w:val="21"/>
              </w:rPr>
            </w:pPr>
          </w:p>
          <w:p w14:paraId="0E9E269D">
            <w:pPr>
              <w:pStyle w:val="37"/>
              <w:ind w:firstLine="420"/>
              <w:rPr>
                <w:sz w:val="21"/>
                <w:szCs w:val="21"/>
              </w:rPr>
            </w:pPr>
          </w:p>
          <w:p w14:paraId="42DE1D5D">
            <w:pPr>
              <w:pStyle w:val="37"/>
              <w:ind w:firstLine="420"/>
              <w:rPr>
                <w:sz w:val="21"/>
                <w:szCs w:val="21"/>
              </w:rPr>
            </w:pPr>
          </w:p>
          <w:p w14:paraId="63E98C8F">
            <w:pPr>
              <w:pStyle w:val="37"/>
              <w:ind w:firstLine="420"/>
              <w:rPr>
                <w:sz w:val="21"/>
                <w:szCs w:val="21"/>
              </w:rPr>
            </w:pPr>
          </w:p>
          <w:p w14:paraId="3282D335">
            <w:pPr>
              <w:pStyle w:val="37"/>
              <w:ind w:firstLine="420"/>
              <w:rPr>
                <w:sz w:val="21"/>
                <w:szCs w:val="21"/>
              </w:rPr>
            </w:pPr>
          </w:p>
        </w:tc>
      </w:tr>
    </w:tbl>
    <w:p w14:paraId="08A1C9FB">
      <w:pPr>
        <w:spacing w:after="120"/>
        <w:rPr>
          <w:rFonts w:eastAsia="黑体"/>
          <w:sz w:val="30"/>
          <w:szCs w:val="30"/>
        </w:rPr>
      </w:pPr>
      <w:r>
        <w:rPr>
          <w:rFonts w:eastAsia="黑体"/>
          <w:sz w:val="30"/>
          <w:szCs w:val="30"/>
        </w:rPr>
        <w:t>七、环境影响分析</w:t>
      </w:r>
    </w:p>
    <w:tbl>
      <w:tblPr>
        <w:tblStyle w:val="27"/>
        <w:tblW w:w="929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297"/>
      </w:tblGrid>
      <w:tr w14:paraId="79C928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9297" w:type="dxa"/>
          </w:tcPr>
          <w:p w14:paraId="35A504F4">
            <w:pPr>
              <w:spacing w:line="360" w:lineRule="auto"/>
              <w:rPr>
                <w:b/>
                <w:sz w:val="28"/>
                <w:szCs w:val="28"/>
              </w:rPr>
            </w:pPr>
            <w:r>
              <w:rPr>
                <w:b/>
                <w:sz w:val="28"/>
                <w:szCs w:val="28"/>
              </w:rPr>
              <w:t>施工期环境影响分析：</w:t>
            </w:r>
          </w:p>
          <w:p w14:paraId="5E7922F5">
            <w:pPr>
              <w:spacing w:line="360" w:lineRule="auto"/>
              <w:ind w:firstLine="439" w:firstLineChars="183"/>
            </w:pPr>
            <w:r>
              <w:rPr>
                <w:rFonts w:hint="eastAsia"/>
                <w:sz w:val="24"/>
              </w:rPr>
              <w:t>本</w:t>
            </w:r>
            <w:r>
              <w:rPr>
                <w:sz w:val="24"/>
              </w:rPr>
              <w:t>项目</w:t>
            </w:r>
            <w:r>
              <w:rPr>
                <w:rFonts w:hint="eastAsia"/>
                <w:sz w:val="24"/>
              </w:rPr>
              <w:t>租用已建</w:t>
            </w:r>
            <w:r>
              <w:rPr>
                <w:sz w:val="24"/>
              </w:rPr>
              <w:t>生产车间</w:t>
            </w:r>
            <w:r>
              <w:rPr>
                <w:rFonts w:hint="eastAsia"/>
                <w:sz w:val="24"/>
              </w:rPr>
              <w:t>进行生产</w:t>
            </w:r>
            <w:r>
              <w:rPr>
                <w:sz w:val="24"/>
              </w:rPr>
              <w:t>，</w:t>
            </w:r>
            <w:r>
              <w:rPr>
                <w:rFonts w:hint="eastAsia"/>
                <w:sz w:val="24"/>
              </w:rPr>
              <w:t>无土建工程</w:t>
            </w:r>
            <w:r>
              <w:rPr>
                <w:sz w:val="24"/>
              </w:rPr>
              <w:t>，因此，本环评对施工期不再进行分析和评价</w:t>
            </w:r>
            <w:r>
              <w:rPr>
                <w:rFonts w:hint="eastAsia"/>
                <w:sz w:val="24"/>
              </w:rPr>
              <w:t>。</w:t>
            </w:r>
          </w:p>
        </w:tc>
      </w:tr>
      <w:tr w14:paraId="4FD892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5" w:hRule="atLeast"/>
          <w:jc w:val="center"/>
        </w:trPr>
        <w:tc>
          <w:tcPr>
            <w:tcW w:w="9297" w:type="dxa"/>
          </w:tcPr>
          <w:p w14:paraId="2560DA9B">
            <w:pPr>
              <w:spacing w:line="360" w:lineRule="auto"/>
              <w:rPr>
                <w:b/>
                <w:sz w:val="28"/>
                <w:szCs w:val="28"/>
              </w:rPr>
            </w:pPr>
            <w:r>
              <w:rPr>
                <w:b/>
                <w:sz w:val="28"/>
                <w:szCs w:val="28"/>
              </w:rPr>
              <w:t>营运期环境影响分析：</w:t>
            </w:r>
          </w:p>
          <w:p w14:paraId="60297B63">
            <w:pPr>
              <w:pStyle w:val="17"/>
              <w:numPr>
                <w:ilvl w:val="0"/>
                <w:numId w:val="9"/>
              </w:numPr>
              <w:ind w:left="479" w:leftChars="228" w:firstLine="0"/>
              <w:rPr>
                <w:rFonts w:ascii="Times New Roman"/>
                <w:b/>
              </w:rPr>
            </w:pPr>
            <w:r>
              <w:rPr>
                <w:rFonts w:ascii="Times New Roman"/>
                <w:b/>
              </w:rPr>
              <w:t>环境空气影响分析：</w:t>
            </w:r>
          </w:p>
          <w:p w14:paraId="7E6430C6">
            <w:pPr>
              <w:pStyle w:val="61"/>
              <w:autoSpaceDE w:val="0"/>
              <w:autoSpaceDN w:val="0"/>
              <w:adjustRightInd/>
              <w:spacing w:line="360" w:lineRule="auto"/>
              <w:jc w:val="left"/>
              <w:textAlignment w:val="auto"/>
              <w:rPr>
                <w:rFonts w:eastAsia="宋体"/>
                <w:szCs w:val="24"/>
              </w:rPr>
            </w:pPr>
            <w:r>
              <w:rPr>
                <w:rFonts w:eastAsia="宋体"/>
                <w:szCs w:val="24"/>
              </w:rPr>
              <w:t>本项目</w:t>
            </w:r>
            <w:r>
              <w:rPr>
                <w:rFonts w:hint="eastAsia" w:eastAsia="宋体"/>
                <w:szCs w:val="24"/>
              </w:rPr>
              <w:t>不设食堂及宿舍无</w:t>
            </w:r>
            <w:r>
              <w:rPr>
                <w:rFonts w:hint="eastAsia" w:eastAsiaTheme="minorEastAsia"/>
                <w:szCs w:val="24"/>
                <w:shd w:val="clear" w:color="auto" w:fill="FFFFFF"/>
              </w:rPr>
              <w:t>生活废气产生；</w:t>
            </w:r>
            <w:r>
              <w:rPr>
                <w:rFonts w:hint="eastAsia" w:eastAsia="宋体"/>
                <w:szCs w:val="24"/>
              </w:rPr>
              <w:t>生产</w:t>
            </w:r>
            <w:r>
              <w:rPr>
                <w:rFonts w:eastAsia="宋体"/>
                <w:szCs w:val="24"/>
                <w:shd w:val="clear" w:color="auto" w:fill="FFFFFF"/>
              </w:rPr>
              <w:t>废气</w:t>
            </w:r>
            <w:r>
              <w:rPr>
                <w:rFonts w:eastAsiaTheme="minorEastAsia"/>
                <w:szCs w:val="24"/>
                <w:shd w:val="clear" w:color="auto" w:fill="FFFFFF"/>
              </w:rPr>
              <w:t>主要包括：</w:t>
            </w:r>
            <w:r>
              <w:rPr>
                <w:rFonts w:hint="eastAsia" w:eastAsiaTheme="minorEastAsia"/>
                <w:szCs w:val="24"/>
                <w:shd w:val="clear" w:color="auto" w:fill="FFFFFF"/>
              </w:rPr>
              <w:t>固化、</w:t>
            </w:r>
            <w:r>
              <w:rPr>
                <w:rFonts w:eastAsiaTheme="minorEastAsia"/>
                <w:szCs w:val="24"/>
                <w:shd w:val="clear" w:color="auto" w:fill="FFFFFF"/>
              </w:rPr>
              <w:t>调漆、</w:t>
            </w:r>
            <w:r>
              <w:rPr>
                <w:rFonts w:hint="eastAsia" w:eastAsiaTheme="minorEastAsia"/>
                <w:szCs w:val="24"/>
                <w:shd w:val="clear" w:color="auto" w:fill="FFFFFF"/>
              </w:rPr>
              <w:t>拉漆、</w:t>
            </w:r>
            <w:r>
              <w:rPr>
                <w:rFonts w:eastAsiaTheme="minorEastAsia"/>
                <w:szCs w:val="24"/>
                <w:shd w:val="clear" w:color="auto" w:fill="FFFFFF"/>
              </w:rPr>
              <w:t>喷漆</w:t>
            </w:r>
            <w:r>
              <w:rPr>
                <w:rFonts w:hint="eastAsia" w:eastAsiaTheme="minorEastAsia"/>
                <w:szCs w:val="24"/>
                <w:shd w:val="clear" w:color="auto" w:fill="FFFFFF"/>
              </w:rPr>
              <w:t>、</w:t>
            </w:r>
            <w:r>
              <w:rPr>
                <w:rFonts w:eastAsiaTheme="minorEastAsia"/>
                <w:szCs w:val="24"/>
                <w:shd w:val="clear" w:color="auto" w:fill="FFFFFF"/>
              </w:rPr>
              <w:t>烘干、</w:t>
            </w:r>
            <w:r>
              <w:rPr>
                <w:rFonts w:hint="eastAsia" w:eastAsiaTheme="minorEastAsia"/>
                <w:szCs w:val="24"/>
                <w:shd w:val="clear" w:color="auto" w:fill="FFFFFF"/>
              </w:rPr>
              <w:t>环氧等</w:t>
            </w:r>
            <w:r>
              <w:rPr>
                <w:rFonts w:eastAsiaTheme="minorEastAsia"/>
                <w:szCs w:val="24"/>
                <w:shd w:val="clear" w:color="auto" w:fill="FFFFFF"/>
              </w:rPr>
              <w:t>过程产生的有机废气和漆雾（主要为喷漆工序产生），有机废气主要污染物为VOCs、二甲苯等</w:t>
            </w:r>
            <w:r>
              <w:rPr>
                <w:rFonts w:hint="eastAsia" w:eastAsiaTheme="minorEastAsia"/>
                <w:szCs w:val="24"/>
                <w:shd w:val="clear" w:color="auto" w:fill="FFFFFF"/>
              </w:rPr>
              <w:t>，</w:t>
            </w:r>
            <w:r>
              <w:rPr>
                <w:rFonts w:hint="eastAsia" w:eastAsia="宋体"/>
                <w:szCs w:val="24"/>
                <w:lang w:val="zh-CN"/>
              </w:rPr>
              <w:t>分为有组织排放和无组织排放；</w:t>
            </w:r>
            <w:r>
              <w:rPr>
                <w:rFonts w:eastAsiaTheme="minorEastAsia"/>
                <w:szCs w:val="24"/>
              </w:rPr>
              <w:t>EVA半成品抛光工序产生的粉尘，</w:t>
            </w:r>
            <w:r>
              <w:rPr>
                <w:rFonts w:eastAsiaTheme="minorEastAsia"/>
                <w:szCs w:val="24"/>
                <w:lang w:val="zh-CN"/>
              </w:rPr>
              <w:t>主要污染物为颗粒物，分为有组织排放和无组织排放</w:t>
            </w:r>
            <w:r>
              <w:rPr>
                <w:rFonts w:hint="eastAsia" w:eastAsiaTheme="minorEastAsia"/>
                <w:szCs w:val="24"/>
                <w:lang w:val="zh-CN"/>
              </w:rPr>
              <w:t>；</w:t>
            </w:r>
            <w:r>
              <w:rPr>
                <w:rFonts w:eastAsiaTheme="minorEastAsia"/>
                <w:szCs w:val="24"/>
                <w:lang w:val="zh-CN"/>
              </w:rPr>
              <w:t>项目厂区内设</w:t>
            </w:r>
            <w:r>
              <w:rPr>
                <w:rFonts w:eastAsiaTheme="minorEastAsia"/>
                <w:szCs w:val="24"/>
              </w:rPr>
              <w:t>2根15m排气筒。</w:t>
            </w:r>
          </w:p>
          <w:p w14:paraId="1FCB9BA2">
            <w:pPr>
              <w:spacing w:line="360" w:lineRule="auto"/>
              <w:ind w:firstLine="482" w:firstLineChars="200"/>
              <w:jc w:val="left"/>
              <w:rPr>
                <w:b/>
                <w:bCs w:val="0"/>
                <w:sz w:val="24"/>
                <w:szCs w:val="24"/>
              </w:rPr>
            </w:pPr>
            <w:r>
              <w:rPr>
                <w:rFonts w:hint="eastAsia"/>
                <w:b/>
                <w:bCs w:val="0"/>
                <w:sz w:val="24"/>
                <w:szCs w:val="24"/>
              </w:rPr>
              <w:t>1、废气有组织源强分析</w:t>
            </w:r>
          </w:p>
          <w:p w14:paraId="070B0EA0">
            <w:pPr>
              <w:pStyle w:val="61"/>
              <w:autoSpaceDE w:val="0"/>
              <w:autoSpaceDN w:val="0"/>
              <w:adjustRightInd/>
              <w:spacing w:line="360" w:lineRule="auto"/>
              <w:ind w:firstLineChars="200"/>
              <w:textAlignment w:val="auto"/>
              <w:rPr>
                <w:rFonts w:eastAsiaTheme="minorEastAsia"/>
                <w:b/>
                <w:bCs w:val="0"/>
                <w:szCs w:val="24"/>
                <w:shd w:val="clear" w:color="auto" w:fill="FFFFFF"/>
              </w:rPr>
            </w:pPr>
            <w:r>
              <w:rPr>
                <w:rFonts w:hint="eastAsia" w:eastAsiaTheme="minorEastAsia"/>
                <w:b/>
                <w:bCs w:val="0"/>
                <w:szCs w:val="24"/>
                <w:shd w:val="clear" w:color="auto" w:fill="FFFFFF"/>
              </w:rPr>
              <w:t>P1排气筒（固化、环氧、涂装废气）</w:t>
            </w:r>
          </w:p>
          <w:p w14:paraId="0A4E6466">
            <w:pPr>
              <w:pStyle w:val="61"/>
              <w:autoSpaceDE w:val="0"/>
              <w:autoSpaceDN w:val="0"/>
              <w:adjustRightInd/>
              <w:spacing w:line="360" w:lineRule="auto"/>
              <w:ind w:firstLineChars="200"/>
              <w:textAlignment w:val="auto"/>
              <w:rPr>
                <w:rFonts w:eastAsiaTheme="minorEastAsia"/>
                <w:szCs w:val="24"/>
                <w:shd w:val="clear" w:color="auto" w:fill="FFFFFF"/>
              </w:rPr>
            </w:pPr>
            <w:r>
              <w:rPr>
                <w:rFonts w:hint="eastAsia" w:eastAsiaTheme="minorEastAsia"/>
                <w:szCs w:val="24"/>
                <w:shd w:val="clear" w:color="auto" w:fill="FFFFFF"/>
              </w:rPr>
              <w:t>（1）固化废气</w:t>
            </w:r>
          </w:p>
          <w:p w14:paraId="5141B806">
            <w:pPr>
              <w:spacing w:line="360" w:lineRule="auto"/>
              <w:ind w:firstLine="480" w:firstLineChars="200"/>
              <w:rPr>
                <w:sz w:val="24"/>
                <w:szCs w:val="24"/>
              </w:rPr>
            </w:pPr>
            <w:r>
              <w:rPr>
                <w:rFonts w:eastAsiaTheme="minorEastAsia"/>
                <w:sz w:val="24"/>
              </w:rPr>
              <w:t>本项目</w:t>
            </w:r>
            <w:r>
              <w:rPr>
                <w:rFonts w:hint="eastAsia" w:eastAsiaTheme="minorEastAsia"/>
                <w:sz w:val="24"/>
              </w:rPr>
              <w:t>鱼竿</w:t>
            </w:r>
            <w:r>
              <w:rPr>
                <w:rFonts w:eastAsiaTheme="minorEastAsia"/>
                <w:sz w:val="24"/>
              </w:rPr>
              <w:t>生产过程中固化工序在固化炉内进行，</w:t>
            </w:r>
            <w:r>
              <w:rPr>
                <w:rFonts w:hint="eastAsia" w:eastAsiaTheme="minorEastAsia"/>
                <w:sz w:val="24"/>
              </w:rPr>
              <w:t>采用电加热（温度控制在</w:t>
            </w:r>
            <w:r>
              <w:rPr>
                <w:sz w:val="24"/>
              </w:rPr>
              <w:t>125℃到130℃之间</w:t>
            </w:r>
            <w:r>
              <w:rPr>
                <w:rFonts w:hint="eastAsia" w:eastAsiaTheme="minorEastAsia"/>
                <w:sz w:val="24"/>
              </w:rPr>
              <w:t>），</w:t>
            </w:r>
            <w:r>
              <w:rPr>
                <w:rFonts w:eastAsiaTheme="minorEastAsia"/>
                <w:sz w:val="24"/>
              </w:rPr>
              <w:t>固化过程会有少量有机废气产生，主要污染物为VOCs。根据建设单位提供的资料，项目原材料碳素布约为</w:t>
            </w:r>
            <w:r>
              <w:rPr>
                <w:rFonts w:hint="eastAsia" w:eastAsiaTheme="minorEastAsia"/>
                <w:sz w:val="24"/>
              </w:rPr>
              <w:t>300</w:t>
            </w:r>
            <w:r>
              <w:rPr>
                <w:rFonts w:eastAsiaTheme="minorEastAsia"/>
                <w:sz w:val="24"/>
              </w:rPr>
              <w:t>g/m，其中环氧树脂胶含量占30%，固化过程中产生废气量约占胶含量的3%，本项目原材料碳素布用量约为</w:t>
            </w:r>
            <w:r>
              <w:rPr>
                <w:rFonts w:hint="eastAsia" w:eastAsiaTheme="minorEastAsia"/>
                <w:sz w:val="24"/>
              </w:rPr>
              <w:t>15</w:t>
            </w:r>
            <w:r>
              <w:rPr>
                <w:rFonts w:eastAsiaTheme="minorEastAsia"/>
                <w:sz w:val="24"/>
              </w:rPr>
              <w:t>0000m/a，即</w:t>
            </w:r>
            <w:r>
              <w:rPr>
                <w:rFonts w:hint="eastAsia" w:eastAsiaTheme="minorEastAsia"/>
                <w:sz w:val="24"/>
              </w:rPr>
              <w:t>45</w:t>
            </w:r>
            <w:r>
              <w:rPr>
                <w:rFonts w:eastAsiaTheme="minorEastAsia"/>
                <w:sz w:val="24"/>
              </w:rPr>
              <w:t>t/a，经计算，</w:t>
            </w:r>
            <w:r>
              <w:rPr>
                <w:rFonts w:hint="eastAsia" w:eastAsiaTheme="minorEastAsia"/>
                <w:sz w:val="24"/>
              </w:rPr>
              <w:t>固化工序</w:t>
            </w:r>
            <w:r>
              <w:rPr>
                <w:rFonts w:eastAsiaTheme="minorEastAsia"/>
                <w:sz w:val="24"/>
              </w:rPr>
              <w:t>有机废气VOCs产生量约为</w:t>
            </w:r>
            <w:r>
              <w:rPr>
                <w:rFonts w:hint="eastAsia" w:eastAsiaTheme="minorEastAsia"/>
                <w:sz w:val="24"/>
              </w:rPr>
              <w:t>0.405</w:t>
            </w:r>
            <w:r>
              <w:rPr>
                <w:rFonts w:eastAsiaTheme="minorEastAsia"/>
                <w:sz w:val="24"/>
              </w:rPr>
              <w:t>t/a</w:t>
            </w:r>
            <w:r>
              <w:rPr>
                <w:rFonts w:hint="eastAsia" w:eastAsiaTheme="minorEastAsia"/>
                <w:sz w:val="24"/>
              </w:rPr>
              <w:t>。</w:t>
            </w:r>
          </w:p>
          <w:p w14:paraId="6D83CCFC">
            <w:pPr>
              <w:pStyle w:val="61"/>
              <w:autoSpaceDE w:val="0"/>
              <w:autoSpaceDN w:val="0"/>
              <w:adjustRightInd/>
              <w:spacing w:line="360" w:lineRule="auto"/>
              <w:ind w:firstLineChars="200"/>
              <w:textAlignment w:val="auto"/>
              <w:rPr>
                <w:rFonts w:eastAsiaTheme="minorEastAsia"/>
                <w:szCs w:val="24"/>
                <w:shd w:val="clear" w:color="auto" w:fill="FFFFFF"/>
              </w:rPr>
            </w:pPr>
            <w:r>
              <w:rPr>
                <w:rFonts w:hint="eastAsia" w:eastAsiaTheme="minorEastAsia"/>
                <w:szCs w:val="24"/>
                <w:shd w:val="clear" w:color="auto" w:fill="FFFFFF"/>
              </w:rPr>
              <w:t>（2）环氧废气</w:t>
            </w:r>
          </w:p>
          <w:p w14:paraId="21D24F31">
            <w:pPr>
              <w:pStyle w:val="61"/>
              <w:autoSpaceDE w:val="0"/>
              <w:autoSpaceDN w:val="0"/>
              <w:adjustRightInd/>
              <w:spacing w:line="360" w:lineRule="auto"/>
              <w:ind w:firstLineChars="200"/>
              <w:textAlignment w:val="auto"/>
              <w:rPr>
                <w:szCs w:val="24"/>
              </w:rPr>
            </w:pPr>
            <w:r>
              <w:rPr>
                <w:rFonts w:hint="eastAsia" w:eastAsiaTheme="minorEastAsia"/>
                <w:szCs w:val="22"/>
              </w:rPr>
              <w:t>本项目鱼竿生产过程</w:t>
            </w:r>
            <w:r>
              <w:rPr>
                <w:rFonts w:eastAsiaTheme="minorEastAsia"/>
                <w:szCs w:val="22"/>
              </w:rPr>
              <w:t>环氧</w:t>
            </w:r>
            <w:r>
              <w:rPr>
                <w:rFonts w:hint="eastAsia" w:eastAsiaTheme="minorEastAsia"/>
                <w:szCs w:val="22"/>
              </w:rPr>
              <w:t>工序</w:t>
            </w:r>
            <w:r>
              <w:rPr>
                <w:rFonts w:eastAsiaTheme="minorEastAsia"/>
                <w:szCs w:val="22"/>
              </w:rPr>
              <w:t>需涂覆环氧树脂胶，起到粘合作用，环氧树脂</w:t>
            </w:r>
            <w:r>
              <w:rPr>
                <w:rFonts w:hint="eastAsia" w:eastAsiaTheme="minorEastAsia"/>
                <w:szCs w:val="22"/>
              </w:rPr>
              <w:t>胶挥发</w:t>
            </w:r>
            <w:r>
              <w:rPr>
                <w:rFonts w:eastAsiaTheme="minorEastAsia"/>
                <w:szCs w:val="22"/>
              </w:rPr>
              <w:t>少量有机废气，</w:t>
            </w:r>
            <w:r>
              <w:rPr>
                <w:rFonts w:eastAsiaTheme="minorEastAsia"/>
              </w:rPr>
              <w:t>主要污染物为VOCs。</w:t>
            </w:r>
            <w:r>
              <w:rPr>
                <w:rFonts w:hint="eastAsia" w:eastAsiaTheme="minorEastAsia"/>
              </w:rPr>
              <w:t>环氧树脂胶</w:t>
            </w:r>
            <w:r>
              <w:rPr>
                <w:rFonts w:eastAsiaTheme="minorEastAsia"/>
                <w:szCs w:val="24"/>
              </w:rPr>
              <w:t>主要由环氧树脂及固化剂组成，其中树脂及固化剂成分占90%以上</w:t>
            </w:r>
            <w:r>
              <w:rPr>
                <w:rFonts w:hint="eastAsia" w:eastAsiaTheme="minorEastAsia"/>
                <w:szCs w:val="24"/>
              </w:rPr>
              <w:t>，</w:t>
            </w:r>
            <w:r>
              <w:rPr>
                <w:rFonts w:eastAsiaTheme="minorEastAsia"/>
                <w:szCs w:val="24"/>
              </w:rPr>
              <w:t>挥发性有机成分占10%以下</w:t>
            </w:r>
            <w:r>
              <w:rPr>
                <w:rFonts w:hint="eastAsia" w:eastAsiaTheme="minorEastAsia"/>
                <w:szCs w:val="24"/>
              </w:rPr>
              <w:t>，本</w:t>
            </w:r>
            <w:r>
              <w:rPr>
                <w:rFonts w:eastAsiaTheme="minorEastAsia"/>
                <w:szCs w:val="22"/>
              </w:rPr>
              <w:t>项目环氧树脂胶用量约为</w:t>
            </w:r>
            <w:r>
              <w:rPr>
                <w:rFonts w:hint="eastAsia" w:eastAsiaTheme="minorEastAsia"/>
                <w:szCs w:val="22"/>
              </w:rPr>
              <w:t>1</w:t>
            </w:r>
            <w:r>
              <w:rPr>
                <w:rFonts w:eastAsiaTheme="minorEastAsia"/>
                <w:szCs w:val="22"/>
              </w:rPr>
              <w:t xml:space="preserve"> t/a，</w:t>
            </w:r>
            <w:r>
              <w:rPr>
                <w:rFonts w:hint="eastAsia" w:eastAsiaTheme="minorEastAsia"/>
                <w:szCs w:val="22"/>
              </w:rPr>
              <w:t>经计算，</w:t>
            </w:r>
            <w:r>
              <w:rPr>
                <w:rFonts w:eastAsiaTheme="minorEastAsia"/>
                <w:szCs w:val="22"/>
              </w:rPr>
              <w:t>环氧工序</w:t>
            </w:r>
            <w:r>
              <w:rPr>
                <w:rFonts w:hint="eastAsia" w:eastAsiaTheme="minorEastAsia"/>
                <w:szCs w:val="22"/>
              </w:rPr>
              <w:t>有机废气</w:t>
            </w:r>
            <w:r>
              <w:rPr>
                <w:rFonts w:eastAsiaTheme="minorEastAsia"/>
                <w:szCs w:val="22"/>
              </w:rPr>
              <w:t>VOCs产生量为</w:t>
            </w:r>
            <w:r>
              <w:rPr>
                <w:rFonts w:hint="eastAsia" w:eastAsiaTheme="minorEastAsia"/>
                <w:szCs w:val="22"/>
              </w:rPr>
              <w:t>0.1</w:t>
            </w:r>
            <w:r>
              <w:rPr>
                <w:rFonts w:eastAsiaTheme="minorEastAsia"/>
                <w:szCs w:val="22"/>
              </w:rPr>
              <w:t>t/a。</w:t>
            </w:r>
          </w:p>
          <w:p w14:paraId="718022DF">
            <w:pPr>
              <w:pStyle w:val="61"/>
              <w:autoSpaceDE w:val="0"/>
              <w:autoSpaceDN w:val="0"/>
              <w:adjustRightInd/>
              <w:spacing w:line="360" w:lineRule="auto"/>
              <w:ind w:firstLineChars="200"/>
              <w:textAlignment w:val="auto"/>
              <w:rPr>
                <w:rFonts w:eastAsiaTheme="minorEastAsia"/>
                <w:szCs w:val="24"/>
                <w:shd w:val="clear" w:color="auto" w:fill="FFFFFF"/>
              </w:rPr>
            </w:pPr>
            <w:r>
              <w:rPr>
                <w:rFonts w:hint="eastAsia"/>
                <w:szCs w:val="24"/>
              </w:rPr>
              <w:t>（3）</w:t>
            </w:r>
            <w:r>
              <w:rPr>
                <w:rFonts w:hint="eastAsia" w:eastAsiaTheme="minorEastAsia"/>
                <w:szCs w:val="24"/>
                <w:shd w:val="clear" w:color="auto" w:fill="FFFFFF"/>
              </w:rPr>
              <w:t>涂装废气</w:t>
            </w:r>
          </w:p>
          <w:p w14:paraId="482F8A5C">
            <w:pPr>
              <w:pStyle w:val="61"/>
              <w:autoSpaceDE w:val="0"/>
              <w:autoSpaceDN w:val="0"/>
              <w:adjustRightInd/>
              <w:spacing w:line="360" w:lineRule="auto"/>
              <w:ind w:firstLineChars="200"/>
              <w:textAlignment w:val="auto"/>
              <w:rPr>
                <w:rFonts w:eastAsiaTheme="minorEastAsia"/>
                <w:szCs w:val="24"/>
              </w:rPr>
            </w:pPr>
            <w:r>
              <w:rPr>
                <w:rFonts w:hint="eastAsia" w:eastAsiaTheme="minorEastAsia"/>
                <w:szCs w:val="24"/>
                <w:shd w:val="clear" w:color="auto" w:fill="FFFFFF"/>
              </w:rPr>
              <w:t>本项目调漆、拉漆、喷漆和烘干过程产生有机废气和漆雾（主要为喷漆工序产生），有机废气主要污染物为VOCs、二甲苯等</w:t>
            </w:r>
            <w:r>
              <w:rPr>
                <w:rFonts w:hint="eastAsia" w:eastAsiaTheme="minorEastAsia"/>
                <w:szCs w:val="24"/>
              </w:rPr>
              <w:t>，项目油漆、稀料用量及组分见下表。</w:t>
            </w:r>
          </w:p>
          <w:p w14:paraId="4DDA3BFD">
            <w:pPr>
              <w:adjustRightInd w:val="0"/>
              <w:snapToGrid w:val="0"/>
              <w:ind w:firstLine="506"/>
              <w:jc w:val="center"/>
              <w:rPr>
                <w:b/>
                <w:spacing w:val="6"/>
                <w:sz w:val="24"/>
              </w:rPr>
            </w:pPr>
            <w:r>
              <w:rPr>
                <w:b/>
                <w:spacing w:val="6"/>
                <w:sz w:val="24"/>
              </w:rPr>
              <w:t>表</w:t>
            </w:r>
            <w:r>
              <w:rPr>
                <w:rFonts w:hint="eastAsia"/>
                <w:b/>
                <w:spacing w:val="6"/>
                <w:sz w:val="24"/>
              </w:rPr>
              <w:t>7-1</w:t>
            </w:r>
            <w:r>
              <w:rPr>
                <w:b/>
                <w:spacing w:val="6"/>
                <w:sz w:val="24"/>
              </w:rPr>
              <w:t xml:space="preserve"> </w:t>
            </w:r>
            <w:r>
              <w:rPr>
                <w:rFonts w:hint="eastAsia"/>
                <w:b/>
                <w:spacing w:val="6"/>
                <w:sz w:val="24"/>
              </w:rPr>
              <w:t>项目油漆、稀料用量及组分一览表</w:t>
            </w:r>
          </w:p>
          <w:tbl>
            <w:tblPr>
              <w:tblStyle w:val="27"/>
              <w:tblW w:w="893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06"/>
              <w:gridCol w:w="1769"/>
              <w:gridCol w:w="1572"/>
              <w:gridCol w:w="5289"/>
            </w:tblGrid>
            <w:tr w14:paraId="1E54C0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306" w:type="dxa"/>
                  <w:tcBorders>
                    <w:tl2br w:val="nil"/>
                    <w:tr2bl w:val="nil"/>
                  </w:tcBorders>
                  <w:vAlign w:val="center"/>
                </w:tcPr>
                <w:p w14:paraId="2C7BE51F">
                  <w:pPr>
                    <w:adjustRightInd w:val="0"/>
                    <w:snapToGrid w:val="0"/>
                    <w:jc w:val="center"/>
                    <w:rPr>
                      <w:szCs w:val="21"/>
                    </w:rPr>
                  </w:pPr>
                  <w:r>
                    <w:rPr>
                      <w:szCs w:val="21"/>
                    </w:rPr>
                    <w:t>序号</w:t>
                  </w:r>
                </w:p>
              </w:tc>
              <w:tc>
                <w:tcPr>
                  <w:tcW w:w="1769" w:type="dxa"/>
                  <w:tcBorders>
                    <w:tl2br w:val="nil"/>
                    <w:tr2bl w:val="nil"/>
                  </w:tcBorders>
                  <w:vAlign w:val="center"/>
                </w:tcPr>
                <w:p w14:paraId="602CB78A">
                  <w:pPr>
                    <w:adjustRightInd w:val="0"/>
                    <w:snapToGrid w:val="0"/>
                    <w:jc w:val="center"/>
                    <w:rPr>
                      <w:szCs w:val="21"/>
                    </w:rPr>
                  </w:pPr>
                  <w:r>
                    <w:rPr>
                      <w:szCs w:val="21"/>
                    </w:rPr>
                    <w:t>名称</w:t>
                  </w:r>
                </w:p>
              </w:tc>
              <w:tc>
                <w:tcPr>
                  <w:tcW w:w="1572" w:type="dxa"/>
                  <w:tcBorders>
                    <w:tl2br w:val="nil"/>
                    <w:tr2bl w:val="nil"/>
                  </w:tcBorders>
                  <w:vAlign w:val="center"/>
                </w:tcPr>
                <w:p w14:paraId="46006E33">
                  <w:pPr>
                    <w:adjustRightInd w:val="0"/>
                    <w:snapToGrid w:val="0"/>
                    <w:jc w:val="center"/>
                    <w:rPr>
                      <w:szCs w:val="21"/>
                    </w:rPr>
                  </w:pPr>
                  <w:r>
                    <w:rPr>
                      <w:rFonts w:hint="eastAsia"/>
                      <w:szCs w:val="21"/>
                    </w:rPr>
                    <w:t>用量（t/a）</w:t>
                  </w:r>
                </w:p>
              </w:tc>
              <w:tc>
                <w:tcPr>
                  <w:tcW w:w="5289" w:type="dxa"/>
                  <w:tcBorders>
                    <w:tl2br w:val="nil"/>
                    <w:tr2bl w:val="nil"/>
                  </w:tcBorders>
                  <w:vAlign w:val="center"/>
                </w:tcPr>
                <w:p w14:paraId="4A8FD67F">
                  <w:pPr>
                    <w:adjustRightInd w:val="0"/>
                    <w:snapToGrid w:val="0"/>
                    <w:jc w:val="center"/>
                    <w:rPr>
                      <w:szCs w:val="21"/>
                    </w:rPr>
                  </w:pPr>
                  <w:r>
                    <w:rPr>
                      <w:rFonts w:hint="eastAsia"/>
                      <w:szCs w:val="21"/>
                    </w:rPr>
                    <w:t>组分</w:t>
                  </w:r>
                </w:p>
              </w:tc>
            </w:tr>
            <w:tr w14:paraId="0BDEBE3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306" w:type="dxa"/>
                  <w:tcBorders>
                    <w:tl2br w:val="nil"/>
                    <w:tr2bl w:val="nil"/>
                  </w:tcBorders>
                  <w:vAlign w:val="center"/>
                </w:tcPr>
                <w:p w14:paraId="4CC533F7">
                  <w:pPr>
                    <w:widowControl/>
                    <w:adjustRightInd w:val="0"/>
                    <w:snapToGrid w:val="0"/>
                    <w:jc w:val="center"/>
                    <w:rPr>
                      <w:szCs w:val="21"/>
                    </w:rPr>
                  </w:pPr>
                  <w:r>
                    <w:rPr>
                      <w:szCs w:val="21"/>
                    </w:rPr>
                    <w:t>1</w:t>
                  </w:r>
                </w:p>
              </w:tc>
              <w:tc>
                <w:tcPr>
                  <w:tcW w:w="1769" w:type="dxa"/>
                  <w:tcBorders>
                    <w:tl2br w:val="nil"/>
                    <w:tr2bl w:val="nil"/>
                  </w:tcBorders>
                  <w:vAlign w:val="center"/>
                </w:tcPr>
                <w:p w14:paraId="4F8C4C33">
                  <w:pPr>
                    <w:jc w:val="center"/>
                    <w:rPr>
                      <w:szCs w:val="21"/>
                    </w:rPr>
                  </w:pPr>
                  <w:r>
                    <w:rPr>
                      <w:rFonts w:hint="eastAsia"/>
                      <w:szCs w:val="21"/>
                    </w:rPr>
                    <w:t>聚氨酯漆</w:t>
                  </w:r>
                </w:p>
              </w:tc>
              <w:tc>
                <w:tcPr>
                  <w:tcW w:w="1572" w:type="dxa"/>
                  <w:tcBorders>
                    <w:tl2br w:val="nil"/>
                    <w:tr2bl w:val="nil"/>
                  </w:tcBorders>
                  <w:vAlign w:val="center"/>
                </w:tcPr>
                <w:p w14:paraId="553EFFF3">
                  <w:pPr>
                    <w:pStyle w:val="93"/>
                    <w:ind w:firstLine="0" w:firstLineChars="0"/>
                    <w:jc w:val="center"/>
                    <w:rPr>
                      <w:rFonts w:ascii="Times New Roman" w:hAnsi="Times New Roman"/>
                      <w:szCs w:val="21"/>
                    </w:rPr>
                  </w:pPr>
                  <w:r>
                    <w:rPr>
                      <w:rFonts w:hint="eastAsia" w:ascii="Times New Roman" w:hAnsi="Times New Roman"/>
                      <w:szCs w:val="21"/>
                    </w:rPr>
                    <w:t>1</w:t>
                  </w:r>
                </w:p>
              </w:tc>
              <w:tc>
                <w:tcPr>
                  <w:tcW w:w="5289" w:type="dxa"/>
                  <w:tcBorders>
                    <w:tl2br w:val="nil"/>
                    <w:tr2bl w:val="nil"/>
                  </w:tcBorders>
                  <w:vAlign w:val="center"/>
                </w:tcPr>
                <w:p w14:paraId="3E8B8825">
                  <w:pPr>
                    <w:pStyle w:val="97"/>
                    <w:adjustRightInd w:val="0"/>
                    <w:snapToGrid w:val="0"/>
                    <w:ind w:firstLine="0" w:firstLineChars="0"/>
                    <w:jc w:val="left"/>
                    <w:rPr>
                      <w:rFonts w:ascii="Times New Roman"/>
                      <w:sz w:val="21"/>
                      <w:szCs w:val="21"/>
                      <w:shd w:val="clear" w:color="auto" w:fill="FFFFFF"/>
                    </w:rPr>
                  </w:pPr>
                  <w:r>
                    <w:rPr>
                      <w:rFonts w:ascii="Times New Roman"/>
                      <w:sz w:val="21"/>
                      <w:szCs w:val="21"/>
                      <w:shd w:val="clear" w:color="auto" w:fill="FFFFFF"/>
                    </w:rPr>
                    <w:t>主要成分：</w:t>
                  </w:r>
                  <w:r>
                    <w:rPr>
                      <w:rFonts w:ascii="Times New Roman"/>
                      <w:sz w:val="21"/>
                      <w:szCs w:val="21"/>
                      <w:lang w:val="zh-CN"/>
                    </w:rPr>
                    <w:t>聚氨树脂</w:t>
                  </w:r>
                  <w:r>
                    <w:rPr>
                      <w:rFonts w:ascii="Times New Roman"/>
                      <w:sz w:val="21"/>
                      <w:szCs w:val="21"/>
                    </w:rPr>
                    <w:t>74%，助剂1%，醋酸丁酯10%，二甲苯10%，丙二醇甲醚醋酸酯5%</w:t>
                  </w:r>
                  <w:r>
                    <w:rPr>
                      <w:rFonts w:ascii="Times New Roman"/>
                      <w:sz w:val="21"/>
                      <w:szCs w:val="21"/>
                      <w:shd w:val="clear" w:color="auto" w:fill="FFFFFF"/>
                    </w:rPr>
                    <w:t>。</w:t>
                  </w:r>
                </w:p>
              </w:tc>
            </w:tr>
            <w:tr w14:paraId="63D8289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306" w:type="dxa"/>
                  <w:tcBorders>
                    <w:tl2br w:val="nil"/>
                    <w:tr2bl w:val="nil"/>
                  </w:tcBorders>
                  <w:vAlign w:val="center"/>
                </w:tcPr>
                <w:p w14:paraId="173DDF19">
                  <w:pPr>
                    <w:widowControl/>
                    <w:adjustRightInd w:val="0"/>
                    <w:snapToGrid w:val="0"/>
                    <w:jc w:val="center"/>
                    <w:rPr>
                      <w:szCs w:val="21"/>
                    </w:rPr>
                  </w:pPr>
                  <w:r>
                    <w:rPr>
                      <w:rFonts w:hint="eastAsia"/>
                      <w:szCs w:val="21"/>
                    </w:rPr>
                    <w:t>2</w:t>
                  </w:r>
                </w:p>
              </w:tc>
              <w:tc>
                <w:tcPr>
                  <w:tcW w:w="1769" w:type="dxa"/>
                  <w:tcBorders>
                    <w:tl2br w:val="nil"/>
                    <w:tr2bl w:val="nil"/>
                  </w:tcBorders>
                  <w:vAlign w:val="center"/>
                </w:tcPr>
                <w:p w14:paraId="778CD51A">
                  <w:pPr>
                    <w:jc w:val="center"/>
                    <w:rPr>
                      <w:szCs w:val="21"/>
                    </w:rPr>
                  </w:pPr>
                  <w:r>
                    <w:rPr>
                      <w:szCs w:val="21"/>
                    </w:rPr>
                    <w:t xml:space="preserve">稀料           </w:t>
                  </w:r>
                </w:p>
              </w:tc>
              <w:tc>
                <w:tcPr>
                  <w:tcW w:w="1572" w:type="dxa"/>
                  <w:tcBorders>
                    <w:tl2br w:val="nil"/>
                    <w:tr2bl w:val="nil"/>
                  </w:tcBorders>
                  <w:vAlign w:val="center"/>
                </w:tcPr>
                <w:p w14:paraId="1108E4CF">
                  <w:pPr>
                    <w:pStyle w:val="93"/>
                    <w:ind w:firstLine="0" w:firstLineChars="0"/>
                    <w:jc w:val="center"/>
                    <w:rPr>
                      <w:rFonts w:ascii="Times New Roman" w:hAnsi="Times New Roman"/>
                      <w:szCs w:val="21"/>
                    </w:rPr>
                  </w:pPr>
                  <w:r>
                    <w:rPr>
                      <w:rFonts w:hint="eastAsia" w:ascii="Times New Roman" w:hAnsi="Times New Roman"/>
                      <w:szCs w:val="21"/>
                    </w:rPr>
                    <w:t>0.6</w:t>
                  </w:r>
                </w:p>
              </w:tc>
              <w:tc>
                <w:tcPr>
                  <w:tcW w:w="5289" w:type="dxa"/>
                  <w:tcBorders>
                    <w:tl2br w:val="nil"/>
                    <w:tr2bl w:val="nil"/>
                  </w:tcBorders>
                  <w:vAlign w:val="center"/>
                </w:tcPr>
                <w:p w14:paraId="1E404813">
                  <w:pPr>
                    <w:pStyle w:val="97"/>
                    <w:adjustRightInd w:val="0"/>
                    <w:snapToGrid w:val="0"/>
                    <w:ind w:firstLine="0" w:firstLineChars="0"/>
                    <w:jc w:val="left"/>
                    <w:rPr>
                      <w:rFonts w:ascii="Times New Roman"/>
                      <w:sz w:val="21"/>
                      <w:szCs w:val="21"/>
                    </w:rPr>
                  </w:pPr>
                  <w:r>
                    <w:rPr>
                      <w:rFonts w:ascii="Times New Roman"/>
                      <w:sz w:val="21"/>
                      <w:szCs w:val="21"/>
                      <w:shd w:val="clear" w:color="auto" w:fill="FFFFFF"/>
                    </w:rPr>
                    <w:t>主要成分：</w:t>
                  </w:r>
                  <w:r>
                    <w:rPr>
                      <w:rFonts w:ascii="Times New Roman"/>
                      <w:sz w:val="21"/>
                      <w:szCs w:val="21"/>
                    </w:rPr>
                    <w:t>二甲苯30%，其它芳香烃（主要是乙苯和少量甲苯）约15％，酯、酮、醚、醇类约55%。</w:t>
                  </w:r>
                </w:p>
              </w:tc>
            </w:tr>
          </w:tbl>
          <w:p w14:paraId="4F49527C">
            <w:pPr>
              <w:pStyle w:val="61"/>
              <w:autoSpaceDE w:val="0"/>
              <w:autoSpaceDN w:val="0"/>
              <w:adjustRightInd/>
              <w:spacing w:line="360" w:lineRule="auto"/>
              <w:ind w:firstLineChars="200"/>
              <w:textAlignment w:val="auto"/>
              <w:rPr>
                <w:rFonts w:eastAsia="宋体"/>
                <w:lang w:val="zh-CN"/>
              </w:rPr>
            </w:pPr>
            <w:r>
              <w:rPr>
                <w:rFonts w:eastAsia="宋体"/>
                <w:lang w:val="zh-CN"/>
              </w:rPr>
              <w:t>油漆、稀料主要组分含量如下表：</w:t>
            </w:r>
          </w:p>
          <w:p w14:paraId="67412591">
            <w:pPr>
              <w:pStyle w:val="61"/>
              <w:autoSpaceDE w:val="0"/>
              <w:autoSpaceDN w:val="0"/>
              <w:adjustRightInd/>
              <w:spacing w:line="240" w:lineRule="auto"/>
              <w:ind w:firstLine="0"/>
              <w:jc w:val="center"/>
              <w:textAlignment w:val="auto"/>
              <w:rPr>
                <w:rFonts w:eastAsia="宋体"/>
                <w:b/>
                <w:bCs/>
                <w:szCs w:val="24"/>
              </w:rPr>
            </w:pPr>
            <w:r>
              <w:rPr>
                <w:rFonts w:eastAsia="宋体"/>
                <w:b/>
                <w:bCs/>
                <w:szCs w:val="24"/>
                <w:lang w:val="zh-CN"/>
              </w:rPr>
              <w:t>表</w:t>
            </w:r>
            <w:r>
              <w:rPr>
                <w:rFonts w:hint="eastAsia" w:eastAsia="宋体"/>
                <w:b/>
                <w:bCs/>
                <w:szCs w:val="24"/>
              </w:rPr>
              <w:t>7</w:t>
            </w:r>
            <w:r>
              <w:rPr>
                <w:rFonts w:eastAsia="宋体"/>
                <w:b/>
                <w:bCs/>
                <w:szCs w:val="24"/>
              </w:rPr>
              <w:t>-</w:t>
            </w:r>
            <w:r>
              <w:rPr>
                <w:rFonts w:hint="eastAsia" w:eastAsia="宋体"/>
                <w:b/>
                <w:bCs/>
                <w:szCs w:val="24"/>
              </w:rPr>
              <w:t>2</w:t>
            </w:r>
            <w:r>
              <w:rPr>
                <w:rFonts w:eastAsia="宋体"/>
                <w:b/>
                <w:bCs/>
                <w:szCs w:val="24"/>
              </w:rPr>
              <w:t xml:space="preserve"> 项目油漆、稀料主要组分含量情况</w:t>
            </w:r>
          </w:p>
          <w:tbl>
            <w:tblPr>
              <w:tblStyle w:val="27"/>
              <w:tblW w:w="860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16"/>
              <w:gridCol w:w="716"/>
              <w:gridCol w:w="716"/>
              <w:gridCol w:w="717"/>
              <w:gridCol w:w="716"/>
              <w:gridCol w:w="717"/>
              <w:gridCol w:w="717"/>
              <w:gridCol w:w="717"/>
              <w:gridCol w:w="718"/>
              <w:gridCol w:w="717"/>
              <w:gridCol w:w="716"/>
              <w:gridCol w:w="717"/>
            </w:tblGrid>
            <w:tr w14:paraId="5D827DC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716" w:type="dxa"/>
                  <w:vMerge w:val="restart"/>
                  <w:tcBorders>
                    <w:top w:val="single" w:color="auto" w:sz="12" w:space="0"/>
                    <w:left w:val="single" w:color="auto" w:sz="12" w:space="0"/>
                    <w:bottom w:val="single" w:color="auto" w:sz="4" w:space="0"/>
                    <w:right w:val="single" w:color="auto" w:sz="4" w:space="0"/>
                  </w:tcBorders>
                  <w:vAlign w:val="center"/>
                </w:tcPr>
                <w:p w14:paraId="487828FC">
                  <w:pPr>
                    <w:jc w:val="center"/>
                  </w:pPr>
                  <w:r>
                    <w:t>名称</w:t>
                  </w:r>
                </w:p>
              </w:tc>
              <w:tc>
                <w:tcPr>
                  <w:tcW w:w="716" w:type="dxa"/>
                  <w:vMerge w:val="restart"/>
                  <w:tcBorders>
                    <w:top w:val="single" w:color="auto" w:sz="12" w:space="0"/>
                    <w:left w:val="single" w:color="auto" w:sz="4" w:space="0"/>
                    <w:bottom w:val="single" w:color="auto" w:sz="4" w:space="0"/>
                    <w:right w:val="single" w:color="auto" w:sz="4" w:space="0"/>
                  </w:tcBorders>
                  <w:vAlign w:val="center"/>
                </w:tcPr>
                <w:p w14:paraId="7FC10FB9">
                  <w:pPr>
                    <w:jc w:val="center"/>
                  </w:pPr>
                  <w:r>
                    <w:t>用量（t/a）</w:t>
                  </w:r>
                </w:p>
              </w:tc>
              <w:tc>
                <w:tcPr>
                  <w:tcW w:w="1433" w:type="dxa"/>
                  <w:gridSpan w:val="2"/>
                  <w:vMerge w:val="restart"/>
                  <w:tcBorders>
                    <w:top w:val="single" w:color="auto" w:sz="12" w:space="0"/>
                    <w:left w:val="single" w:color="auto" w:sz="4" w:space="0"/>
                    <w:bottom w:val="single" w:color="auto" w:sz="4" w:space="0"/>
                    <w:right w:val="single" w:color="auto" w:sz="4" w:space="0"/>
                  </w:tcBorders>
                  <w:vAlign w:val="center"/>
                </w:tcPr>
                <w:p w14:paraId="50CA7018">
                  <w:pPr>
                    <w:jc w:val="center"/>
                  </w:pPr>
                  <w:r>
                    <w:rPr>
                      <w:lang w:val="zh-CN"/>
                    </w:rPr>
                    <w:t>固形物</w:t>
                  </w:r>
                </w:p>
              </w:tc>
              <w:tc>
                <w:tcPr>
                  <w:tcW w:w="1433" w:type="dxa"/>
                  <w:gridSpan w:val="2"/>
                  <w:vMerge w:val="restart"/>
                  <w:tcBorders>
                    <w:top w:val="single" w:color="auto" w:sz="12" w:space="0"/>
                    <w:left w:val="single" w:color="auto" w:sz="4" w:space="0"/>
                    <w:bottom w:val="single" w:color="auto" w:sz="4" w:space="0"/>
                    <w:right w:val="single" w:color="auto" w:sz="4" w:space="0"/>
                  </w:tcBorders>
                  <w:vAlign w:val="center"/>
                </w:tcPr>
                <w:p w14:paraId="5CF4FAEA">
                  <w:pPr>
                    <w:jc w:val="center"/>
                  </w:pPr>
                  <w:r>
                    <w:rPr>
                      <w:lang w:val="zh-CN"/>
                    </w:rPr>
                    <w:t>挥发性有机物</w:t>
                  </w:r>
                </w:p>
              </w:tc>
              <w:tc>
                <w:tcPr>
                  <w:tcW w:w="4302" w:type="dxa"/>
                  <w:gridSpan w:val="6"/>
                  <w:tcBorders>
                    <w:top w:val="single" w:color="auto" w:sz="12" w:space="0"/>
                    <w:left w:val="single" w:color="auto" w:sz="4" w:space="0"/>
                    <w:bottom w:val="single" w:color="auto" w:sz="4" w:space="0"/>
                    <w:right w:val="single" w:color="auto" w:sz="12" w:space="0"/>
                  </w:tcBorders>
                  <w:vAlign w:val="center"/>
                </w:tcPr>
                <w:p w14:paraId="48FA8FFC">
                  <w:pPr>
                    <w:jc w:val="center"/>
                  </w:pPr>
                  <w:r>
                    <w:rPr>
                      <w:lang w:val="zh-CN"/>
                    </w:rPr>
                    <w:t>其中挥发性有机物</w:t>
                  </w:r>
                </w:p>
              </w:tc>
            </w:tr>
            <w:tr w14:paraId="6B6B4AC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716" w:type="dxa"/>
                  <w:vMerge w:val="continue"/>
                  <w:tcBorders>
                    <w:top w:val="single" w:color="auto" w:sz="4" w:space="0"/>
                    <w:left w:val="single" w:color="auto" w:sz="12" w:space="0"/>
                    <w:bottom w:val="single" w:color="auto" w:sz="4" w:space="0"/>
                    <w:right w:val="single" w:color="auto" w:sz="4" w:space="0"/>
                  </w:tcBorders>
                  <w:vAlign w:val="center"/>
                </w:tcPr>
                <w:p w14:paraId="5DF321E4">
                  <w:pPr>
                    <w:jc w:val="center"/>
                  </w:pPr>
                </w:p>
              </w:tc>
              <w:tc>
                <w:tcPr>
                  <w:tcW w:w="716" w:type="dxa"/>
                  <w:vMerge w:val="continue"/>
                  <w:tcBorders>
                    <w:top w:val="single" w:color="auto" w:sz="4" w:space="0"/>
                    <w:left w:val="single" w:color="auto" w:sz="4" w:space="0"/>
                    <w:bottom w:val="single" w:color="auto" w:sz="4" w:space="0"/>
                    <w:right w:val="single" w:color="auto" w:sz="4" w:space="0"/>
                  </w:tcBorders>
                  <w:vAlign w:val="center"/>
                </w:tcPr>
                <w:p w14:paraId="65B4F31B">
                  <w:pPr>
                    <w:jc w:val="center"/>
                  </w:pPr>
                </w:p>
              </w:tc>
              <w:tc>
                <w:tcPr>
                  <w:tcW w:w="1433" w:type="dxa"/>
                  <w:gridSpan w:val="2"/>
                  <w:vMerge w:val="continue"/>
                  <w:tcBorders>
                    <w:top w:val="single" w:color="auto" w:sz="4" w:space="0"/>
                    <w:left w:val="single" w:color="auto" w:sz="4" w:space="0"/>
                    <w:bottom w:val="single" w:color="auto" w:sz="4" w:space="0"/>
                    <w:right w:val="single" w:color="auto" w:sz="4" w:space="0"/>
                  </w:tcBorders>
                  <w:vAlign w:val="center"/>
                </w:tcPr>
                <w:p w14:paraId="0795943C">
                  <w:pPr>
                    <w:jc w:val="center"/>
                  </w:pPr>
                </w:p>
              </w:tc>
              <w:tc>
                <w:tcPr>
                  <w:tcW w:w="1433" w:type="dxa"/>
                  <w:gridSpan w:val="2"/>
                  <w:vMerge w:val="continue"/>
                  <w:tcBorders>
                    <w:top w:val="single" w:color="auto" w:sz="4" w:space="0"/>
                    <w:left w:val="single" w:color="auto" w:sz="4" w:space="0"/>
                    <w:bottom w:val="single" w:color="auto" w:sz="4" w:space="0"/>
                    <w:right w:val="single" w:color="auto" w:sz="4" w:space="0"/>
                  </w:tcBorders>
                  <w:vAlign w:val="center"/>
                </w:tcPr>
                <w:p w14:paraId="4E337F8A">
                  <w:pPr>
                    <w:jc w:val="center"/>
                  </w:pPr>
                </w:p>
              </w:tc>
              <w:tc>
                <w:tcPr>
                  <w:tcW w:w="1434" w:type="dxa"/>
                  <w:gridSpan w:val="2"/>
                  <w:tcBorders>
                    <w:top w:val="single" w:color="auto" w:sz="4" w:space="0"/>
                    <w:left w:val="single" w:color="auto" w:sz="4" w:space="0"/>
                    <w:bottom w:val="single" w:color="auto" w:sz="4" w:space="0"/>
                    <w:right w:val="single" w:color="auto" w:sz="4" w:space="0"/>
                  </w:tcBorders>
                  <w:vAlign w:val="center"/>
                </w:tcPr>
                <w:p w14:paraId="624CF857">
                  <w:pPr>
                    <w:jc w:val="center"/>
                  </w:pPr>
                  <w:r>
                    <w:rPr>
                      <w:rFonts w:hint="eastAsia"/>
                      <w:lang w:val="zh-CN"/>
                    </w:rPr>
                    <w:t>其他芳烃</w:t>
                  </w:r>
                </w:p>
              </w:tc>
              <w:tc>
                <w:tcPr>
                  <w:tcW w:w="1435" w:type="dxa"/>
                  <w:gridSpan w:val="2"/>
                  <w:tcBorders>
                    <w:top w:val="single" w:color="auto" w:sz="4" w:space="0"/>
                    <w:left w:val="single" w:color="auto" w:sz="4" w:space="0"/>
                    <w:bottom w:val="single" w:color="auto" w:sz="4" w:space="0"/>
                    <w:right w:val="single" w:color="auto" w:sz="4" w:space="0"/>
                  </w:tcBorders>
                  <w:vAlign w:val="center"/>
                </w:tcPr>
                <w:p w14:paraId="7942782C">
                  <w:pPr>
                    <w:jc w:val="center"/>
                  </w:pPr>
                  <w:r>
                    <w:rPr>
                      <w:lang w:val="zh-CN"/>
                    </w:rPr>
                    <w:t>二甲苯</w:t>
                  </w:r>
                </w:p>
              </w:tc>
              <w:tc>
                <w:tcPr>
                  <w:tcW w:w="1433" w:type="dxa"/>
                  <w:gridSpan w:val="2"/>
                  <w:tcBorders>
                    <w:top w:val="single" w:color="auto" w:sz="4" w:space="0"/>
                    <w:left w:val="single" w:color="auto" w:sz="4" w:space="0"/>
                    <w:bottom w:val="single" w:color="auto" w:sz="4" w:space="0"/>
                    <w:right w:val="single" w:color="auto" w:sz="12" w:space="0"/>
                  </w:tcBorders>
                  <w:vAlign w:val="center"/>
                </w:tcPr>
                <w:p w14:paraId="3BE40A62">
                  <w:pPr>
                    <w:jc w:val="center"/>
                  </w:pPr>
                  <w:r>
                    <w:rPr>
                      <w:lang w:val="zh-CN"/>
                    </w:rPr>
                    <w:t>酯、酮类</w:t>
                  </w:r>
                </w:p>
              </w:tc>
            </w:tr>
            <w:tr w14:paraId="1857DE7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716" w:type="dxa"/>
                  <w:vMerge w:val="continue"/>
                  <w:tcBorders>
                    <w:top w:val="single" w:color="auto" w:sz="4" w:space="0"/>
                    <w:left w:val="single" w:color="auto" w:sz="12" w:space="0"/>
                    <w:bottom w:val="single" w:color="auto" w:sz="4" w:space="0"/>
                    <w:right w:val="single" w:color="auto" w:sz="4" w:space="0"/>
                  </w:tcBorders>
                  <w:vAlign w:val="center"/>
                </w:tcPr>
                <w:p w14:paraId="5DC5D05C">
                  <w:pPr>
                    <w:jc w:val="center"/>
                  </w:pPr>
                </w:p>
              </w:tc>
              <w:tc>
                <w:tcPr>
                  <w:tcW w:w="716" w:type="dxa"/>
                  <w:vMerge w:val="continue"/>
                  <w:tcBorders>
                    <w:top w:val="single" w:color="auto" w:sz="4" w:space="0"/>
                    <w:left w:val="single" w:color="auto" w:sz="4" w:space="0"/>
                    <w:bottom w:val="single" w:color="auto" w:sz="4" w:space="0"/>
                    <w:right w:val="single" w:color="auto" w:sz="4" w:space="0"/>
                  </w:tcBorders>
                  <w:vAlign w:val="center"/>
                </w:tcPr>
                <w:p w14:paraId="24FAD49D">
                  <w:pPr>
                    <w:jc w:val="center"/>
                  </w:pPr>
                </w:p>
              </w:tc>
              <w:tc>
                <w:tcPr>
                  <w:tcW w:w="716" w:type="dxa"/>
                  <w:tcBorders>
                    <w:top w:val="single" w:color="auto" w:sz="4" w:space="0"/>
                    <w:left w:val="single" w:color="auto" w:sz="4" w:space="0"/>
                    <w:bottom w:val="single" w:color="auto" w:sz="4" w:space="0"/>
                    <w:right w:val="single" w:color="auto" w:sz="4" w:space="0"/>
                  </w:tcBorders>
                  <w:vAlign w:val="center"/>
                </w:tcPr>
                <w:p w14:paraId="630BFB56">
                  <w:pPr>
                    <w:jc w:val="center"/>
                  </w:pPr>
                  <w:r>
                    <w:t>%</w:t>
                  </w:r>
                </w:p>
              </w:tc>
              <w:tc>
                <w:tcPr>
                  <w:tcW w:w="717" w:type="dxa"/>
                  <w:tcBorders>
                    <w:top w:val="single" w:color="auto" w:sz="4" w:space="0"/>
                    <w:left w:val="single" w:color="auto" w:sz="4" w:space="0"/>
                    <w:bottom w:val="single" w:color="auto" w:sz="4" w:space="0"/>
                    <w:right w:val="single" w:color="auto" w:sz="4" w:space="0"/>
                  </w:tcBorders>
                  <w:vAlign w:val="center"/>
                </w:tcPr>
                <w:p w14:paraId="6031C8E9">
                  <w:pPr>
                    <w:jc w:val="center"/>
                  </w:pPr>
                  <w:r>
                    <w:t>t/a</w:t>
                  </w:r>
                </w:p>
              </w:tc>
              <w:tc>
                <w:tcPr>
                  <w:tcW w:w="716" w:type="dxa"/>
                  <w:tcBorders>
                    <w:top w:val="single" w:color="auto" w:sz="4" w:space="0"/>
                    <w:left w:val="single" w:color="auto" w:sz="4" w:space="0"/>
                    <w:bottom w:val="single" w:color="auto" w:sz="4" w:space="0"/>
                    <w:right w:val="single" w:color="auto" w:sz="4" w:space="0"/>
                  </w:tcBorders>
                  <w:vAlign w:val="center"/>
                </w:tcPr>
                <w:p w14:paraId="694B8DD8">
                  <w:pPr>
                    <w:jc w:val="center"/>
                  </w:pPr>
                  <w:r>
                    <w:t>%</w:t>
                  </w:r>
                </w:p>
              </w:tc>
              <w:tc>
                <w:tcPr>
                  <w:tcW w:w="717" w:type="dxa"/>
                  <w:tcBorders>
                    <w:top w:val="single" w:color="auto" w:sz="4" w:space="0"/>
                    <w:left w:val="single" w:color="auto" w:sz="4" w:space="0"/>
                    <w:bottom w:val="single" w:color="auto" w:sz="4" w:space="0"/>
                    <w:right w:val="single" w:color="auto" w:sz="4" w:space="0"/>
                  </w:tcBorders>
                  <w:vAlign w:val="center"/>
                </w:tcPr>
                <w:p w14:paraId="69CAD34C">
                  <w:pPr>
                    <w:jc w:val="center"/>
                  </w:pPr>
                  <w:r>
                    <w:t>t/a</w:t>
                  </w:r>
                </w:p>
              </w:tc>
              <w:tc>
                <w:tcPr>
                  <w:tcW w:w="717" w:type="dxa"/>
                  <w:tcBorders>
                    <w:top w:val="single" w:color="auto" w:sz="4" w:space="0"/>
                    <w:left w:val="single" w:color="auto" w:sz="4" w:space="0"/>
                    <w:bottom w:val="single" w:color="auto" w:sz="4" w:space="0"/>
                    <w:right w:val="single" w:color="auto" w:sz="4" w:space="0"/>
                  </w:tcBorders>
                  <w:vAlign w:val="center"/>
                </w:tcPr>
                <w:p w14:paraId="2E2C8524">
                  <w:pPr>
                    <w:jc w:val="center"/>
                  </w:pPr>
                  <w:r>
                    <w:t>%</w:t>
                  </w:r>
                </w:p>
              </w:tc>
              <w:tc>
                <w:tcPr>
                  <w:tcW w:w="717" w:type="dxa"/>
                  <w:tcBorders>
                    <w:top w:val="single" w:color="auto" w:sz="4" w:space="0"/>
                    <w:left w:val="single" w:color="auto" w:sz="4" w:space="0"/>
                    <w:bottom w:val="single" w:color="auto" w:sz="4" w:space="0"/>
                    <w:right w:val="single" w:color="auto" w:sz="4" w:space="0"/>
                  </w:tcBorders>
                  <w:vAlign w:val="center"/>
                </w:tcPr>
                <w:p w14:paraId="3297A90C">
                  <w:pPr>
                    <w:jc w:val="center"/>
                  </w:pPr>
                  <w:r>
                    <w:t>t/a</w:t>
                  </w:r>
                </w:p>
              </w:tc>
              <w:tc>
                <w:tcPr>
                  <w:tcW w:w="718" w:type="dxa"/>
                  <w:tcBorders>
                    <w:top w:val="single" w:color="auto" w:sz="4" w:space="0"/>
                    <w:left w:val="single" w:color="auto" w:sz="4" w:space="0"/>
                    <w:bottom w:val="single" w:color="auto" w:sz="4" w:space="0"/>
                    <w:right w:val="single" w:color="auto" w:sz="4" w:space="0"/>
                  </w:tcBorders>
                  <w:vAlign w:val="center"/>
                </w:tcPr>
                <w:p w14:paraId="4D1AF4CC">
                  <w:pPr>
                    <w:jc w:val="center"/>
                  </w:pPr>
                  <w:r>
                    <w:t>%</w:t>
                  </w:r>
                </w:p>
              </w:tc>
              <w:tc>
                <w:tcPr>
                  <w:tcW w:w="717" w:type="dxa"/>
                  <w:tcBorders>
                    <w:top w:val="single" w:color="auto" w:sz="4" w:space="0"/>
                    <w:left w:val="single" w:color="auto" w:sz="4" w:space="0"/>
                    <w:bottom w:val="single" w:color="auto" w:sz="4" w:space="0"/>
                    <w:right w:val="single" w:color="auto" w:sz="4" w:space="0"/>
                  </w:tcBorders>
                  <w:vAlign w:val="center"/>
                </w:tcPr>
                <w:p w14:paraId="7E9AA014">
                  <w:pPr>
                    <w:jc w:val="center"/>
                  </w:pPr>
                  <w:r>
                    <w:t>t/a</w:t>
                  </w:r>
                </w:p>
              </w:tc>
              <w:tc>
                <w:tcPr>
                  <w:tcW w:w="716" w:type="dxa"/>
                  <w:tcBorders>
                    <w:top w:val="single" w:color="auto" w:sz="4" w:space="0"/>
                    <w:left w:val="single" w:color="auto" w:sz="4" w:space="0"/>
                    <w:bottom w:val="single" w:color="auto" w:sz="4" w:space="0"/>
                    <w:right w:val="single" w:color="auto" w:sz="4" w:space="0"/>
                  </w:tcBorders>
                  <w:vAlign w:val="center"/>
                </w:tcPr>
                <w:p w14:paraId="027B6603">
                  <w:pPr>
                    <w:jc w:val="center"/>
                  </w:pPr>
                  <w:r>
                    <w:t>%</w:t>
                  </w:r>
                </w:p>
              </w:tc>
              <w:tc>
                <w:tcPr>
                  <w:tcW w:w="717" w:type="dxa"/>
                  <w:tcBorders>
                    <w:top w:val="single" w:color="auto" w:sz="4" w:space="0"/>
                    <w:left w:val="single" w:color="auto" w:sz="4" w:space="0"/>
                    <w:bottom w:val="single" w:color="auto" w:sz="4" w:space="0"/>
                    <w:right w:val="single" w:color="auto" w:sz="12" w:space="0"/>
                  </w:tcBorders>
                  <w:vAlign w:val="center"/>
                </w:tcPr>
                <w:p w14:paraId="5A1E49BF">
                  <w:pPr>
                    <w:jc w:val="center"/>
                  </w:pPr>
                  <w:r>
                    <w:t>t/a</w:t>
                  </w:r>
                </w:p>
              </w:tc>
            </w:tr>
            <w:tr w14:paraId="6216BE5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716" w:type="dxa"/>
                  <w:tcBorders>
                    <w:top w:val="single" w:color="auto" w:sz="4" w:space="0"/>
                    <w:left w:val="single" w:color="auto" w:sz="12" w:space="0"/>
                    <w:bottom w:val="single" w:color="auto" w:sz="4" w:space="0"/>
                    <w:right w:val="single" w:color="auto" w:sz="4" w:space="0"/>
                  </w:tcBorders>
                  <w:vAlign w:val="center"/>
                </w:tcPr>
                <w:p w14:paraId="3C7EBA3A">
                  <w:pPr>
                    <w:jc w:val="center"/>
                    <w:rPr>
                      <w:lang w:val="zh-CN"/>
                    </w:rPr>
                  </w:pPr>
                  <w:r>
                    <w:rPr>
                      <w:rFonts w:hint="eastAsia"/>
                      <w:szCs w:val="21"/>
                    </w:rPr>
                    <w:t>聚氨酯漆</w:t>
                  </w:r>
                </w:p>
              </w:tc>
              <w:tc>
                <w:tcPr>
                  <w:tcW w:w="716" w:type="dxa"/>
                  <w:tcBorders>
                    <w:top w:val="single" w:color="auto" w:sz="4" w:space="0"/>
                    <w:left w:val="single" w:color="auto" w:sz="4" w:space="0"/>
                    <w:bottom w:val="single" w:color="auto" w:sz="4" w:space="0"/>
                    <w:right w:val="single" w:color="auto" w:sz="4" w:space="0"/>
                  </w:tcBorders>
                  <w:vAlign w:val="center"/>
                </w:tcPr>
                <w:p w14:paraId="2A4CF84E">
                  <w:pPr>
                    <w:pStyle w:val="93"/>
                    <w:ind w:firstLine="0" w:firstLineChars="0"/>
                    <w:jc w:val="center"/>
                    <w:rPr>
                      <w:rFonts w:ascii="Times New Roman" w:hAnsi="Times New Roman"/>
                    </w:rPr>
                  </w:pPr>
                  <w:r>
                    <w:rPr>
                      <w:rFonts w:hint="eastAsia" w:ascii="Times New Roman" w:hAnsi="Times New Roman"/>
                      <w:szCs w:val="21"/>
                    </w:rPr>
                    <w:t>1</w:t>
                  </w:r>
                </w:p>
              </w:tc>
              <w:tc>
                <w:tcPr>
                  <w:tcW w:w="716" w:type="dxa"/>
                  <w:tcBorders>
                    <w:top w:val="single" w:color="auto" w:sz="4" w:space="0"/>
                    <w:left w:val="single" w:color="auto" w:sz="4" w:space="0"/>
                    <w:bottom w:val="single" w:color="auto" w:sz="4" w:space="0"/>
                    <w:right w:val="single" w:color="auto" w:sz="4" w:space="0"/>
                  </w:tcBorders>
                  <w:vAlign w:val="center"/>
                </w:tcPr>
                <w:p w14:paraId="6D9D2767">
                  <w:pPr>
                    <w:spacing w:line="220" w:lineRule="exact"/>
                    <w:jc w:val="center"/>
                  </w:pPr>
                  <w:r>
                    <w:rPr>
                      <w:rFonts w:hint="eastAsia"/>
                    </w:rPr>
                    <w:t>75</w:t>
                  </w:r>
                </w:p>
              </w:tc>
              <w:tc>
                <w:tcPr>
                  <w:tcW w:w="717" w:type="dxa"/>
                  <w:tcBorders>
                    <w:top w:val="single" w:color="auto" w:sz="4" w:space="0"/>
                    <w:left w:val="single" w:color="auto" w:sz="4" w:space="0"/>
                    <w:bottom w:val="single" w:color="auto" w:sz="4" w:space="0"/>
                    <w:right w:val="single" w:color="auto" w:sz="4" w:space="0"/>
                  </w:tcBorders>
                  <w:vAlign w:val="center"/>
                </w:tcPr>
                <w:p w14:paraId="6BCF7875">
                  <w:pPr>
                    <w:spacing w:line="220" w:lineRule="exact"/>
                    <w:jc w:val="center"/>
                  </w:pPr>
                  <w:r>
                    <w:rPr>
                      <w:rFonts w:hint="eastAsia"/>
                    </w:rPr>
                    <w:t>0.75</w:t>
                  </w:r>
                </w:p>
              </w:tc>
              <w:tc>
                <w:tcPr>
                  <w:tcW w:w="716" w:type="dxa"/>
                  <w:tcBorders>
                    <w:top w:val="single" w:color="auto" w:sz="4" w:space="0"/>
                    <w:left w:val="single" w:color="auto" w:sz="4" w:space="0"/>
                    <w:bottom w:val="single" w:color="auto" w:sz="4" w:space="0"/>
                    <w:right w:val="single" w:color="auto" w:sz="4" w:space="0"/>
                  </w:tcBorders>
                  <w:vAlign w:val="center"/>
                </w:tcPr>
                <w:p w14:paraId="6F6DC8D9">
                  <w:pPr>
                    <w:spacing w:line="220" w:lineRule="exact"/>
                    <w:jc w:val="center"/>
                  </w:pPr>
                  <w:r>
                    <w:rPr>
                      <w:rFonts w:hint="eastAsia"/>
                    </w:rPr>
                    <w:t>25</w:t>
                  </w:r>
                </w:p>
              </w:tc>
              <w:tc>
                <w:tcPr>
                  <w:tcW w:w="717" w:type="dxa"/>
                  <w:tcBorders>
                    <w:top w:val="single" w:color="auto" w:sz="4" w:space="0"/>
                    <w:left w:val="single" w:color="auto" w:sz="4" w:space="0"/>
                    <w:bottom w:val="single" w:color="auto" w:sz="4" w:space="0"/>
                    <w:right w:val="single" w:color="auto" w:sz="4" w:space="0"/>
                  </w:tcBorders>
                  <w:vAlign w:val="center"/>
                </w:tcPr>
                <w:p w14:paraId="52ECC44F">
                  <w:pPr>
                    <w:spacing w:line="220" w:lineRule="exact"/>
                    <w:jc w:val="center"/>
                  </w:pPr>
                  <w:r>
                    <w:rPr>
                      <w:rFonts w:hint="eastAsia"/>
                    </w:rPr>
                    <w:t>0.25</w:t>
                  </w:r>
                </w:p>
              </w:tc>
              <w:tc>
                <w:tcPr>
                  <w:tcW w:w="717" w:type="dxa"/>
                  <w:tcBorders>
                    <w:top w:val="single" w:color="auto" w:sz="4" w:space="0"/>
                    <w:left w:val="single" w:color="auto" w:sz="4" w:space="0"/>
                    <w:bottom w:val="single" w:color="auto" w:sz="4" w:space="0"/>
                    <w:right w:val="single" w:color="auto" w:sz="4" w:space="0"/>
                  </w:tcBorders>
                  <w:vAlign w:val="center"/>
                </w:tcPr>
                <w:p w14:paraId="02F394CD">
                  <w:pPr>
                    <w:spacing w:line="220" w:lineRule="exact"/>
                    <w:jc w:val="center"/>
                  </w:pPr>
                  <w:r>
                    <w:t>0</w:t>
                  </w:r>
                </w:p>
              </w:tc>
              <w:tc>
                <w:tcPr>
                  <w:tcW w:w="717" w:type="dxa"/>
                  <w:tcBorders>
                    <w:top w:val="single" w:color="auto" w:sz="4" w:space="0"/>
                    <w:left w:val="single" w:color="auto" w:sz="4" w:space="0"/>
                    <w:bottom w:val="single" w:color="auto" w:sz="4" w:space="0"/>
                    <w:right w:val="single" w:color="auto" w:sz="4" w:space="0"/>
                  </w:tcBorders>
                  <w:vAlign w:val="center"/>
                </w:tcPr>
                <w:p w14:paraId="21824F70">
                  <w:pPr>
                    <w:spacing w:line="220" w:lineRule="exact"/>
                    <w:jc w:val="center"/>
                  </w:pPr>
                  <w:r>
                    <w:rPr>
                      <w:rFonts w:hint="eastAsia"/>
                    </w:rPr>
                    <w:t>0</w:t>
                  </w:r>
                </w:p>
              </w:tc>
              <w:tc>
                <w:tcPr>
                  <w:tcW w:w="718" w:type="dxa"/>
                  <w:tcBorders>
                    <w:top w:val="single" w:color="auto" w:sz="4" w:space="0"/>
                    <w:left w:val="single" w:color="auto" w:sz="4" w:space="0"/>
                    <w:bottom w:val="single" w:color="auto" w:sz="4" w:space="0"/>
                    <w:right w:val="single" w:color="auto" w:sz="4" w:space="0"/>
                  </w:tcBorders>
                  <w:vAlign w:val="center"/>
                </w:tcPr>
                <w:p w14:paraId="1543DD2D">
                  <w:pPr>
                    <w:spacing w:line="220" w:lineRule="exact"/>
                    <w:jc w:val="center"/>
                  </w:pPr>
                  <w:r>
                    <w:rPr>
                      <w:rFonts w:hint="eastAsia"/>
                    </w:rPr>
                    <w:t>10</w:t>
                  </w:r>
                </w:p>
              </w:tc>
              <w:tc>
                <w:tcPr>
                  <w:tcW w:w="717" w:type="dxa"/>
                  <w:tcBorders>
                    <w:top w:val="single" w:color="auto" w:sz="4" w:space="0"/>
                    <w:left w:val="single" w:color="auto" w:sz="4" w:space="0"/>
                    <w:bottom w:val="single" w:color="auto" w:sz="4" w:space="0"/>
                    <w:right w:val="single" w:color="auto" w:sz="4" w:space="0"/>
                  </w:tcBorders>
                  <w:vAlign w:val="center"/>
                </w:tcPr>
                <w:p w14:paraId="1DB40B76">
                  <w:pPr>
                    <w:spacing w:line="220" w:lineRule="exact"/>
                    <w:jc w:val="center"/>
                  </w:pPr>
                  <w:r>
                    <w:rPr>
                      <w:rFonts w:hint="eastAsia"/>
                    </w:rPr>
                    <w:t>0.1</w:t>
                  </w:r>
                </w:p>
              </w:tc>
              <w:tc>
                <w:tcPr>
                  <w:tcW w:w="716" w:type="dxa"/>
                  <w:tcBorders>
                    <w:top w:val="single" w:color="auto" w:sz="4" w:space="0"/>
                    <w:left w:val="single" w:color="auto" w:sz="4" w:space="0"/>
                    <w:bottom w:val="single" w:color="auto" w:sz="4" w:space="0"/>
                    <w:right w:val="single" w:color="auto" w:sz="4" w:space="0"/>
                  </w:tcBorders>
                  <w:vAlign w:val="center"/>
                </w:tcPr>
                <w:p w14:paraId="003F1544">
                  <w:pPr>
                    <w:spacing w:line="220" w:lineRule="exact"/>
                    <w:jc w:val="center"/>
                  </w:pPr>
                  <w:r>
                    <w:rPr>
                      <w:rFonts w:hint="eastAsia"/>
                    </w:rPr>
                    <w:t>15</w:t>
                  </w:r>
                </w:p>
              </w:tc>
              <w:tc>
                <w:tcPr>
                  <w:tcW w:w="717" w:type="dxa"/>
                  <w:tcBorders>
                    <w:top w:val="single" w:color="auto" w:sz="4" w:space="0"/>
                    <w:left w:val="single" w:color="auto" w:sz="4" w:space="0"/>
                    <w:bottom w:val="single" w:color="auto" w:sz="4" w:space="0"/>
                    <w:right w:val="single" w:color="auto" w:sz="12" w:space="0"/>
                  </w:tcBorders>
                  <w:vAlign w:val="center"/>
                </w:tcPr>
                <w:p w14:paraId="5D9023A5">
                  <w:pPr>
                    <w:spacing w:line="220" w:lineRule="exact"/>
                    <w:jc w:val="center"/>
                  </w:pPr>
                  <w:r>
                    <w:rPr>
                      <w:rFonts w:hint="eastAsia"/>
                    </w:rPr>
                    <w:t>0.15</w:t>
                  </w:r>
                </w:p>
              </w:tc>
            </w:tr>
            <w:tr w14:paraId="06A3B42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716" w:type="dxa"/>
                  <w:tcBorders>
                    <w:top w:val="single" w:color="auto" w:sz="4" w:space="0"/>
                    <w:left w:val="single" w:color="auto" w:sz="12" w:space="0"/>
                    <w:bottom w:val="single" w:color="auto" w:sz="4" w:space="0"/>
                    <w:right w:val="single" w:color="auto" w:sz="4" w:space="0"/>
                  </w:tcBorders>
                  <w:vAlign w:val="center"/>
                </w:tcPr>
                <w:p w14:paraId="25E8980C">
                  <w:pPr>
                    <w:jc w:val="center"/>
                    <w:rPr>
                      <w:lang w:val="zh-CN"/>
                    </w:rPr>
                  </w:pPr>
                  <w:r>
                    <w:rPr>
                      <w:szCs w:val="21"/>
                    </w:rPr>
                    <w:t xml:space="preserve">稀料           </w:t>
                  </w:r>
                </w:p>
              </w:tc>
              <w:tc>
                <w:tcPr>
                  <w:tcW w:w="716" w:type="dxa"/>
                  <w:tcBorders>
                    <w:top w:val="single" w:color="auto" w:sz="4" w:space="0"/>
                    <w:left w:val="single" w:color="auto" w:sz="4" w:space="0"/>
                    <w:bottom w:val="single" w:color="auto" w:sz="4" w:space="0"/>
                    <w:right w:val="single" w:color="auto" w:sz="4" w:space="0"/>
                  </w:tcBorders>
                  <w:vAlign w:val="center"/>
                </w:tcPr>
                <w:p w14:paraId="46CA9EAD">
                  <w:pPr>
                    <w:pStyle w:val="93"/>
                    <w:ind w:firstLine="0" w:firstLineChars="0"/>
                    <w:jc w:val="center"/>
                  </w:pPr>
                  <w:r>
                    <w:rPr>
                      <w:rFonts w:hint="eastAsia" w:ascii="Times New Roman" w:hAnsi="Times New Roman"/>
                      <w:szCs w:val="21"/>
                    </w:rPr>
                    <w:t>0.6</w:t>
                  </w:r>
                </w:p>
              </w:tc>
              <w:tc>
                <w:tcPr>
                  <w:tcW w:w="716" w:type="dxa"/>
                  <w:tcBorders>
                    <w:top w:val="single" w:color="auto" w:sz="4" w:space="0"/>
                    <w:left w:val="single" w:color="auto" w:sz="4" w:space="0"/>
                    <w:bottom w:val="single" w:color="auto" w:sz="4" w:space="0"/>
                    <w:right w:val="single" w:color="auto" w:sz="4" w:space="0"/>
                  </w:tcBorders>
                  <w:vAlign w:val="center"/>
                </w:tcPr>
                <w:p w14:paraId="73F687D1">
                  <w:pPr>
                    <w:spacing w:line="220" w:lineRule="exact"/>
                    <w:jc w:val="center"/>
                  </w:pPr>
                  <w:r>
                    <w:t>0</w:t>
                  </w:r>
                </w:p>
              </w:tc>
              <w:tc>
                <w:tcPr>
                  <w:tcW w:w="717" w:type="dxa"/>
                  <w:tcBorders>
                    <w:top w:val="single" w:color="auto" w:sz="4" w:space="0"/>
                    <w:left w:val="single" w:color="auto" w:sz="4" w:space="0"/>
                    <w:bottom w:val="single" w:color="auto" w:sz="4" w:space="0"/>
                    <w:right w:val="single" w:color="auto" w:sz="4" w:space="0"/>
                  </w:tcBorders>
                  <w:vAlign w:val="center"/>
                </w:tcPr>
                <w:p w14:paraId="7D241BD9">
                  <w:pPr>
                    <w:spacing w:line="220" w:lineRule="exact"/>
                    <w:jc w:val="center"/>
                  </w:pPr>
                  <w:r>
                    <w:rPr>
                      <w:rFonts w:hint="eastAsia"/>
                    </w:rPr>
                    <w:t>0</w:t>
                  </w:r>
                </w:p>
              </w:tc>
              <w:tc>
                <w:tcPr>
                  <w:tcW w:w="716" w:type="dxa"/>
                  <w:tcBorders>
                    <w:top w:val="single" w:color="auto" w:sz="4" w:space="0"/>
                    <w:left w:val="single" w:color="auto" w:sz="4" w:space="0"/>
                    <w:bottom w:val="single" w:color="auto" w:sz="4" w:space="0"/>
                    <w:right w:val="single" w:color="auto" w:sz="4" w:space="0"/>
                  </w:tcBorders>
                  <w:vAlign w:val="center"/>
                </w:tcPr>
                <w:p w14:paraId="19EFE992">
                  <w:pPr>
                    <w:spacing w:line="220" w:lineRule="exact"/>
                    <w:jc w:val="center"/>
                  </w:pPr>
                  <w:r>
                    <w:t>100</w:t>
                  </w:r>
                </w:p>
              </w:tc>
              <w:tc>
                <w:tcPr>
                  <w:tcW w:w="717" w:type="dxa"/>
                  <w:tcBorders>
                    <w:top w:val="single" w:color="auto" w:sz="4" w:space="0"/>
                    <w:left w:val="single" w:color="auto" w:sz="4" w:space="0"/>
                    <w:bottom w:val="single" w:color="auto" w:sz="4" w:space="0"/>
                    <w:right w:val="single" w:color="auto" w:sz="4" w:space="0"/>
                  </w:tcBorders>
                  <w:vAlign w:val="center"/>
                </w:tcPr>
                <w:p w14:paraId="606C76CD">
                  <w:pPr>
                    <w:spacing w:line="220" w:lineRule="exact"/>
                    <w:jc w:val="center"/>
                  </w:pPr>
                  <w:r>
                    <w:rPr>
                      <w:rFonts w:hint="eastAsia"/>
                    </w:rPr>
                    <w:t>0.6</w:t>
                  </w:r>
                </w:p>
              </w:tc>
              <w:tc>
                <w:tcPr>
                  <w:tcW w:w="717" w:type="dxa"/>
                  <w:tcBorders>
                    <w:top w:val="single" w:color="auto" w:sz="4" w:space="0"/>
                    <w:left w:val="single" w:color="auto" w:sz="4" w:space="0"/>
                    <w:bottom w:val="single" w:color="auto" w:sz="4" w:space="0"/>
                    <w:right w:val="single" w:color="auto" w:sz="4" w:space="0"/>
                  </w:tcBorders>
                  <w:vAlign w:val="center"/>
                </w:tcPr>
                <w:p w14:paraId="6025D168">
                  <w:pPr>
                    <w:spacing w:line="220" w:lineRule="exact"/>
                    <w:jc w:val="center"/>
                  </w:pPr>
                  <w:r>
                    <w:rPr>
                      <w:rFonts w:hint="eastAsia"/>
                    </w:rPr>
                    <w:t>15</w:t>
                  </w:r>
                </w:p>
              </w:tc>
              <w:tc>
                <w:tcPr>
                  <w:tcW w:w="717" w:type="dxa"/>
                  <w:tcBorders>
                    <w:top w:val="single" w:color="auto" w:sz="4" w:space="0"/>
                    <w:left w:val="single" w:color="auto" w:sz="4" w:space="0"/>
                    <w:bottom w:val="single" w:color="auto" w:sz="4" w:space="0"/>
                    <w:right w:val="single" w:color="auto" w:sz="4" w:space="0"/>
                  </w:tcBorders>
                  <w:vAlign w:val="center"/>
                </w:tcPr>
                <w:p w14:paraId="3DFB1A08">
                  <w:pPr>
                    <w:spacing w:line="220" w:lineRule="exact"/>
                    <w:jc w:val="center"/>
                  </w:pPr>
                  <w:r>
                    <w:rPr>
                      <w:rFonts w:hint="eastAsia"/>
                    </w:rPr>
                    <w:t>0.1</w:t>
                  </w:r>
                </w:p>
              </w:tc>
              <w:tc>
                <w:tcPr>
                  <w:tcW w:w="718" w:type="dxa"/>
                  <w:tcBorders>
                    <w:top w:val="single" w:color="auto" w:sz="4" w:space="0"/>
                    <w:left w:val="single" w:color="auto" w:sz="4" w:space="0"/>
                    <w:bottom w:val="single" w:color="auto" w:sz="4" w:space="0"/>
                    <w:right w:val="single" w:color="auto" w:sz="4" w:space="0"/>
                  </w:tcBorders>
                  <w:vAlign w:val="center"/>
                </w:tcPr>
                <w:p w14:paraId="3F1B8753">
                  <w:pPr>
                    <w:spacing w:line="220" w:lineRule="exact"/>
                    <w:jc w:val="center"/>
                  </w:pPr>
                  <w:r>
                    <w:rPr>
                      <w:rFonts w:hint="eastAsia"/>
                    </w:rPr>
                    <w:t>30</w:t>
                  </w:r>
                </w:p>
              </w:tc>
              <w:tc>
                <w:tcPr>
                  <w:tcW w:w="717" w:type="dxa"/>
                  <w:tcBorders>
                    <w:top w:val="single" w:color="auto" w:sz="4" w:space="0"/>
                    <w:left w:val="single" w:color="auto" w:sz="4" w:space="0"/>
                    <w:bottom w:val="single" w:color="auto" w:sz="4" w:space="0"/>
                    <w:right w:val="single" w:color="auto" w:sz="4" w:space="0"/>
                  </w:tcBorders>
                  <w:vAlign w:val="center"/>
                </w:tcPr>
                <w:p w14:paraId="3DC69D36">
                  <w:pPr>
                    <w:spacing w:line="220" w:lineRule="exact"/>
                    <w:jc w:val="center"/>
                  </w:pPr>
                  <w:r>
                    <w:rPr>
                      <w:rFonts w:hint="eastAsia"/>
                    </w:rPr>
                    <w:t>0.18</w:t>
                  </w:r>
                </w:p>
              </w:tc>
              <w:tc>
                <w:tcPr>
                  <w:tcW w:w="716" w:type="dxa"/>
                  <w:tcBorders>
                    <w:top w:val="single" w:color="auto" w:sz="4" w:space="0"/>
                    <w:left w:val="single" w:color="auto" w:sz="4" w:space="0"/>
                    <w:bottom w:val="single" w:color="auto" w:sz="4" w:space="0"/>
                    <w:right w:val="single" w:color="auto" w:sz="4" w:space="0"/>
                  </w:tcBorders>
                  <w:vAlign w:val="center"/>
                </w:tcPr>
                <w:p w14:paraId="02A0B697">
                  <w:pPr>
                    <w:spacing w:line="220" w:lineRule="exact"/>
                    <w:jc w:val="center"/>
                  </w:pPr>
                  <w:r>
                    <w:rPr>
                      <w:rFonts w:hint="eastAsia"/>
                    </w:rPr>
                    <w:t>55</w:t>
                  </w:r>
                </w:p>
              </w:tc>
              <w:tc>
                <w:tcPr>
                  <w:tcW w:w="717" w:type="dxa"/>
                  <w:tcBorders>
                    <w:top w:val="single" w:color="auto" w:sz="4" w:space="0"/>
                    <w:left w:val="single" w:color="auto" w:sz="4" w:space="0"/>
                    <w:bottom w:val="single" w:color="auto" w:sz="4" w:space="0"/>
                    <w:right w:val="single" w:color="auto" w:sz="12" w:space="0"/>
                  </w:tcBorders>
                  <w:vAlign w:val="center"/>
                </w:tcPr>
                <w:p w14:paraId="520168FD">
                  <w:pPr>
                    <w:spacing w:line="220" w:lineRule="exact"/>
                    <w:jc w:val="center"/>
                  </w:pPr>
                  <w:r>
                    <w:rPr>
                      <w:rFonts w:hint="eastAsia"/>
                    </w:rPr>
                    <w:t>0.33</w:t>
                  </w:r>
                </w:p>
              </w:tc>
            </w:tr>
            <w:tr w14:paraId="2E9E7A5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716" w:type="dxa"/>
                  <w:tcBorders>
                    <w:top w:val="single" w:color="auto" w:sz="4" w:space="0"/>
                    <w:left w:val="single" w:color="auto" w:sz="12" w:space="0"/>
                    <w:bottom w:val="single" w:color="auto" w:sz="12" w:space="0"/>
                    <w:right w:val="single" w:color="auto" w:sz="4" w:space="0"/>
                  </w:tcBorders>
                  <w:vAlign w:val="center"/>
                </w:tcPr>
                <w:p w14:paraId="579D9B93">
                  <w:pPr>
                    <w:spacing w:line="220" w:lineRule="exact"/>
                    <w:jc w:val="center"/>
                  </w:pPr>
                  <w:r>
                    <w:rPr>
                      <w:lang w:val="zh-CN"/>
                    </w:rPr>
                    <w:t>合计</w:t>
                  </w:r>
                </w:p>
              </w:tc>
              <w:tc>
                <w:tcPr>
                  <w:tcW w:w="716" w:type="dxa"/>
                  <w:tcBorders>
                    <w:top w:val="single" w:color="auto" w:sz="4" w:space="0"/>
                    <w:left w:val="single" w:color="auto" w:sz="4" w:space="0"/>
                    <w:bottom w:val="single" w:color="auto" w:sz="12" w:space="0"/>
                    <w:right w:val="single" w:color="auto" w:sz="4" w:space="0"/>
                  </w:tcBorders>
                  <w:vAlign w:val="center"/>
                </w:tcPr>
                <w:p w14:paraId="5CACF784">
                  <w:pPr>
                    <w:spacing w:line="220" w:lineRule="exact"/>
                    <w:jc w:val="center"/>
                  </w:pPr>
                  <w:r>
                    <w:rPr>
                      <w:rFonts w:hint="eastAsia"/>
                    </w:rPr>
                    <w:t>1.6</w:t>
                  </w:r>
                </w:p>
              </w:tc>
              <w:tc>
                <w:tcPr>
                  <w:tcW w:w="716" w:type="dxa"/>
                  <w:tcBorders>
                    <w:top w:val="single" w:color="auto" w:sz="4" w:space="0"/>
                    <w:left w:val="single" w:color="auto" w:sz="4" w:space="0"/>
                    <w:bottom w:val="single" w:color="auto" w:sz="12" w:space="0"/>
                    <w:right w:val="single" w:color="auto" w:sz="4" w:space="0"/>
                  </w:tcBorders>
                  <w:vAlign w:val="center"/>
                </w:tcPr>
                <w:p w14:paraId="5B0B224E">
                  <w:pPr>
                    <w:spacing w:line="220" w:lineRule="exact"/>
                    <w:jc w:val="center"/>
                  </w:pPr>
                  <w:r>
                    <w:t>-</w:t>
                  </w:r>
                </w:p>
              </w:tc>
              <w:tc>
                <w:tcPr>
                  <w:tcW w:w="717" w:type="dxa"/>
                  <w:tcBorders>
                    <w:top w:val="single" w:color="auto" w:sz="4" w:space="0"/>
                    <w:left w:val="single" w:color="auto" w:sz="4" w:space="0"/>
                    <w:bottom w:val="single" w:color="auto" w:sz="12" w:space="0"/>
                    <w:right w:val="single" w:color="auto" w:sz="4" w:space="0"/>
                  </w:tcBorders>
                  <w:vAlign w:val="center"/>
                </w:tcPr>
                <w:p w14:paraId="3C499EA5">
                  <w:pPr>
                    <w:spacing w:line="220" w:lineRule="exact"/>
                    <w:jc w:val="center"/>
                  </w:pPr>
                  <w:r>
                    <w:rPr>
                      <w:rFonts w:hint="eastAsia"/>
                    </w:rPr>
                    <w:t>0.75</w:t>
                  </w:r>
                </w:p>
              </w:tc>
              <w:tc>
                <w:tcPr>
                  <w:tcW w:w="716" w:type="dxa"/>
                  <w:tcBorders>
                    <w:top w:val="single" w:color="auto" w:sz="4" w:space="0"/>
                    <w:left w:val="single" w:color="auto" w:sz="4" w:space="0"/>
                    <w:bottom w:val="single" w:color="auto" w:sz="12" w:space="0"/>
                    <w:right w:val="single" w:color="auto" w:sz="4" w:space="0"/>
                  </w:tcBorders>
                  <w:vAlign w:val="center"/>
                </w:tcPr>
                <w:p w14:paraId="25A68D26">
                  <w:pPr>
                    <w:spacing w:line="220" w:lineRule="exact"/>
                    <w:jc w:val="center"/>
                  </w:pPr>
                  <w:r>
                    <w:t>-</w:t>
                  </w:r>
                </w:p>
              </w:tc>
              <w:tc>
                <w:tcPr>
                  <w:tcW w:w="717" w:type="dxa"/>
                  <w:tcBorders>
                    <w:top w:val="single" w:color="auto" w:sz="4" w:space="0"/>
                    <w:left w:val="single" w:color="auto" w:sz="4" w:space="0"/>
                    <w:bottom w:val="single" w:color="auto" w:sz="12" w:space="0"/>
                    <w:right w:val="single" w:color="auto" w:sz="4" w:space="0"/>
                  </w:tcBorders>
                  <w:vAlign w:val="center"/>
                </w:tcPr>
                <w:p w14:paraId="16FCEBA1">
                  <w:pPr>
                    <w:spacing w:line="220" w:lineRule="exact"/>
                    <w:jc w:val="center"/>
                  </w:pPr>
                  <w:r>
                    <w:rPr>
                      <w:rFonts w:hint="eastAsia"/>
                    </w:rPr>
                    <w:t>0.85</w:t>
                  </w:r>
                </w:p>
              </w:tc>
              <w:tc>
                <w:tcPr>
                  <w:tcW w:w="717" w:type="dxa"/>
                  <w:tcBorders>
                    <w:top w:val="single" w:color="auto" w:sz="4" w:space="0"/>
                    <w:left w:val="single" w:color="auto" w:sz="4" w:space="0"/>
                    <w:bottom w:val="single" w:color="auto" w:sz="12" w:space="0"/>
                    <w:right w:val="single" w:color="auto" w:sz="4" w:space="0"/>
                  </w:tcBorders>
                  <w:vAlign w:val="center"/>
                </w:tcPr>
                <w:p w14:paraId="67C69CAB">
                  <w:pPr>
                    <w:spacing w:line="220" w:lineRule="exact"/>
                    <w:jc w:val="center"/>
                  </w:pPr>
                  <w:r>
                    <w:t>-</w:t>
                  </w:r>
                </w:p>
              </w:tc>
              <w:tc>
                <w:tcPr>
                  <w:tcW w:w="717" w:type="dxa"/>
                  <w:tcBorders>
                    <w:top w:val="single" w:color="auto" w:sz="4" w:space="0"/>
                    <w:left w:val="single" w:color="auto" w:sz="4" w:space="0"/>
                    <w:bottom w:val="single" w:color="auto" w:sz="12" w:space="0"/>
                    <w:right w:val="single" w:color="auto" w:sz="4" w:space="0"/>
                  </w:tcBorders>
                  <w:vAlign w:val="center"/>
                </w:tcPr>
                <w:p w14:paraId="551B9206">
                  <w:pPr>
                    <w:spacing w:line="220" w:lineRule="exact"/>
                    <w:jc w:val="center"/>
                  </w:pPr>
                  <w:r>
                    <w:rPr>
                      <w:rFonts w:hint="eastAsia"/>
                    </w:rPr>
                    <w:t>0.1</w:t>
                  </w:r>
                </w:p>
              </w:tc>
              <w:tc>
                <w:tcPr>
                  <w:tcW w:w="718" w:type="dxa"/>
                  <w:tcBorders>
                    <w:top w:val="single" w:color="auto" w:sz="4" w:space="0"/>
                    <w:left w:val="single" w:color="auto" w:sz="4" w:space="0"/>
                    <w:bottom w:val="single" w:color="auto" w:sz="12" w:space="0"/>
                    <w:right w:val="single" w:color="auto" w:sz="4" w:space="0"/>
                  </w:tcBorders>
                  <w:vAlign w:val="center"/>
                </w:tcPr>
                <w:p w14:paraId="0BAA5DE9">
                  <w:pPr>
                    <w:spacing w:line="220" w:lineRule="exact"/>
                    <w:jc w:val="center"/>
                  </w:pPr>
                  <w:r>
                    <w:t>-</w:t>
                  </w:r>
                </w:p>
              </w:tc>
              <w:tc>
                <w:tcPr>
                  <w:tcW w:w="717" w:type="dxa"/>
                  <w:tcBorders>
                    <w:top w:val="single" w:color="auto" w:sz="4" w:space="0"/>
                    <w:left w:val="single" w:color="auto" w:sz="4" w:space="0"/>
                    <w:bottom w:val="single" w:color="auto" w:sz="12" w:space="0"/>
                    <w:right w:val="single" w:color="auto" w:sz="4" w:space="0"/>
                  </w:tcBorders>
                  <w:vAlign w:val="center"/>
                </w:tcPr>
                <w:p w14:paraId="6EECFB90">
                  <w:pPr>
                    <w:spacing w:line="220" w:lineRule="exact"/>
                    <w:jc w:val="center"/>
                  </w:pPr>
                  <w:r>
                    <w:rPr>
                      <w:rFonts w:hint="eastAsia"/>
                    </w:rPr>
                    <w:t>0.28</w:t>
                  </w:r>
                </w:p>
              </w:tc>
              <w:tc>
                <w:tcPr>
                  <w:tcW w:w="716" w:type="dxa"/>
                  <w:tcBorders>
                    <w:top w:val="single" w:color="auto" w:sz="4" w:space="0"/>
                    <w:left w:val="single" w:color="auto" w:sz="4" w:space="0"/>
                    <w:bottom w:val="single" w:color="auto" w:sz="12" w:space="0"/>
                    <w:right w:val="single" w:color="auto" w:sz="4" w:space="0"/>
                  </w:tcBorders>
                  <w:vAlign w:val="center"/>
                </w:tcPr>
                <w:p w14:paraId="2E0892AE">
                  <w:pPr>
                    <w:spacing w:line="220" w:lineRule="exact"/>
                    <w:jc w:val="center"/>
                  </w:pPr>
                  <w:r>
                    <w:t>-</w:t>
                  </w:r>
                </w:p>
              </w:tc>
              <w:tc>
                <w:tcPr>
                  <w:tcW w:w="717" w:type="dxa"/>
                  <w:tcBorders>
                    <w:top w:val="single" w:color="auto" w:sz="4" w:space="0"/>
                    <w:left w:val="single" w:color="auto" w:sz="4" w:space="0"/>
                    <w:bottom w:val="single" w:color="auto" w:sz="12" w:space="0"/>
                    <w:right w:val="single" w:color="auto" w:sz="12" w:space="0"/>
                  </w:tcBorders>
                  <w:vAlign w:val="center"/>
                </w:tcPr>
                <w:p w14:paraId="2B63EF0C">
                  <w:pPr>
                    <w:spacing w:line="220" w:lineRule="exact"/>
                    <w:jc w:val="center"/>
                  </w:pPr>
                  <w:r>
                    <w:rPr>
                      <w:rFonts w:hint="eastAsia"/>
                    </w:rPr>
                    <w:t>0.48</w:t>
                  </w:r>
                </w:p>
              </w:tc>
            </w:tr>
          </w:tbl>
          <w:p w14:paraId="68DCB066">
            <w:pPr>
              <w:spacing w:line="360" w:lineRule="auto"/>
              <w:ind w:firstLine="480" w:firstLineChars="200"/>
              <w:rPr>
                <w:sz w:val="24"/>
                <w:szCs w:val="24"/>
              </w:rPr>
            </w:pPr>
            <w:r>
              <w:rPr>
                <w:rFonts w:hint="eastAsia"/>
                <w:sz w:val="24"/>
                <w:szCs w:val="24"/>
                <w:lang w:val="zh-CN"/>
              </w:rPr>
              <w:t>综上，</w:t>
            </w:r>
            <w:r>
              <w:rPr>
                <w:sz w:val="24"/>
                <w:szCs w:val="24"/>
                <w:lang w:val="zh-CN"/>
              </w:rPr>
              <w:t>项目</w:t>
            </w:r>
            <w:r>
              <w:rPr>
                <w:rFonts w:hint="eastAsia" w:eastAsiaTheme="minorEastAsia"/>
                <w:sz w:val="24"/>
                <w:szCs w:val="24"/>
                <w:shd w:val="clear" w:color="auto" w:fill="FFFFFF"/>
              </w:rPr>
              <w:t>固化、</w:t>
            </w:r>
            <w:r>
              <w:rPr>
                <w:rFonts w:eastAsiaTheme="minorEastAsia"/>
                <w:sz w:val="24"/>
                <w:szCs w:val="24"/>
                <w:shd w:val="clear" w:color="auto" w:fill="FFFFFF"/>
              </w:rPr>
              <w:t>调漆、喷漆</w:t>
            </w:r>
            <w:r>
              <w:rPr>
                <w:rFonts w:hint="eastAsia" w:eastAsiaTheme="minorEastAsia"/>
                <w:sz w:val="24"/>
                <w:szCs w:val="24"/>
                <w:shd w:val="clear" w:color="auto" w:fill="FFFFFF"/>
              </w:rPr>
              <w:t>、</w:t>
            </w:r>
            <w:r>
              <w:rPr>
                <w:rFonts w:eastAsiaTheme="minorEastAsia"/>
                <w:sz w:val="24"/>
                <w:szCs w:val="24"/>
                <w:shd w:val="clear" w:color="auto" w:fill="FFFFFF"/>
              </w:rPr>
              <w:t>烘干、</w:t>
            </w:r>
            <w:r>
              <w:rPr>
                <w:rFonts w:hint="eastAsia" w:eastAsiaTheme="minorEastAsia"/>
                <w:sz w:val="24"/>
                <w:szCs w:val="24"/>
                <w:shd w:val="clear" w:color="auto" w:fill="FFFFFF"/>
              </w:rPr>
              <w:t>环氧、打标、注塑</w:t>
            </w:r>
            <w:r>
              <w:rPr>
                <w:rFonts w:hint="eastAsia" w:ascii="宋体" w:hAnsi="宋体" w:cs="宋体"/>
                <w:sz w:val="24"/>
                <w:szCs w:val="24"/>
                <w:shd w:val="clear" w:color="auto" w:fill="FFFFFF"/>
              </w:rPr>
              <w:t>等工序有机</w:t>
            </w:r>
            <w:r>
              <w:rPr>
                <w:rFonts w:hint="eastAsia"/>
                <w:sz w:val="24"/>
                <w:szCs w:val="24"/>
                <w:lang w:val="zh-CN"/>
              </w:rPr>
              <w:t>废气</w:t>
            </w:r>
            <w:r>
              <w:rPr>
                <w:sz w:val="24"/>
                <w:szCs w:val="24"/>
                <w:lang w:val="zh-CN"/>
              </w:rPr>
              <w:t>污染物产生量</w:t>
            </w:r>
            <w:r>
              <w:rPr>
                <w:rFonts w:hint="eastAsia"/>
                <w:sz w:val="24"/>
                <w:szCs w:val="24"/>
                <w:lang w:val="zh-CN"/>
              </w:rPr>
              <w:t>合计</w:t>
            </w:r>
            <w:r>
              <w:rPr>
                <w:sz w:val="24"/>
                <w:szCs w:val="24"/>
                <w:lang w:val="zh-CN"/>
              </w:rPr>
              <w:t>为</w:t>
            </w:r>
            <w:r>
              <w:rPr>
                <w:sz w:val="24"/>
                <w:szCs w:val="24"/>
              </w:rPr>
              <w:t>：</w:t>
            </w:r>
            <w:r>
              <w:rPr>
                <w:sz w:val="24"/>
                <w:szCs w:val="24"/>
                <w:lang w:val="zh-CN"/>
              </w:rPr>
              <w:t>二甲苯</w:t>
            </w:r>
            <w:r>
              <w:rPr>
                <w:rFonts w:hint="eastAsia"/>
                <w:sz w:val="24"/>
                <w:szCs w:val="24"/>
              </w:rPr>
              <w:t>0.28t</w:t>
            </w:r>
            <w:r>
              <w:rPr>
                <w:sz w:val="24"/>
                <w:szCs w:val="24"/>
              </w:rPr>
              <w:t>/a，VOCs</w:t>
            </w:r>
            <w:r>
              <w:rPr>
                <w:rFonts w:hint="eastAsia"/>
                <w:sz w:val="24"/>
                <w:szCs w:val="24"/>
              </w:rPr>
              <w:t>1.355</w:t>
            </w:r>
            <w:r>
              <w:rPr>
                <w:sz w:val="24"/>
                <w:szCs w:val="24"/>
              </w:rPr>
              <w:t>t/a</w:t>
            </w:r>
            <w:r>
              <w:rPr>
                <w:rFonts w:hint="eastAsia"/>
                <w:sz w:val="24"/>
                <w:szCs w:val="24"/>
              </w:rPr>
              <w:t>。</w:t>
            </w:r>
          </w:p>
          <w:p w14:paraId="47572DA8">
            <w:pPr>
              <w:spacing w:line="360" w:lineRule="auto"/>
              <w:ind w:firstLine="480" w:firstLineChars="200"/>
              <w:rPr>
                <w:rFonts w:eastAsiaTheme="minorEastAsia"/>
                <w:sz w:val="24"/>
                <w:szCs w:val="24"/>
                <w:lang w:val="zh-CN"/>
              </w:rPr>
            </w:pPr>
            <w:r>
              <w:rPr>
                <w:color w:val="FF0000"/>
                <w:sz w:val="24"/>
                <w:szCs w:val="24"/>
                <w:lang w:val="zh-CN"/>
              </w:rPr>
              <w:t>项目</w:t>
            </w:r>
            <w:r>
              <w:rPr>
                <w:rFonts w:hint="eastAsia" w:eastAsiaTheme="minorEastAsia"/>
                <w:color w:val="FF0000"/>
                <w:sz w:val="24"/>
                <w:szCs w:val="24"/>
                <w:shd w:val="clear" w:color="auto" w:fill="FFFFFF"/>
              </w:rPr>
              <w:t>固化、</w:t>
            </w:r>
            <w:r>
              <w:rPr>
                <w:rFonts w:eastAsiaTheme="minorEastAsia"/>
                <w:color w:val="FF0000"/>
                <w:sz w:val="24"/>
                <w:szCs w:val="24"/>
                <w:shd w:val="clear" w:color="auto" w:fill="FFFFFF"/>
              </w:rPr>
              <w:t>调漆、</w:t>
            </w:r>
            <w:r>
              <w:rPr>
                <w:rFonts w:hint="eastAsia" w:eastAsiaTheme="minorEastAsia"/>
                <w:color w:val="FF0000"/>
                <w:sz w:val="24"/>
                <w:szCs w:val="24"/>
                <w:shd w:val="clear" w:color="auto" w:fill="FFFFFF"/>
              </w:rPr>
              <w:t>拉漆、</w:t>
            </w:r>
            <w:r>
              <w:rPr>
                <w:rFonts w:eastAsiaTheme="minorEastAsia"/>
                <w:color w:val="FF0000"/>
                <w:sz w:val="24"/>
                <w:szCs w:val="24"/>
                <w:shd w:val="clear" w:color="auto" w:fill="FFFFFF"/>
              </w:rPr>
              <w:t>喷漆</w:t>
            </w:r>
            <w:r>
              <w:rPr>
                <w:rFonts w:hint="eastAsia" w:eastAsiaTheme="minorEastAsia"/>
                <w:color w:val="FF0000"/>
                <w:sz w:val="24"/>
                <w:szCs w:val="24"/>
                <w:shd w:val="clear" w:color="auto" w:fill="FFFFFF"/>
              </w:rPr>
              <w:t>、</w:t>
            </w:r>
            <w:r>
              <w:rPr>
                <w:rFonts w:eastAsiaTheme="minorEastAsia"/>
                <w:color w:val="FF0000"/>
                <w:sz w:val="24"/>
                <w:szCs w:val="24"/>
                <w:shd w:val="clear" w:color="auto" w:fill="FFFFFF"/>
              </w:rPr>
              <w:t>烘干</w:t>
            </w:r>
            <w:r>
              <w:rPr>
                <w:rFonts w:hint="eastAsia" w:ascii="宋体" w:hAnsi="宋体" w:cs="宋体"/>
                <w:color w:val="FF0000"/>
                <w:sz w:val="24"/>
                <w:szCs w:val="24"/>
                <w:shd w:val="clear" w:color="auto" w:fill="FFFFFF"/>
              </w:rPr>
              <w:t>等工序均设置在</w:t>
            </w:r>
            <w:r>
              <w:rPr>
                <w:rFonts w:hint="default" w:ascii="Times New Roman" w:hAnsi="Times New Roman" w:cs="Times New Roman"/>
                <w:color w:val="FF0000"/>
                <w:sz w:val="24"/>
                <w:szCs w:val="24"/>
                <w:shd w:val="clear" w:color="auto" w:fill="FFFFFF"/>
                <w:lang w:val="en-US" w:eastAsia="zh-CN"/>
              </w:rPr>
              <w:t>80m</w:t>
            </w:r>
            <w:r>
              <w:rPr>
                <w:rFonts w:hint="default" w:ascii="Times New Roman" w:hAnsi="Times New Roman" w:cs="Times New Roman"/>
                <w:color w:val="FF0000"/>
                <w:sz w:val="24"/>
                <w:szCs w:val="24"/>
                <w:shd w:val="clear" w:color="auto" w:fill="FFFFFF"/>
                <w:vertAlign w:val="superscript"/>
                <w:lang w:val="en-US" w:eastAsia="zh-CN"/>
              </w:rPr>
              <w:t>3</w:t>
            </w:r>
            <w:r>
              <w:rPr>
                <w:rFonts w:hint="eastAsia" w:ascii="Times New Roman" w:hAnsi="Times New Roman" w:cs="Times New Roman"/>
                <w:color w:val="FF0000"/>
                <w:sz w:val="24"/>
                <w:szCs w:val="24"/>
                <w:shd w:val="clear" w:color="auto" w:fill="FFFFFF"/>
                <w:vertAlign w:val="baseline"/>
                <w:lang w:val="en-US" w:eastAsia="zh-CN"/>
              </w:rPr>
              <w:t>的</w:t>
            </w:r>
            <w:r>
              <w:rPr>
                <w:rFonts w:hint="eastAsia" w:ascii="宋体" w:hAnsi="宋体" w:cs="宋体"/>
                <w:color w:val="FF0000"/>
                <w:sz w:val="24"/>
                <w:szCs w:val="24"/>
                <w:shd w:val="clear" w:color="auto" w:fill="FFFFFF"/>
                <w:lang w:eastAsia="zh-CN"/>
              </w:rPr>
              <w:t>喷漆车间，该车间为</w:t>
            </w:r>
            <w:r>
              <w:rPr>
                <w:rFonts w:hint="eastAsia"/>
                <w:color w:val="FF0000"/>
                <w:sz w:val="24"/>
                <w:szCs w:val="24"/>
              </w:rPr>
              <w:t>密闭空间，</w:t>
            </w:r>
            <w:r>
              <w:rPr>
                <w:rFonts w:hint="eastAsia"/>
                <w:color w:val="FF0000"/>
                <w:sz w:val="24"/>
                <w:szCs w:val="24"/>
                <w:lang w:eastAsia="zh-CN"/>
              </w:rPr>
              <w:t>环氧单独设置在</w:t>
            </w:r>
            <w:r>
              <w:rPr>
                <w:rFonts w:hint="eastAsia"/>
                <w:color w:val="FF0000"/>
                <w:sz w:val="24"/>
                <w:szCs w:val="24"/>
                <w:lang w:val="en-US" w:eastAsia="zh-CN"/>
              </w:rPr>
              <w:t>20m</w:t>
            </w:r>
            <w:r>
              <w:rPr>
                <w:rFonts w:hint="eastAsia"/>
                <w:color w:val="FF0000"/>
                <w:sz w:val="24"/>
                <w:szCs w:val="24"/>
                <w:vertAlign w:val="superscript"/>
                <w:lang w:val="en-US" w:eastAsia="zh-CN"/>
              </w:rPr>
              <w:t>3</w:t>
            </w:r>
            <w:r>
              <w:rPr>
                <w:rFonts w:hint="eastAsia"/>
                <w:color w:val="FF0000"/>
                <w:sz w:val="24"/>
                <w:szCs w:val="24"/>
                <w:lang w:val="en-US" w:eastAsia="zh-CN"/>
              </w:rPr>
              <w:t>的</w:t>
            </w:r>
            <w:r>
              <w:rPr>
                <w:rFonts w:hint="eastAsia"/>
                <w:color w:val="FF0000"/>
                <w:sz w:val="24"/>
                <w:szCs w:val="24"/>
                <w:lang w:eastAsia="zh-CN"/>
              </w:rPr>
              <w:t>密闭车间，</w:t>
            </w:r>
            <w:r>
              <w:rPr>
                <w:rFonts w:hint="eastAsia"/>
                <w:color w:val="FF0000"/>
                <w:sz w:val="24"/>
                <w:szCs w:val="24"/>
              </w:rPr>
              <w:t>含VOCs物料均采用密封存储，</w:t>
            </w:r>
            <w:r>
              <w:rPr>
                <w:rFonts w:hint="eastAsia"/>
                <w:color w:val="FF0000"/>
                <w:sz w:val="24"/>
                <w:szCs w:val="24"/>
                <w:lang w:eastAsia="zh-CN"/>
              </w:rPr>
              <w:t>各车间</w:t>
            </w:r>
            <w:r>
              <w:rPr>
                <w:rFonts w:hint="eastAsia"/>
                <w:color w:val="FF0000"/>
                <w:sz w:val="24"/>
                <w:szCs w:val="24"/>
              </w:rPr>
              <w:t>通过风机抽吸使车间出风量大于进风量，从而保持车间微负压状态。</w:t>
            </w:r>
            <w:r>
              <w:rPr>
                <w:rFonts w:eastAsiaTheme="minorEastAsia"/>
                <w:sz w:val="24"/>
                <w:szCs w:val="24"/>
              </w:rPr>
              <w:t>项目</w:t>
            </w:r>
            <w:r>
              <w:rPr>
                <w:rFonts w:hint="eastAsia" w:eastAsiaTheme="minorEastAsia"/>
                <w:sz w:val="24"/>
                <w:szCs w:val="24"/>
              </w:rPr>
              <w:t>喷漆过程产生的废气（含有机废气、漆雾）经水喷淋除漆雾后（处理效率80%），同</w:t>
            </w:r>
            <w:r>
              <w:rPr>
                <w:rFonts w:hint="eastAsia" w:eastAsiaTheme="minorEastAsia"/>
                <w:sz w:val="24"/>
                <w:szCs w:val="24"/>
                <w:shd w:val="clear" w:color="auto" w:fill="FFFFFF"/>
              </w:rPr>
              <w:t>固化、</w:t>
            </w:r>
            <w:r>
              <w:rPr>
                <w:rFonts w:eastAsiaTheme="minorEastAsia"/>
                <w:sz w:val="24"/>
                <w:szCs w:val="24"/>
                <w:shd w:val="clear" w:color="auto" w:fill="FFFFFF"/>
              </w:rPr>
              <w:t>调漆、</w:t>
            </w:r>
            <w:r>
              <w:rPr>
                <w:rFonts w:hint="eastAsia" w:eastAsiaTheme="minorEastAsia"/>
                <w:sz w:val="24"/>
                <w:szCs w:val="24"/>
                <w:shd w:val="clear" w:color="auto" w:fill="FFFFFF"/>
              </w:rPr>
              <w:t>拉漆、</w:t>
            </w:r>
            <w:r>
              <w:rPr>
                <w:rFonts w:eastAsiaTheme="minorEastAsia"/>
                <w:sz w:val="24"/>
                <w:szCs w:val="24"/>
                <w:shd w:val="clear" w:color="auto" w:fill="FFFFFF"/>
              </w:rPr>
              <w:t>烘干、</w:t>
            </w:r>
            <w:r>
              <w:rPr>
                <w:rFonts w:hint="eastAsia" w:eastAsiaTheme="minorEastAsia"/>
                <w:sz w:val="24"/>
                <w:szCs w:val="24"/>
                <w:shd w:val="clear" w:color="auto" w:fill="FFFFFF"/>
              </w:rPr>
              <w:t>环氧</w:t>
            </w:r>
            <w:r>
              <w:rPr>
                <w:rFonts w:hint="eastAsia" w:eastAsiaTheme="minorEastAsia"/>
                <w:sz w:val="24"/>
                <w:szCs w:val="24"/>
              </w:rPr>
              <w:t>等工序废气</w:t>
            </w:r>
            <w:r>
              <w:rPr>
                <w:rFonts w:eastAsiaTheme="minorEastAsia"/>
                <w:sz w:val="24"/>
                <w:szCs w:val="24"/>
              </w:rPr>
              <w:t>通过</w:t>
            </w:r>
            <w:r>
              <w:rPr>
                <w:rFonts w:eastAsiaTheme="minorEastAsia"/>
                <w:bCs/>
                <w:sz w:val="24"/>
                <w:szCs w:val="24"/>
              </w:rPr>
              <w:t>密闭</w:t>
            </w:r>
            <w:r>
              <w:rPr>
                <w:rFonts w:hint="eastAsia" w:eastAsiaTheme="minorEastAsia"/>
                <w:bCs/>
                <w:sz w:val="24"/>
                <w:szCs w:val="24"/>
              </w:rPr>
              <w:t>、</w:t>
            </w:r>
            <w:r>
              <w:rPr>
                <w:rFonts w:eastAsiaTheme="minorEastAsia"/>
                <w:bCs/>
                <w:sz w:val="24"/>
                <w:szCs w:val="24"/>
              </w:rPr>
              <w:t>负压收集系统收集（</w:t>
            </w:r>
            <w:r>
              <w:rPr>
                <w:rFonts w:hint="eastAsia"/>
                <w:sz w:val="24"/>
                <w:szCs w:val="24"/>
              </w:rPr>
              <w:t>正常作业时均为封闭作业，废气基本全收集，考虑到开关门运输物料时少量逸散，收集效率取95%</w:t>
            </w:r>
            <w:r>
              <w:rPr>
                <w:rFonts w:eastAsiaTheme="minorEastAsia"/>
                <w:bCs/>
                <w:sz w:val="24"/>
                <w:szCs w:val="24"/>
              </w:rPr>
              <w:t>）</w:t>
            </w:r>
            <w:r>
              <w:rPr>
                <w:rFonts w:hint="eastAsia" w:eastAsiaTheme="minorEastAsia"/>
                <w:bCs/>
                <w:sz w:val="24"/>
                <w:szCs w:val="24"/>
              </w:rPr>
              <w:t>并</w:t>
            </w:r>
            <w:r>
              <w:rPr>
                <w:sz w:val="24"/>
                <w:szCs w:val="24"/>
                <w:lang w:val="zh-CN"/>
              </w:rPr>
              <w:t>由风机引至</w:t>
            </w:r>
            <w:r>
              <w:rPr>
                <w:rFonts w:hint="eastAsia"/>
                <w:bCs/>
                <w:sz w:val="24"/>
                <w:szCs w:val="24"/>
              </w:rPr>
              <w:t>催化燃烧废气处理装置</w:t>
            </w:r>
            <w:r>
              <w:rPr>
                <w:sz w:val="24"/>
                <w:szCs w:val="24"/>
              </w:rPr>
              <w:t>（</w:t>
            </w:r>
            <w:r>
              <w:rPr>
                <w:rFonts w:hint="eastAsia"/>
                <w:sz w:val="24"/>
                <w:szCs w:val="24"/>
              </w:rPr>
              <w:t>根据环保设备厂家提供资料，废气</w:t>
            </w:r>
            <w:r>
              <w:rPr>
                <w:sz w:val="24"/>
                <w:szCs w:val="24"/>
              </w:rPr>
              <w:t>处理效率大于95%，</w:t>
            </w:r>
            <w:r>
              <w:rPr>
                <w:rFonts w:hint="eastAsia"/>
                <w:sz w:val="24"/>
                <w:szCs w:val="24"/>
              </w:rPr>
              <w:t>为保险起见，</w:t>
            </w:r>
            <w:r>
              <w:rPr>
                <w:sz w:val="24"/>
                <w:szCs w:val="24"/>
              </w:rPr>
              <w:t>本次评价按90%计）</w:t>
            </w:r>
            <w:r>
              <w:rPr>
                <w:sz w:val="24"/>
                <w:szCs w:val="24"/>
                <w:lang w:val="zh-CN"/>
              </w:rPr>
              <w:t>，经处理后通过15 m排气筒</w:t>
            </w:r>
            <w:r>
              <w:rPr>
                <w:rFonts w:hint="eastAsia"/>
                <w:sz w:val="24"/>
                <w:szCs w:val="24"/>
                <w:lang w:val="zh-CN"/>
              </w:rPr>
              <w:t>（</w:t>
            </w:r>
            <w:r>
              <w:rPr>
                <w:rFonts w:hint="eastAsia"/>
                <w:sz w:val="24"/>
                <w:szCs w:val="24"/>
              </w:rPr>
              <w:t>P1</w:t>
            </w:r>
            <w:r>
              <w:rPr>
                <w:rFonts w:hint="eastAsia"/>
                <w:sz w:val="24"/>
                <w:szCs w:val="24"/>
                <w:lang w:val="zh-CN"/>
              </w:rPr>
              <w:t>）</w:t>
            </w:r>
            <w:r>
              <w:rPr>
                <w:sz w:val="24"/>
                <w:szCs w:val="24"/>
                <w:lang w:val="zh-CN"/>
              </w:rPr>
              <w:t>排放</w:t>
            </w:r>
            <w:r>
              <w:rPr>
                <w:rFonts w:eastAsiaTheme="minorEastAsia"/>
                <w:sz w:val="24"/>
                <w:szCs w:val="24"/>
                <w:lang w:val="zh-CN"/>
              </w:rPr>
              <w:t>。</w:t>
            </w:r>
          </w:p>
          <w:p w14:paraId="356A1CDF">
            <w:pPr>
              <w:spacing w:line="360" w:lineRule="auto"/>
              <w:ind w:firstLine="480" w:firstLineChars="200"/>
              <w:rPr>
                <w:sz w:val="24"/>
                <w:szCs w:val="24"/>
              </w:rPr>
            </w:pPr>
            <w:r>
              <w:rPr>
                <w:rFonts w:eastAsiaTheme="minorEastAsia"/>
                <w:sz w:val="24"/>
                <w:szCs w:val="24"/>
              </w:rPr>
              <w:t>项目废气处理设施运行时间按8 h/d，即2400 h/a计，设计排风量</w:t>
            </w:r>
            <w:r>
              <w:rPr>
                <w:rFonts w:hint="eastAsia" w:eastAsiaTheme="minorEastAsia"/>
                <w:sz w:val="24"/>
                <w:szCs w:val="24"/>
              </w:rPr>
              <w:t>95</w:t>
            </w:r>
            <w:r>
              <w:rPr>
                <w:rFonts w:eastAsiaTheme="minorEastAsia"/>
                <w:sz w:val="24"/>
                <w:szCs w:val="24"/>
              </w:rPr>
              <w:t>00m</w:t>
            </w:r>
            <w:r>
              <w:rPr>
                <w:rFonts w:eastAsiaTheme="minorEastAsia"/>
                <w:sz w:val="24"/>
                <w:szCs w:val="24"/>
                <w:vertAlign w:val="superscript"/>
              </w:rPr>
              <w:t>3</w:t>
            </w:r>
            <w:r>
              <w:rPr>
                <w:rFonts w:eastAsiaTheme="minorEastAsia"/>
                <w:sz w:val="24"/>
                <w:szCs w:val="24"/>
              </w:rPr>
              <w:t>/h。</w:t>
            </w:r>
            <w:r>
              <w:rPr>
                <w:rFonts w:eastAsiaTheme="minorEastAsia"/>
                <w:sz w:val="24"/>
                <w:szCs w:val="24"/>
                <w:lang w:val="zh-CN"/>
              </w:rPr>
              <w:t>经计算，</w:t>
            </w:r>
            <w:r>
              <w:rPr>
                <w:sz w:val="24"/>
                <w:szCs w:val="24"/>
              </w:rPr>
              <w:t>项目有机废气VOCs有组织</w:t>
            </w:r>
            <w:r>
              <w:rPr>
                <w:rFonts w:hint="eastAsia"/>
                <w:sz w:val="24"/>
                <w:szCs w:val="24"/>
              </w:rPr>
              <w:t>产生</w:t>
            </w:r>
            <w:r>
              <w:rPr>
                <w:sz w:val="24"/>
                <w:szCs w:val="24"/>
              </w:rPr>
              <w:t>量为</w:t>
            </w:r>
            <w:r>
              <w:rPr>
                <w:rFonts w:hint="eastAsia"/>
                <w:sz w:val="24"/>
                <w:szCs w:val="24"/>
              </w:rPr>
              <w:t>1.287t</w:t>
            </w:r>
            <w:r>
              <w:rPr>
                <w:sz w:val="24"/>
                <w:szCs w:val="24"/>
              </w:rPr>
              <w:t>/a（其中二甲苯为</w:t>
            </w:r>
            <w:r>
              <w:rPr>
                <w:rFonts w:hint="eastAsia"/>
                <w:sz w:val="24"/>
                <w:szCs w:val="24"/>
              </w:rPr>
              <w:t>0.266t</w:t>
            </w:r>
            <w:r>
              <w:rPr>
                <w:sz w:val="24"/>
                <w:szCs w:val="24"/>
              </w:rPr>
              <w:t>/a），产生浓度为</w:t>
            </w:r>
            <w:r>
              <w:rPr>
                <w:rFonts w:hint="eastAsia"/>
                <w:sz w:val="24"/>
                <w:szCs w:val="24"/>
              </w:rPr>
              <w:t>56.45</w:t>
            </w:r>
            <w:r>
              <w:rPr>
                <w:sz w:val="24"/>
                <w:szCs w:val="24"/>
              </w:rPr>
              <w:t>mg/m</w:t>
            </w:r>
            <w:r>
              <w:rPr>
                <w:sz w:val="24"/>
                <w:szCs w:val="24"/>
                <w:vertAlign w:val="superscript"/>
              </w:rPr>
              <w:t>3</w:t>
            </w:r>
            <w:r>
              <w:rPr>
                <w:sz w:val="24"/>
                <w:szCs w:val="24"/>
              </w:rPr>
              <w:t>（其中二甲苯为</w:t>
            </w:r>
            <w:r>
              <w:rPr>
                <w:rFonts w:hint="eastAsia"/>
                <w:sz w:val="24"/>
                <w:szCs w:val="24"/>
              </w:rPr>
              <w:t>11.67</w:t>
            </w:r>
            <w:r>
              <w:rPr>
                <w:sz w:val="24"/>
                <w:szCs w:val="24"/>
              </w:rPr>
              <w:t>mg/m</w:t>
            </w:r>
            <w:r>
              <w:rPr>
                <w:sz w:val="24"/>
                <w:szCs w:val="24"/>
                <w:vertAlign w:val="superscript"/>
              </w:rPr>
              <w:t>3</w:t>
            </w:r>
            <w:r>
              <w:rPr>
                <w:sz w:val="24"/>
                <w:szCs w:val="24"/>
              </w:rPr>
              <w:t>）</w:t>
            </w:r>
            <w:r>
              <w:rPr>
                <w:rFonts w:hint="eastAsia"/>
                <w:sz w:val="24"/>
                <w:szCs w:val="24"/>
              </w:rPr>
              <w:t>；</w:t>
            </w:r>
            <w:r>
              <w:rPr>
                <w:sz w:val="24"/>
                <w:szCs w:val="24"/>
              </w:rPr>
              <w:t>有机废气VOCs</w:t>
            </w:r>
            <w:r>
              <w:rPr>
                <w:rFonts w:hint="eastAsia"/>
                <w:sz w:val="24"/>
                <w:szCs w:val="24"/>
              </w:rPr>
              <w:t>有组织</w:t>
            </w:r>
            <w:r>
              <w:rPr>
                <w:sz w:val="24"/>
                <w:szCs w:val="24"/>
              </w:rPr>
              <w:t>排放量为</w:t>
            </w:r>
            <w:r>
              <w:rPr>
                <w:rFonts w:hint="eastAsia"/>
                <w:sz w:val="24"/>
                <w:szCs w:val="24"/>
              </w:rPr>
              <w:t>0.129</w:t>
            </w:r>
            <w:r>
              <w:rPr>
                <w:sz w:val="24"/>
                <w:szCs w:val="24"/>
              </w:rPr>
              <w:t>t/a（其中二甲苯为</w:t>
            </w:r>
            <w:r>
              <w:rPr>
                <w:rFonts w:hint="eastAsia"/>
                <w:sz w:val="24"/>
                <w:szCs w:val="24"/>
              </w:rPr>
              <w:t>0.027</w:t>
            </w:r>
            <w:r>
              <w:rPr>
                <w:sz w:val="24"/>
                <w:szCs w:val="24"/>
              </w:rPr>
              <w:t>t/a），排放浓度为</w:t>
            </w:r>
            <w:r>
              <w:rPr>
                <w:rFonts w:hint="eastAsia"/>
                <w:sz w:val="24"/>
                <w:szCs w:val="24"/>
              </w:rPr>
              <w:t>5.66</w:t>
            </w:r>
            <w:r>
              <w:rPr>
                <w:sz w:val="24"/>
                <w:szCs w:val="24"/>
              </w:rPr>
              <w:t>mg/m</w:t>
            </w:r>
            <w:r>
              <w:rPr>
                <w:sz w:val="24"/>
                <w:szCs w:val="24"/>
                <w:vertAlign w:val="superscript"/>
              </w:rPr>
              <w:t>3</w:t>
            </w:r>
            <w:r>
              <w:rPr>
                <w:sz w:val="24"/>
                <w:szCs w:val="24"/>
              </w:rPr>
              <w:t>（其中二甲苯为</w:t>
            </w:r>
            <w:r>
              <w:rPr>
                <w:rFonts w:hint="eastAsia"/>
                <w:sz w:val="24"/>
                <w:szCs w:val="24"/>
              </w:rPr>
              <w:t>1.18</w:t>
            </w:r>
            <w:r>
              <w:rPr>
                <w:sz w:val="24"/>
                <w:szCs w:val="24"/>
              </w:rPr>
              <w:t>mg/m</w:t>
            </w:r>
            <w:r>
              <w:rPr>
                <w:sz w:val="24"/>
                <w:szCs w:val="24"/>
                <w:vertAlign w:val="superscript"/>
              </w:rPr>
              <w:t>3</w:t>
            </w:r>
            <w:r>
              <w:rPr>
                <w:sz w:val="24"/>
                <w:szCs w:val="24"/>
              </w:rPr>
              <w:t>），排放速率为</w:t>
            </w:r>
            <w:r>
              <w:rPr>
                <w:rFonts w:hint="eastAsia"/>
                <w:sz w:val="24"/>
                <w:szCs w:val="24"/>
              </w:rPr>
              <w:t>0.054</w:t>
            </w:r>
            <w:r>
              <w:rPr>
                <w:sz w:val="24"/>
                <w:szCs w:val="24"/>
              </w:rPr>
              <w:t>kg/h（其中二甲苯为</w:t>
            </w:r>
            <w:r>
              <w:rPr>
                <w:rFonts w:hint="eastAsia"/>
                <w:sz w:val="24"/>
                <w:szCs w:val="24"/>
              </w:rPr>
              <w:t>0.011</w:t>
            </w:r>
            <w:r>
              <w:rPr>
                <w:sz w:val="24"/>
                <w:szCs w:val="24"/>
              </w:rPr>
              <w:t>kg/h）</w:t>
            </w:r>
            <w:r>
              <w:rPr>
                <w:rFonts w:hint="eastAsia"/>
                <w:sz w:val="24"/>
                <w:szCs w:val="24"/>
              </w:rPr>
              <w:t>，VOCs、二甲苯排放速率和排放浓度均</w:t>
            </w:r>
            <w:r>
              <w:rPr>
                <w:sz w:val="24"/>
                <w:szCs w:val="24"/>
              </w:rPr>
              <w:t>能够满足</w:t>
            </w:r>
            <w:r>
              <w:rPr>
                <w:sz w:val="24"/>
              </w:rPr>
              <w:t>《挥发性有机物排放标准第5部分</w:t>
            </w:r>
            <w:r>
              <w:rPr>
                <w:sz w:val="24"/>
                <w:szCs w:val="24"/>
              </w:rPr>
              <w:t>：表面涂装行业》</w:t>
            </w:r>
            <w:r>
              <w:rPr>
                <w:sz w:val="24"/>
              </w:rPr>
              <w:t>（DB37/2801.5-2018）表2标准（二甲苯浓度限值15mg/m</w:t>
            </w:r>
            <w:r>
              <w:rPr>
                <w:sz w:val="24"/>
                <w:vertAlign w:val="superscript"/>
              </w:rPr>
              <w:t>3</w:t>
            </w:r>
            <w:r>
              <w:rPr>
                <w:sz w:val="24"/>
              </w:rPr>
              <w:t>、速率限值0.8kg/h；VOCs浓度限值70mg/m</w:t>
            </w:r>
            <w:r>
              <w:rPr>
                <w:sz w:val="24"/>
                <w:vertAlign w:val="superscript"/>
              </w:rPr>
              <w:t>3</w:t>
            </w:r>
            <w:r>
              <w:rPr>
                <w:sz w:val="24"/>
              </w:rPr>
              <w:t>、速率限值2.4kg/h）</w:t>
            </w:r>
            <w:r>
              <w:rPr>
                <w:rFonts w:hint="eastAsia"/>
                <w:sz w:val="24"/>
                <w:szCs w:val="24"/>
              </w:rPr>
              <w:t>。</w:t>
            </w:r>
          </w:p>
          <w:p w14:paraId="60AA1F78">
            <w:pPr>
              <w:spacing w:line="360" w:lineRule="auto"/>
              <w:ind w:firstLine="482" w:firstLineChars="200"/>
              <w:jc w:val="left"/>
              <w:rPr>
                <w:b/>
                <w:bCs/>
                <w:sz w:val="24"/>
                <w:szCs w:val="24"/>
              </w:rPr>
            </w:pPr>
            <w:r>
              <w:rPr>
                <w:rFonts w:hint="eastAsia"/>
                <w:b/>
                <w:bCs/>
                <w:sz w:val="24"/>
                <w:szCs w:val="24"/>
              </w:rPr>
              <w:t>P2排气筒（粉尘：颗粒物）</w:t>
            </w:r>
          </w:p>
          <w:p w14:paraId="4E0AC769">
            <w:pPr>
              <w:pStyle w:val="37"/>
              <w:spacing w:line="360" w:lineRule="auto"/>
              <w:ind w:firstLine="480"/>
              <w:rPr>
                <w:rFonts w:eastAsiaTheme="minorEastAsia"/>
                <w:sz w:val="24"/>
                <w:szCs w:val="24"/>
              </w:rPr>
            </w:pPr>
            <w:r>
              <w:rPr>
                <w:rFonts w:eastAsiaTheme="minorEastAsia"/>
                <w:sz w:val="24"/>
                <w:szCs w:val="24"/>
              </w:rPr>
              <w:t>项目</w:t>
            </w:r>
            <w:r>
              <w:rPr>
                <w:rFonts w:hint="eastAsia" w:eastAsiaTheme="minorEastAsia"/>
                <w:sz w:val="24"/>
                <w:szCs w:val="24"/>
              </w:rPr>
              <w:t>EVA半成品</w:t>
            </w:r>
            <w:r>
              <w:rPr>
                <w:rFonts w:eastAsiaTheme="minorEastAsia"/>
                <w:sz w:val="24"/>
                <w:szCs w:val="24"/>
              </w:rPr>
              <w:t>加工过程</w:t>
            </w:r>
            <w:r>
              <w:rPr>
                <w:rFonts w:hint="eastAsia" w:eastAsiaTheme="minorEastAsia"/>
                <w:sz w:val="24"/>
                <w:szCs w:val="24"/>
              </w:rPr>
              <w:t>抛光</w:t>
            </w:r>
            <w:r>
              <w:rPr>
                <w:rFonts w:eastAsiaTheme="minorEastAsia"/>
                <w:sz w:val="24"/>
                <w:szCs w:val="24"/>
              </w:rPr>
              <w:t>工序会产生少量</w:t>
            </w:r>
            <w:r>
              <w:rPr>
                <w:rFonts w:hint="eastAsia" w:eastAsiaTheme="minorEastAsia"/>
                <w:sz w:val="24"/>
                <w:szCs w:val="24"/>
              </w:rPr>
              <w:t>抛光</w:t>
            </w:r>
            <w:r>
              <w:rPr>
                <w:rFonts w:eastAsiaTheme="minorEastAsia"/>
                <w:sz w:val="24"/>
                <w:szCs w:val="24"/>
              </w:rPr>
              <w:t>粉尘，主要污染物为颗粒物。参照《第二次全国污染源普查产排污系数手册》C33-C37行业核算环节中“打磨工艺产污系数：颗粒物2.19kg/t-原料”，本项目</w:t>
            </w:r>
            <w:r>
              <w:rPr>
                <w:rFonts w:hint="eastAsia" w:eastAsiaTheme="minorEastAsia"/>
                <w:sz w:val="24"/>
                <w:szCs w:val="24"/>
              </w:rPr>
              <w:t>抛光</w:t>
            </w:r>
            <w:r>
              <w:rPr>
                <w:rFonts w:eastAsiaTheme="minorEastAsia"/>
                <w:sz w:val="24"/>
                <w:szCs w:val="24"/>
              </w:rPr>
              <w:t>加工过程</w:t>
            </w:r>
            <w:r>
              <w:rPr>
                <w:rFonts w:hint="eastAsia" w:eastAsiaTheme="minorEastAsia"/>
                <w:sz w:val="24"/>
                <w:szCs w:val="24"/>
              </w:rPr>
              <w:t>EVA半成品</w:t>
            </w:r>
            <w:r>
              <w:rPr>
                <w:rFonts w:eastAsiaTheme="minorEastAsia"/>
                <w:sz w:val="24"/>
                <w:szCs w:val="24"/>
              </w:rPr>
              <w:t>用量约为</w:t>
            </w:r>
            <w:r>
              <w:rPr>
                <w:rFonts w:hint="eastAsia" w:eastAsiaTheme="minorEastAsia"/>
                <w:sz w:val="24"/>
                <w:szCs w:val="24"/>
              </w:rPr>
              <w:t>4</w:t>
            </w:r>
            <w:r>
              <w:rPr>
                <w:rFonts w:eastAsiaTheme="minorEastAsia"/>
                <w:sz w:val="24"/>
                <w:szCs w:val="24"/>
              </w:rPr>
              <w:t>0t/a，经计算，</w:t>
            </w:r>
            <w:r>
              <w:rPr>
                <w:rFonts w:hint="eastAsia" w:eastAsiaTheme="minorEastAsia"/>
                <w:sz w:val="24"/>
                <w:szCs w:val="24"/>
              </w:rPr>
              <w:t>抛光</w:t>
            </w:r>
            <w:r>
              <w:rPr>
                <w:rFonts w:eastAsiaTheme="minorEastAsia"/>
                <w:sz w:val="24"/>
                <w:szCs w:val="24"/>
              </w:rPr>
              <w:t>粉尘产生量为0.09t/a。</w:t>
            </w:r>
          </w:p>
          <w:p w14:paraId="00BC317B">
            <w:pPr>
              <w:pStyle w:val="37"/>
              <w:spacing w:line="360" w:lineRule="auto"/>
              <w:ind w:firstLine="480"/>
              <w:rPr>
                <w:rFonts w:eastAsiaTheme="minorEastAsia"/>
                <w:sz w:val="24"/>
                <w:szCs w:val="24"/>
              </w:rPr>
            </w:pPr>
            <w:r>
              <w:rPr>
                <w:rFonts w:hint="eastAsia" w:eastAsiaTheme="minorEastAsia"/>
                <w:sz w:val="24"/>
                <w:szCs w:val="24"/>
              </w:rPr>
              <w:t>抛光</w:t>
            </w:r>
            <w:r>
              <w:rPr>
                <w:rFonts w:eastAsiaTheme="minorEastAsia"/>
                <w:sz w:val="24"/>
                <w:szCs w:val="24"/>
              </w:rPr>
              <w:t>工序产生的粉尘经集气罩集中收集（收集率取90%）经布袋除尘器（设计处理效率95%以上）处理后，由密封管道通过15m排气筒（P</w:t>
            </w:r>
            <w:r>
              <w:rPr>
                <w:rFonts w:hint="eastAsia" w:eastAsiaTheme="minorEastAsia"/>
                <w:sz w:val="24"/>
                <w:szCs w:val="24"/>
              </w:rPr>
              <w:t>2</w:t>
            </w:r>
            <w:r>
              <w:rPr>
                <w:rFonts w:eastAsiaTheme="minorEastAsia"/>
                <w:sz w:val="24"/>
                <w:szCs w:val="24"/>
              </w:rPr>
              <w:t>）排放。项目布袋除尘器运行时间按8 h/d，即2400 h/a计，设计风量5</w:t>
            </w:r>
            <w:r>
              <w:rPr>
                <w:rFonts w:hint="eastAsia" w:eastAsiaTheme="minorEastAsia"/>
                <w:sz w:val="24"/>
                <w:szCs w:val="24"/>
              </w:rPr>
              <w:t>5</w:t>
            </w:r>
            <w:r>
              <w:rPr>
                <w:rFonts w:eastAsiaTheme="minorEastAsia"/>
                <w:sz w:val="24"/>
                <w:szCs w:val="24"/>
              </w:rPr>
              <w:t>00m</w:t>
            </w:r>
            <w:r>
              <w:rPr>
                <w:rFonts w:eastAsiaTheme="minorEastAsia"/>
                <w:sz w:val="24"/>
                <w:szCs w:val="24"/>
                <w:vertAlign w:val="superscript"/>
              </w:rPr>
              <w:t>3</w:t>
            </w:r>
            <w:r>
              <w:rPr>
                <w:rFonts w:eastAsiaTheme="minorEastAsia"/>
                <w:sz w:val="24"/>
                <w:szCs w:val="24"/>
              </w:rPr>
              <w:t>/h。经计算，颗粒物有组织产生量为0.</w:t>
            </w:r>
            <w:r>
              <w:rPr>
                <w:rFonts w:hint="eastAsia" w:eastAsiaTheme="minorEastAsia"/>
                <w:sz w:val="24"/>
                <w:szCs w:val="24"/>
              </w:rPr>
              <w:t>081</w:t>
            </w:r>
            <w:r>
              <w:rPr>
                <w:rFonts w:eastAsiaTheme="minorEastAsia"/>
                <w:sz w:val="24"/>
                <w:szCs w:val="24"/>
              </w:rPr>
              <w:t>t/a，产生浓度为</w:t>
            </w:r>
            <w:r>
              <w:rPr>
                <w:rFonts w:hint="eastAsia" w:eastAsiaTheme="minorEastAsia"/>
                <w:sz w:val="24"/>
                <w:szCs w:val="24"/>
              </w:rPr>
              <w:t>6.14</w:t>
            </w:r>
            <w:r>
              <w:rPr>
                <w:rFonts w:eastAsiaTheme="minorEastAsia"/>
                <w:sz w:val="24"/>
                <w:szCs w:val="24"/>
              </w:rPr>
              <w:t>mg/</w:t>
            </w:r>
            <w:r>
              <w:rPr>
                <w:rFonts w:hint="eastAsia" w:eastAsiaTheme="minorEastAsia"/>
                <w:sz w:val="24"/>
                <w:szCs w:val="24"/>
              </w:rPr>
              <w:t>m</w:t>
            </w:r>
            <w:r>
              <w:rPr>
                <w:rFonts w:hint="eastAsia" w:eastAsiaTheme="minorEastAsia"/>
                <w:sz w:val="24"/>
                <w:szCs w:val="24"/>
                <w:vertAlign w:val="superscript"/>
              </w:rPr>
              <w:t>3</w:t>
            </w:r>
            <w:r>
              <w:rPr>
                <w:rFonts w:eastAsiaTheme="minorEastAsia"/>
                <w:sz w:val="24"/>
                <w:szCs w:val="24"/>
              </w:rPr>
              <w:t>；颗粒物有组织排放量为0.00</w:t>
            </w:r>
            <w:r>
              <w:rPr>
                <w:rFonts w:hint="eastAsia" w:eastAsiaTheme="minorEastAsia"/>
                <w:sz w:val="24"/>
                <w:szCs w:val="24"/>
              </w:rPr>
              <w:t>4</w:t>
            </w:r>
            <w:r>
              <w:rPr>
                <w:rFonts w:eastAsiaTheme="minorEastAsia"/>
                <w:sz w:val="24"/>
                <w:szCs w:val="24"/>
              </w:rPr>
              <w:t>t/a，排放浓度为0.</w:t>
            </w:r>
            <w:r>
              <w:rPr>
                <w:rFonts w:hint="eastAsia" w:eastAsiaTheme="minorEastAsia"/>
                <w:sz w:val="24"/>
                <w:szCs w:val="24"/>
              </w:rPr>
              <w:t>3</w:t>
            </w:r>
            <w:r>
              <w:rPr>
                <w:rFonts w:eastAsiaTheme="minorEastAsia"/>
                <w:sz w:val="24"/>
                <w:szCs w:val="24"/>
              </w:rPr>
              <w:t>mg/</w:t>
            </w:r>
            <w:r>
              <w:rPr>
                <w:rFonts w:hint="eastAsia" w:eastAsiaTheme="minorEastAsia"/>
                <w:sz w:val="24"/>
                <w:szCs w:val="24"/>
              </w:rPr>
              <w:t>m</w:t>
            </w:r>
            <w:r>
              <w:rPr>
                <w:rFonts w:hint="eastAsia" w:eastAsiaTheme="minorEastAsia"/>
                <w:sz w:val="24"/>
                <w:szCs w:val="24"/>
                <w:vertAlign w:val="superscript"/>
              </w:rPr>
              <w:t>3</w:t>
            </w:r>
            <w:r>
              <w:rPr>
                <w:rFonts w:eastAsiaTheme="minorEastAsia"/>
                <w:sz w:val="24"/>
                <w:szCs w:val="24"/>
              </w:rPr>
              <w:t>，排放速率为0.00</w:t>
            </w:r>
            <w:r>
              <w:rPr>
                <w:rFonts w:hint="eastAsia" w:eastAsiaTheme="minorEastAsia"/>
                <w:sz w:val="24"/>
                <w:szCs w:val="24"/>
              </w:rPr>
              <w:t>2</w:t>
            </w:r>
            <w:r>
              <w:rPr>
                <w:rFonts w:eastAsiaTheme="minorEastAsia"/>
                <w:sz w:val="24"/>
                <w:szCs w:val="24"/>
              </w:rPr>
              <w:t>kg/h，颗粒物排放速率和排放浓度均能够满足《山东省区域性大气污染物综合排放标准》（DB37/2376-2019）表1一般控制区浓度限值（颗粒物≦20mg/</w:t>
            </w:r>
            <w:r>
              <w:rPr>
                <w:rFonts w:hint="eastAsia" w:eastAsiaTheme="minorEastAsia"/>
                <w:sz w:val="24"/>
                <w:szCs w:val="24"/>
              </w:rPr>
              <w:t>m</w:t>
            </w:r>
            <w:r>
              <w:rPr>
                <w:rFonts w:hint="eastAsia" w:eastAsiaTheme="minorEastAsia"/>
                <w:sz w:val="24"/>
                <w:szCs w:val="24"/>
                <w:vertAlign w:val="superscript"/>
              </w:rPr>
              <w:t>3</w:t>
            </w:r>
            <w:r>
              <w:rPr>
                <w:rFonts w:eastAsiaTheme="minorEastAsia"/>
                <w:sz w:val="24"/>
                <w:szCs w:val="24"/>
              </w:rPr>
              <w:t>）及《大气污染物综合排放标准》（GB16297-1996）表2二级标准（颗粒物最高允许排放速率≦3.5kg/h）要求。</w:t>
            </w:r>
          </w:p>
          <w:p w14:paraId="5D93DFA4">
            <w:pPr>
              <w:spacing w:line="360" w:lineRule="auto"/>
              <w:ind w:firstLine="482" w:firstLineChars="200"/>
              <w:jc w:val="left"/>
              <w:rPr>
                <w:b/>
                <w:bCs/>
                <w:sz w:val="24"/>
                <w:szCs w:val="24"/>
              </w:rPr>
            </w:pPr>
            <w:r>
              <w:rPr>
                <w:rFonts w:hint="eastAsia"/>
                <w:b/>
                <w:bCs/>
                <w:sz w:val="24"/>
                <w:szCs w:val="24"/>
              </w:rPr>
              <w:t>2、废气无组织源强分析</w:t>
            </w:r>
          </w:p>
          <w:p w14:paraId="591557E0">
            <w:pPr>
              <w:spacing w:line="360" w:lineRule="auto"/>
              <w:ind w:firstLine="480" w:firstLineChars="200"/>
              <w:jc w:val="left"/>
              <w:rPr>
                <w:sz w:val="24"/>
                <w:szCs w:val="24"/>
              </w:rPr>
            </w:pPr>
            <w:r>
              <w:rPr>
                <w:bCs/>
                <w:sz w:val="24"/>
                <w:szCs w:val="24"/>
              </w:rPr>
              <w:t>本</w:t>
            </w:r>
            <w:r>
              <w:rPr>
                <w:rFonts w:eastAsiaTheme="minorEastAsia"/>
                <w:sz w:val="24"/>
                <w:szCs w:val="24"/>
              </w:rPr>
              <w:t>项目</w:t>
            </w:r>
            <w:r>
              <w:rPr>
                <w:rFonts w:hint="eastAsia"/>
                <w:bCs/>
                <w:sz w:val="24"/>
                <w:szCs w:val="24"/>
              </w:rPr>
              <w:t>生产过程</w:t>
            </w:r>
            <w:r>
              <w:rPr>
                <w:rFonts w:hint="eastAsia"/>
                <w:sz w:val="24"/>
                <w:szCs w:val="24"/>
              </w:rPr>
              <w:t>产生的有机废气收集效率取95%，</w:t>
            </w:r>
            <w:r>
              <w:rPr>
                <w:sz w:val="24"/>
                <w:szCs w:val="24"/>
              </w:rPr>
              <w:t>剩余</w:t>
            </w:r>
            <w:r>
              <w:rPr>
                <w:rFonts w:hint="eastAsia"/>
                <w:sz w:val="24"/>
                <w:szCs w:val="24"/>
              </w:rPr>
              <w:t>5</w:t>
            </w:r>
            <w:r>
              <w:rPr>
                <w:sz w:val="24"/>
                <w:szCs w:val="24"/>
              </w:rPr>
              <w:t>%未收集有机废气无组织排放，</w:t>
            </w:r>
            <w:r>
              <w:rPr>
                <w:rFonts w:hint="eastAsia"/>
                <w:sz w:val="24"/>
                <w:szCs w:val="24"/>
              </w:rPr>
              <w:t>经计算，</w:t>
            </w:r>
            <w:r>
              <w:rPr>
                <w:sz w:val="24"/>
                <w:szCs w:val="24"/>
              </w:rPr>
              <w:t>VOCs无组织排放量为</w:t>
            </w:r>
            <w:r>
              <w:rPr>
                <w:rFonts w:hint="eastAsia"/>
                <w:sz w:val="24"/>
                <w:szCs w:val="24"/>
              </w:rPr>
              <w:t>0.068</w:t>
            </w:r>
            <w:r>
              <w:rPr>
                <w:sz w:val="24"/>
                <w:szCs w:val="24"/>
              </w:rPr>
              <w:t>t/a（其中二甲苯为</w:t>
            </w:r>
            <w:r>
              <w:rPr>
                <w:rFonts w:hint="eastAsia"/>
                <w:sz w:val="24"/>
                <w:szCs w:val="24"/>
              </w:rPr>
              <w:t>0.014</w:t>
            </w:r>
            <w:r>
              <w:rPr>
                <w:sz w:val="24"/>
                <w:szCs w:val="24"/>
              </w:rPr>
              <w:t>t/a）</w:t>
            </w:r>
            <w:r>
              <w:rPr>
                <w:rFonts w:hint="eastAsia"/>
                <w:sz w:val="24"/>
                <w:szCs w:val="24"/>
              </w:rPr>
              <w:t>，</w:t>
            </w:r>
            <w:r>
              <w:rPr>
                <w:sz w:val="24"/>
              </w:rPr>
              <w:t>无组织排放速率为</w:t>
            </w:r>
            <w:r>
              <w:rPr>
                <w:rFonts w:hint="eastAsia"/>
                <w:sz w:val="24"/>
              </w:rPr>
              <w:t>0.028</w:t>
            </w:r>
            <w:r>
              <w:rPr>
                <w:sz w:val="24"/>
              </w:rPr>
              <w:t>kg/h</w:t>
            </w:r>
            <w:r>
              <w:rPr>
                <w:rFonts w:hint="eastAsia"/>
                <w:sz w:val="24"/>
              </w:rPr>
              <w:t>（其中二甲苯为0.006kg/h）</w:t>
            </w:r>
            <w:r>
              <w:rPr>
                <w:rFonts w:hint="eastAsia"/>
                <w:sz w:val="24"/>
                <w:szCs w:val="24"/>
              </w:rPr>
              <w:t>。</w:t>
            </w:r>
          </w:p>
          <w:p w14:paraId="3530D45B">
            <w:pPr>
              <w:spacing w:line="360" w:lineRule="auto"/>
              <w:ind w:firstLine="480" w:firstLineChars="200"/>
              <w:jc w:val="left"/>
            </w:pPr>
            <w:r>
              <w:rPr>
                <w:rFonts w:eastAsiaTheme="minorEastAsia"/>
                <w:sz w:val="24"/>
                <w:szCs w:val="24"/>
              </w:rPr>
              <w:t>项目</w:t>
            </w:r>
            <w:r>
              <w:rPr>
                <w:rFonts w:hint="eastAsia"/>
                <w:bCs/>
                <w:sz w:val="24"/>
                <w:szCs w:val="24"/>
              </w:rPr>
              <w:t>抛光工序</w:t>
            </w:r>
            <w:r>
              <w:rPr>
                <w:rFonts w:hint="eastAsia"/>
                <w:sz w:val="24"/>
                <w:szCs w:val="24"/>
              </w:rPr>
              <w:t>产生的粉尘收集效率取90%，</w:t>
            </w:r>
            <w:r>
              <w:rPr>
                <w:sz w:val="24"/>
                <w:szCs w:val="24"/>
              </w:rPr>
              <w:t>剩余</w:t>
            </w:r>
            <w:r>
              <w:rPr>
                <w:rFonts w:hint="eastAsia"/>
                <w:sz w:val="24"/>
                <w:szCs w:val="24"/>
              </w:rPr>
              <w:t>10</w:t>
            </w:r>
            <w:r>
              <w:rPr>
                <w:sz w:val="24"/>
                <w:szCs w:val="24"/>
              </w:rPr>
              <w:t>%未收集</w:t>
            </w:r>
            <w:r>
              <w:rPr>
                <w:rFonts w:hint="eastAsia"/>
                <w:sz w:val="24"/>
                <w:szCs w:val="24"/>
              </w:rPr>
              <w:t>粉尘</w:t>
            </w:r>
            <w:r>
              <w:rPr>
                <w:sz w:val="24"/>
                <w:szCs w:val="24"/>
              </w:rPr>
              <w:t>无组织排放，</w:t>
            </w:r>
            <w:r>
              <w:rPr>
                <w:rFonts w:hint="eastAsia"/>
                <w:sz w:val="24"/>
                <w:szCs w:val="24"/>
              </w:rPr>
              <w:t>经计算，颗粒物</w:t>
            </w:r>
            <w:r>
              <w:rPr>
                <w:sz w:val="24"/>
                <w:szCs w:val="24"/>
              </w:rPr>
              <w:t>无组织排放量为</w:t>
            </w:r>
            <w:r>
              <w:rPr>
                <w:rFonts w:hint="eastAsia"/>
                <w:sz w:val="24"/>
                <w:szCs w:val="24"/>
              </w:rPr>
              <w:t>0.009</w:t>
            </w:r>
            <w:r>
              <w:rPr>
                <w:sz w:val="24"/>
                <w:szCs w:val="24"/>
              </w:rPr>
              <w:t>t/a</w:t>
            </w:r>
            <w:r>
              <w:rPr>
                <w:rFonts w:hint="eastAsia"/>
                <w:sz w:val="24"/>
                <w:szCs w:val="24"/>
              </w:rPr>
              <w:t>，</w:t>
            </w:r>
            <w:r>
              <w:rPr>
                <w:sz w:val="24"/>
              </w:rPr>
              <w:t>无组织排放速率为</w:t>
            </w:r>
            <w:r>
              <w:rPr>
                <w:rFonts w:hint="eastAsia"/>
                <w:sz w:val="24"/>
              </w:rPr>
              <w:t>0.004</w:t>
            </w:r>
            <w:r>
              <w:rPr>
                <w:sz w:val="24"/>
              </w:rPr>
              <w:t>kg/h</w:t>
            </w:r>
            <w:r>
              <w:rPr>
                <w:rFonts w:hint="eastAsia"/>
                <w:sz w:val="24"/>
              </w:rPr>
              <w:t>。</w:t>
            </w:r>
          </w:p>
          <w:p w14:paraId="2CD566A2">
            <w:pPr>
              <w:spacing w:line="360" w:lineRule="auto"/>
              <w:ind w:firstLine="480" w:firstLineChars="200"/>
              <w:jc w:val="left"/>
              <w:rPr>
                <w:rFonts w:eastAsiaTheme="minorEastAsia"/>
                <w:sz w:val="24"/>
                <w:szCs w:val="24"/>
              </w:rPr>
            </w:pPr>
            <w:r>
              <w:rPr>
                <w:rFonts w:hint="eastAsia"/>
                <w:sz w:val="24"/>
                <w:szCs w:val="24"/>
              </w:rPr>
              <w:t>本次环评</w:t>
            </w:r>
            <w:r>
              <w:rPr>
                <w:sz w:val="24"/>
                <w:szCs w:val="24"/>
              </w:rPr>
              <w:t>采用《环境影响评价技术导则 大气环境》（HJ2.2-2018）中推荐的AERSCREEN估算模式进行估算</w:t>
            </w:r>
            <w:r>
              <w:rPr>
                <w:rFonts w:hint="eastAsia"/>
                <w:sz w:val="24"/>
                <w:szCs w:val="24"/>
              </w:rPr>
              <w:t>，经预测</w:t>
            </w:r>
            <w:r>
              <w:rPr>
                <w:sz w:val="24"/>
                <w:szCs w:val="24"/>
              </w:rPr>
              <w:t>，厂区无组织排放的VOCs、二甲苯</w:t>
            </w:r>
            <w:r>
              <w:rPr>
                <w:rFonts w:hint="eastAsia"/>
                <w:sz w:val="24"/>
                <w:szCs w:val="24"/>
              </w:rPr>
              <w:t>、颗粒物</w:t>
            </w:r>
            <w:r>
              <w:rPr>
                <w:sz w:val="24"/>
                <w:szCs w:val="24"/>
              </w:rPr>
              <w:t>下风向轴线浓度最大值分别约为0.0</w:t>
            </w:r>
            <w:r>
              <w:rPr>
                <w:rFonts w:hint="eastAsia"/>
                <w:sz w:val="24"/>
                <w:szCs w:val="24"/>
              </w:rPr>
              <w:t>765</w:t>
            </w:r>
            <w:r>
              <w:rPr>
                <w:sz w:val="24"/>
                <w:szCs w:val="24"/>
              </w:rPr>
              <w:t>mg/m</w:t>
            </w:r>
            <w:r>
              <w:rPr>
                <w:sz w:val="24"/>
                <w:szCs w:val="24"/>
                <w:vertAlign w:val="superscript"/>
              </w:rPr>
              <w:t>3</w:t>
            </w:r>
            <w:r>
              <w:rPr>
                <w:sz w:val="24"/>
                <w:szCs w:val="24"/>
              </w:rPr>
              <w:t>、0.0</w:t>
            </w:r>
            <w:r>
              <w:rPr>
                <w:rFonts w:hint="eastAsia"/>
                <w:sz w:val="24"/>
                <w:szCs w:val="24"/>
              </w:rPr>
              <w:t>107</w:t>
            </w:r>
            <w:r>
              <w:rPr>
                <w:sz w:val="24"/>
                <w:szCs w:val="24"/>
              </w:rPr>
              <w:t>mg/m</w:t>
            </w:r>
            <w:r>
              <w:rPr>
                <w:sz w:val="24"/>
                <w:szCs w:val="24"/>
                <w:vertAlign w:val="superscript"/>
              </w:rPr>
              <w:t>3</w:t>
            </w:r>
            <w:r>
              <w:rPr>
                <w:sz w:val="24"/>
                <w:szCs w:val="24"/>
              </w:rPr>
              <w:t>、0.</w:t>
            </w:r>
            <w:r>
              <w:rPr>
                <w:rFonts w:hint="eastAsia"/>
                <w:sz w:val="24"/>
                <w:szCs w:val="24"/>
              </w:rPr>
              <w:t>00724</w:t>
            </w:r>
            <w:r>
              <w:rPr>
                <w:sz w:val="24"/>
                <w:szCs w:val="24"/>
              </w:rPr>
              <w:t>mg/m</w:t>
            </w:r>
            <w:r>
              <w:rPr>
                <w:sz w:val="24"/>
                <w:szCs w:val="24"/>
                <w:vertAlign w:val="superscript"/>
              </w:rPr>
              <w:t>3</w:t>
            </w:r>
            <w:r>
              <w:rPr>
                <w:rFonts w:hint="eastAsia"/>
                <w:sz w:val="24"/>
                <w:szCs w:val="24"/>
              </w:rPr>
              <w:t>，</w:t>
            </w:r>
            <w:r>
              <w:rPr>
                <w:sz w:val="24"/>
                <w:szCs w:val="24"/>
              </w:rPr>
              <w:t>满足《挥发性有机物排放标准第5部分：表面涂装行业》（DB37/2801.5-2018）表3厂界监控点浓度限值要求（VOCs2.0mg/m</w:t>
            </w:r>
            <w:r>
              <w:rPr>
                <w:sz w:val="24"/>
                <w:szCs w:val="24"/>
                <w:vertAlign w:val="superscript"/>
              </w:rPr>
              <w:t>3</w:t>
            </w:r>
            <w:r>
              <w:rPr>
                <w:sz w:val="24"/>
                <w:szCs w:val="24"/>
              </w:rPr>
              <w:t>、二甲苯0.2mg/m</w:t>
            </w:r>
            <w:r>
              <w:rPr>
                <w:sz w:val="24"/>
                <w:szCs w:val="24"/>
                <w:vertAlign w:val="superscript"/>
              </w:rPr>
              <w:t>3</w:t>
            </w:r>
            <w:r>
              <w:rPr>
                <w:sz w:val="24"/>
                <w:szCs w:val="24"/>
              </w:rPr>
              <w:t>）</w:t>
            </w:r>
            <w:r>
              <w:rPr>
                <w:rFonts w:hint="eastAsia"/>
                <w:sz w:val="24"/>
                <w:szCs w:val="24"/>
              </w:rPr>
              <w:t>。</w:t>
            </w:r>
            <w:r>
              <w:rPr>
                <w:rFonts w:hint="eastAsia"/>
                <w:sz w:val="24"/>
              </w:rPr>
              <w:t>颗粒物满足</w:t>
            </w:r>
            <w:r>
              <w:rPr>
                <w:sz w:val="24"/>
                <w:szCs w:val="24"/>
              </w:rPr>
              <w:t>《大气污染物综合排放标准》（GB16297-1996）表2无组织排放监控浓度限值</w:t>
            </w:r>
            <w:r>
              <w:rPr>
                <w:rFonts w:hint="eastAsia"/>
                <w:sz w:val="24"/>
                <w:szCs w:val="24"/>
              </w:rPr>
              <w:t>要求</w:t>
            </w:r>
            <w:r>
              <w:rPr>
                <w:sz w:val="24"/>
                <w:szCs w:val="24"/>
              </w:rPr>
              <w:t>（颗粒物≦1.0mg/m</w:t>
            </w:r>
            <w:r>
              <w:rPr>
                <w:sz w:val="24"/>
                <w:szCs w:val="24"/>
                <w:vertAlign w:val="superscript"/>
              </w:rPr>
              <w:t>3</w:t>
            </w:r>
            <w:r>
              <w:rPr>
                <w:sz w:val="24"/>
                <w:szCs w:val="24"/>
              </w:rPr>
              <w:t>）</w:t>
            </w:r>
            <w:r>
              <w:rPr>
                <w:rFonts w:hint="eastAsia"/>
                <w:sz w:val="24"/>
                <w:szCs w:val="24"/>
              </w:rPr>
              <w:t>。</w:t>
            </w:r>
          </w:p>
          <w:p w14:paraId="16E89588">
            <w:pPr>
              <w:spacing w:line="360" w:lineRule="auto"/>
              <w:ind w:firstLine="480" w:firstLineChars="200"/>
              <w:rPr>
                <w:bCs/>
                <w:sz w:val="24"/>
                <w:szCs w:val="24"/>
              </w:rPr>
            </w:pPr>
            <w:r>
              <w:rPr>
                <w:sz w:val="24"/>
                <w:szCs w:val="24"/>
              </w:rPr>
              <w:t>项目营运期应严格按照《挥发性有机物无组织排放控制标准》（GB37822-2019）及附录A厂区内VOCs无组织排放监控要求，加强含VOCs物料储存、转移和输送过程、生产工艺过程、设备与管线组件泄漏、废气收集处理系统等环节VOCs无组织排放控制管理，确保污染物厂区内及周边环境达标排放。</w:t>
            </w:r>
            <w:r>
              <w:rPr>
                <w:rFonts w:hint="eastAsia"/>
                <w:sz w:val="24"/>
                <w:szCs w:val="24"/>
              </w:rPr>
              <w:t>同时按照山东省生态环境厅《关于印发&lt;山东省涉挥发性有机物企业分行业治理指导意见&gt;的通知》（鲁环发[2019]146号）、《关于印发&lt;山东省工业企业无组织排放分行业管理指导意见&gt;的通知》（鲁环发[2020]30号）文件要求，建议采取以下措施以减少无组织排放污染物对周围环境的影响：</w:t>
            </w:r>
          </w:p>
          <w:p w14:paraId="37986D35">
            <w:pPr>
              <w:spacing w:line="360" w:lineRule="auto"/>
              <w:ind w:firstLine="480" w:firstLineChars="200"/>
              <w:rPr>
                <w:bCs/>
                <w:sz w:val="24"/>
                <w:szCs w:val="24"/>
              </w:rPr>
            </w:pPr>
            <w:r>
              <w:rPr>
                <w:rFonts w:hint="eastAsia"/>
                <w:bCs/>
                <w:sz w:val="24"/>
                <w:szCs w:val="24"/>
              </w:rPr>
              <w:t>（1）加强物料装卸、储存、输送环节管控。含挥发性有机物（VOCs）物料储存于密闭容器、包装袋，封闭式储库、料仓等；封闭式储库、料仓设置VOCs有效收集治理设施。含VOCs物料输送，采用密闭管道或密闭容器、罐车等。</w:t>
            </w:r>
          </w:p>
          <w:p w14:paraId="79654777">
            <w:pPr>
              <w:spacing w:line="360" w:lineRule="auto"/>
              <w:ind w:firstLine="480" w:firstLineChars="200"/>
              <w:rPr>
                <w:bCs/>
                <w:sz w:val="24"/>
                <w:szCs w:val="24"/>
              </w:rPr>
            </w:pPr>
            <w:r>
              <w:rPr>
                <w:rFonts w:hint="eastAsia"/>
                <w:bCs/>
                <w:sz w:val="24"/>
                <w:szCs w:val="24"/>
              </w:rPr>
              <w:t>（2）加强生产环节管控。遵循“应收尽收、分质收集”的原则，科学设计废气收集系统，将无组织排放转变为有组织排放进行控制。通过提高工艺自动化和设备密闭化水平，减少生产过程中的无组织排放。生产过程中的VOCs产生点密闭或封闭。生产设备和废气收集处理设施同步运行，废气收集处理设施发生故障或检修时，停止运行对应的生产设备，待检修完毕后投入使用。生产设备不能停止或不能及时停止运行的，设置废气应急处理设施或采取其他替代措施。</w:t>
            </w:r>
          </w:p>
          <w:p w14:paraId="2B2D665C">
            <w:pPr>
              <w:spacing w:line="360" w:lineRule="auto"/>
              <w:ind w:firstLine="480" w:firstLineChars="200"/>
              <w:jc w:val="left"/>
              <w:rPr>
                <w:rFonts w:eastAsiaTheme="minorEastAsia"/>
                <w:sz w:val="24"/>
                <w:szCs w:val="24"/>
              </w:rPr>
            </w:pPr>
            <w:r>
              <w:rPr>
                <w:rFonts w:hint="eastAsia"/>
                <w:bCs/>
                <w:sz w:val="24"/>
                <w:szCs w:val="24"/>
              </w:rPr>
              <w:t>（3）加强精细化管控。针对各无组织排放环节，制定“一厂一策”深度治理方案。制定无组织排放治理设施操作规程，并建立管理台账，记录操作人员操作内容、运行、维护、检修和含VOCs物料使用回收等情况，记录保存期限不得少于三年。鼓励安装视频、空气微站等监控设施和综合监控信息平台，用于企业日常自我监督，逐步实现无组织排放向精细化和可量化管理方式转变。</w:t>
            </w:r>
          </w:p>
          <w:p w14:paraId="788A2E85">
            <w:pPr>
              <w:spacing w:line="360" w:lineRule="auto"/>
              <w:ind w:firstLine="480" w:firstLineChars="200"/>
              <w:jc w:val="left"/>
              <w:rPr>
                <w:rFonts w:eastAsiaTheme="minorEastAsia"/>
                <w:sz w:val="24"/>
                <w:szCs w:val="24"/>
              </w:rPr>
            </w:pPr>
            <w:r>
              <w:rPr>
                <w:rFonts w:hint="eastAsia" w:eastAsiaTheme="minorEastAsia"/>
                <w:sz w:val="24"/>
                <w:szCs w:val="24"/>
              </w:rPr>
              <w:t>3、废气预测分析</w:t>
            </w:r>
          </w:p>
          <w:p w14:paraId="68D5ACEB">
            <w:pPr>
              <w:spacing w:line="360" w:lineRule="auto"/>
              <w:ind w:firstLine="480" w:firstLineChars="200"/>
              <w:jc w:val="left"/>
              <w:rPr>
                <w:rFonts w:eastAsiaTheme="minorEastAsia"/>
                <w:sz w:val="24"/>
                <w:szCs w:val="24"/>
              </w:rPr>
            </w:pPr>
            <w:r>
              <w:rPr>
                <w:rFonts w:eastAsiaTheme="minorEastAsia"/>
                <w:sz w:val="24"/>
                <w:szCs w:val="24"/>
              </w:rPr>
              <w:t>本</w:t>
            </w:r>
            <w:r>
              <w:rPr>
                <w:rFonts w:hint="eastAsia" w:eastAsiaTheme="minorEastAsia"/>
                <w:sz w:val="24"/>
                <w:szCs w:val="24"/>
              </w:rPr>
              <w:t>次环评废气</w:t>
            </w:r>
            <w:r>
              <w:rPr>
                <w:rFonts w:eastAsiaTheme="minorEastAsia"/>
                <w:sz w:val="24"/>
                <w:szCs w:val="24"/>
              </w:rPr>
              <w:t>采用《环境影响评价技术导则 大气环境》（HJ2.2-2018）中推荐的AERSCREEN估算模式进行估算</w:t>
            </w:r>
            <w:r>
              <w:rPr>
                <w:rFonts w:hint="eastAsia" w:eastAsiaTheme="minorEastAsia"/>
                <w:sz w:val="24"/>
                <w:szCs w:val="24"/>
              </w:rPr>
              <w:t>。</w:t>
            </w:r>
          </w:p>
          <w:p w14:paraId="7DA3A441">
            <w:pPr>
              <w:spacing w:line="360" w:lineRule="auto"/>
              <w:ind w:firstLine="480" w:firstLineChars="200"/>
              <w:jc w:val="left"/>
              <w:rPr>
                <w:rFonts w:eastAsiaTheme="minorEastAsia"/>
                <w:sz w:val="24"/>
                <w:szCs w:val="24"/>
              </w:rPr>
            </w:pPr>
            <w:r>
              <w:rPr>
                <w:rFonts w:hint="eastAsia" w:eastAsiaTheme="minorEastAsia"/>
                <w:sz w:val="24"/>
                <w:szCs w:val="24"/>
              </w:rPr>
              <w:t>（1）</w:t>
            </w:r>
            <w:r>
              <w:rPr>
                <w:rFonts w:eastAsiaTheme="minorEastAsia"/>
                <w:sz w:val="24"/>
                <w:szCs w:val="24"/>
              </w:rPr>
              <w:t>项目估算模型参数见下表。</w:t>
            </w:r>
          </w:p>
          <w:p w14:paraId="1D1370C8">
            <w:pPr>
              <w:jc w:val="center"/>
              <w:rPr>
                <w:rFonts w:eastAsiaTheme="minorEastAsia"/>
                <w:b/>
                <w:bCs/>
                <w:sz w:val="24"/>
                <w:szCs w:val="24"/>
              </w:rPr>
            </w:pPr>
            <w:r>
              <w:rPr>
                <w:rFonts w:eastAsiaTheme="minorEastAsia"/>
                <w:b/>
                <w:bCs/>
                <w:sz w:val="24"/>
                <w:szCs w:val="24"/>
              </w:rPr>
              <w:t>表7-</w:t>
            </w:r>
            <w:r>
              <w:rPr>
                <w:rFonts w:hint="eastAsia" w:eastAsiaTheme="minorEastAsia"/>
                <w:b/>
                <w:bCs/>
                <w:sz w:val="24"/>
                <w:szCs w:val="24"/>
              </w:rPr>
              <w:t>3</w:t>
            </w:r>
            <w:r>
              <w:rPr>
                <w:rFonts w:eastAsiaTheme="minorEastAsia"/>
                <w:b/>
                <w:bCs/>
                <w:sz w:val="24"/>
                <w:szCs w:val="24"/>
              </w:rPr>
              <w:t xml:space="preserve"> 项目排放废气估算参数表</w:t>
            </w:r>
          </w:p>
          <w:tbl>
            <w:tblPr>
              <w:tblStyle w:val="27"/>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408"/>
              <w:gridCol w:w="2819"/>
              <w:gridCol w:w="3844"/>
            </w:tblGrid>
            <w:tr w14:paraId="23553EF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27" w:type="dxa"/>
                  <w:gridSpan w:val="2"/>
                  <w:tcBorders>
                    <w:tl2br w:val="nil"/>
                    <w:tr2bl w:val="nil"/>
                  </w:tcBorders>
                  <w:vAlign w:val="center"/>
                </w:tcPr>
                <w:p w14:paraId="388E0DA5">
                  <w:pPr>
                    <w:ind w:firstLine="425"/>
                    <w:jc w:val="center"/>
                    <w:rPr>
                      <w:bCs/>
                    </w:rPr>
                  </w:pPr>
                  <w:r>
                    <w:rPr>
                      <w:bCs/>
                    </w:rPr>
                    <w:t>参数</w:t>
                  </w:r>
                </w:p>
              </w:tc>
              <w:tc>
                <w:tcPr>
                  <w:tcW w:w="3844" w:type="dxa"/>
                  <w:tcBorders>
                    <w:tl2br w:val="nil"/>
                    <w:tr2bl w:val="nil"/>
                  </w:tcBorders>
                  <w:vAlign w:val="center"/>
                </w:tcPr>
                <w:p w14:paraId="1F32993F">
                  <w:pPr>
                    <w:jc w:val="center"/>
                    <w:rPr>
                      <w:bCs/>
                    </w:rPr>
                  </w:pPr>
                  <w:r>
                    <w:rPr>
                      <w:bCs/>
                    </w:rPr>
                    <w:t>取值</w:t>
                  </w:r>
                </w:p>
              </w:tc>
            </w:tr>
            <w:tr w14:paraId="41A6D88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8" w:type="dxa"/>
                  <w:vMerge w:val="restart"/>
                  <w:tcBorders>
                    <w:tl2br w:val="nil"/>
                    <w:tr2bl w:val="nil"/>
                  </w:tcBorders>
                  <w:vAlign w:val="center"/>
                </w:tcPr>
                <w:p w14:paraId="44EDD77C">
                  <w:pPr>
                    <w:jc w:val="center"/>
                    <w:rPr>
                      <w:bCs/>
                    </w:rPr>
                  </w:pPr>
                  <w:r>
                    <w:rPr>
                      <w:bCs/>
                    </w:rPr>
                    <w:t>城市/农村</w:t>
                  </w:r>
                </w:p>
              </w:tc>
              <w:tc>
                <w:tcPr>
                  <w:tcW w:w="2819" w:type="dxa"/>
                  <w:tcBorders>
                    <w:tl2br w:val="nil"/>
                    <w:tr2bl w:val="nil"/>
                  </w:tcBorders>
                  <w:vAlign w:val="center"/>
                </w:tcPr>
                <w:p w14:paraId="4E45AECE">
                  <w:pPr>
                    <w:jc w:val="center"/>
                    <w:rPr>
                      <w:bCs/>
                    </w:rPr>
                  </w:pPr>
                  <w:r>
                    <w:rPr>
                      <w:bCs/>
                    </w:rPr>
                    <w:t>城市/农村</w:t>
                  </w:r>
                </w:p>
              </w:tc>
              <w:tc>
                <w:tcPr>
                  <w:tcW w:w="3844" w:type="dxa"/>
                  <w:tcBorders>
                    <w:tl2br w:val="nil"/>
                    <w:tr2bl w:val="nil"/>
                  </w:tcBorders>
                  <w:vAlign w:val="center"/>
                </w:tcPr>
                <w:p w14:paraId="75301012">
                  <w:pPr>
                    <w:jc w:val="center"/>
                    <w:rPr>
                      <w:bCs/>
                    </w:rPr>
                  </w:pPr>
                  <w:r>
                    <w:rPr>
                      <w:rFonts w:hint="eastAsia"/>
                      <w:bCs/>
                    </w:rPr>
                    <w:t>农村</w:t>
                  </w:r>
                </w:p>
              </w:tc>
            </w:tr>
            <w:tr w14:paraId="1F3B6B8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8" w:type="dxa"/>
                  <w:vMerge w:val="continue"/>
                  <w:tcBorders>
                    <w:tl2br w:val="nil"/>
                    <w:tr2bl w:val="nil"/>
                  </w:tcBorders>
                  <w:vAlign w:val="center"/>
                </w:tcPr>
                <w:p w14:paraId="15A1B452">
                  <w:pPr>
                    <w:ind w:firstLine="425"/>
                    <w:jc w:val="center"/>
                    <w:rPr>
                      <w:bCs/>
                    </w:rPr>
                  </w:pPr>
                </w:p>
              </w:tc>
              <w:tc>
                <w:tcPr>
                  <w:tcW w:w="2819" w:type="dxa"/>
                  <w:tcBorders>
                    <w:tl2br w:val="nil"/>
                    <w:tr2bl w:val="nil"/>
                  </w:tcBorders>
                  <w:vAlign w:val="center"/>
                </w:tcPr>
                <w:p w14:paraId="77BDC2D4">
                  <w:pPr>
                    <w:jc w:val="center"/>
                    <w:rPr>
                      <w:bCs/>
                    </w:rPr>
                  </w:pPr>
                  <w:r>
                    <w:rPr>
                      <w:bCs/>
                    </w:rPr>
                    <w:t>人口数（城市选项时）</w:t>
                  </w:r>
                </w:p>
              </w:tc>
              <w:tc>
                <w:tcPr>
                  <w:tcW w:w="3844" w:type="dxa"/>
                  <w:tcBorders>
                    <w:tl2br w:val="nil"/>
                    <w:tr2bl w:val="nil"/>
                  </w:tcBorders>
                  <w:vAlign w:val="center"/>
                </w:tcPr>
                <w:p w14:paraId="6E562B72">
                  <w:pPr>
                    <w:jc w:val="center"/>
                    <w:rPr>
                      <w:bCs/>
                    </w:rPr>
                  </w:pPr>
                  <w:r>
                    <w:rPr>
                      <w:rFonts w:hint="eastAsia"/>
                      <w:bCs/>
                    </w:rPr>
                    <w:t>/</w:t>
                  </w:r>
                </w:p>
              </w:tc>
            </w:tr>
            <w:tr w14:paraId="6328334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27" w:type="dxa"/>
                  <w:gridSpan w:val="2"/>
                  <w:tcBorders>
                    <w:tl2br w:val="nil"/>
                    <w:tr2bl w:val="nil"/>
                  </w:tcBorders>
                  <w:vAlign w:val="center"/>
                </w:tcPr>
                <w:p w14:paraId="6797D8BD">
                  <w:pPr>
                    <w:jc w:val="center"/>
                    <w:rPr>
                      <w:bCs/>
                    </w:rPr>
                  </w:pPr>
                  <w:r>
                    <w:rPr>
                      <w:bCs/>
                    </w:rPr>
                    <w:t>最高环境温度/℃</w:t>
                  </w:r>
                </w:p>
              </w:tc>
              <w:tc>
                <w:tcPr>
                  <w:tcW w:w="3844" w:type="dxa"/>
                  <w:tcBorders>
                    <w:tl2br w:val="nil"/>
                    <w:tr2bl w:val="nil"/>
                  </w:tcBorders>
                  <w:vAlign w:val="center"/>
                </w:tcPr>
                <w:p w14:paraId="1BD79DD3">
                  <w:pPr>
                    <w:jc w:val="center"/>
                    <w:rPr>
                      <w:bCs/>
                    </w:rPr>
                  </w:pPr>
                  <w:r>
                    <w:rPr>
                      <w:rFonts w:hint="eastAsia"/>
                      <w:bCs/>
                    </w:rPr>
                    <w:t>38.5</w:t>
                  </w:r>
                  <w:r>
                    <w:rPr>
                      <w:bCs/>
                    </w:rPr>
                    <w:t>（</w:t>
                  </w:r>
                  <w:r>
                    <w:rPr>
                      <w:rFonts w:hint="eastAsia"/>
                      <w:bCs/>
                    </w:rPr>
                    <w:t>311.65</w:t>
                  </w:r>
                  <w:r>
                    <w:rPr>
                      <w:bCs/>
                    </w:rPr>
                    <w:t>K）</w:t>
                  </w:r>
                </w:p>
              </w:tc>
            </w:tr>
            <w:tr w14:paraId="4254B3E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27" w:type="dxa"/>
                  <w:gridSpan w:val="2"/>
                  <w:tcBorders>
                    <w:tl2br w:val="nil"/>
                    <w:tr2bl w:val="nil"/>
                  </w:tcBorders>
                  <w:vAlign w:val="center"/>
                </w:tcPr>
                <w:p w14:paraId="028F05AF">
                  <w:pPr>
                    <w:jc w:val="center"/>
                    <w:rPr>
                      <w:bCs/>
                    </w:rPr>
                  </w:pPr>
                  <w:r>
                    <w:rPr>
                      <w:bCs/>
                    </w:rPr>
                    <w:t>最低环境温度/℃</w:t>
                  </w:r>
                </w:p>
              </w:tc>
              <w:tc>
                <w:tcPr>
                  <w:tcW w:w="3844" w:type="dxa"/>
                  <w:tcBorders>
                    <w:tl2br w:val="nil"/>
                    <w:tr2bl w:val="nil"/>
                  </w:tcBorders>
                  <w:vAlign w:val="center"/>
                </w:tcPr>
                <w:p w14:paraId="28DBF62F">
                  <w:pPr>
                    <w:jc w:val="center"/>
                    <w:rPr>
                      <w:bCs/>
                    </w:rPr>
                  </w:pPr>
                  <w:r>
                    <w:rPr>
                      <w:bCs/>
                    </w:rPr>
                    <w:t>-</w:t>
                  </w:r>
                  <w:r>
                    <w:rPr>
                      <w:rFonts w:hint="eastAsia"/>
                      <w:bCs/>
                    </w:rPr>
                    <w:t>12.5</w:t>
                  </w:r>
                  <w:r>
                    <w:rPr>
                      <w:bCs/>
                    </w:rPr>
                    <w:t>（</w:t>
                  </w:r>
                  <w:r>
                    <w:rPr>
                      <w:rFonts w:hint="eastAsia"/>
                      <w:bCs/>
                    </w:rPr>
                    <w:t>260.65</w:t>
                  </w:r>
                  <w:r>
                    <w:rPr>
                      <w:bCs/>
                    </w:rPr>
                    <w:t>K）</w:t>
                  </w:r>
                </w:p>
              </w:tc>
            </w:tr>
            <w:tr w14:paraId="3E649CB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27" w:type="dxa"/>
                  <w:gridSpan w:val="2"/>
                  <w:tcBorders>
                    <w:tl2br w:val="nil"/>
                    <w:tr2bl w:val="nil"/>
                  </w:tcBorders>
                  <w:vAlign w:val="center"/>
                </w:tcPr>
                <w:p w14:paraId="438DDC7D">
                  <w:pPr>
                    <w:jc w:val="center"/>
                    <w:rPr>
                      <w:bCs/>
                    </w:rPr>
                  </w:pPr>
                  <w:r>
                    <w:rPr>
                      <w:bCs/>
                    </w:rPr>
                    <w:t>土地利用类型</w:t>
                  </w:r>
                </w:p>
              </w:tc>
              <w:tc>
                <w:tcPr>
                  <w:tcW w:w="3844" w:type="dxa"/>
                  <w:tcBorders>
                    <w:tl2br w:val="nil"/>
                    <w:tr2bl w:val="nil"/>
                  </w:tcBorders>
                  <w:vAlign w:val="center"/>
                </w:tcPr>
                <w:p w14:paraId="5EE55784">
                  <w:pPr>
                    <w:jc w:val="center"/>
                    <w:rPr>
                      <w:bCs/>
                    </w:rPr>
                  </w:pPr>
                  <w:r>
                    <w:rPr>
                      <w:rFonts w:hint="eastAsia"/>
                      <w:bCs/>
                    </w:rPr>
                    <w:t>/</w:t>
                  </w:r>
                </w:p>
              </w:tc>
            </w:tr>
            <w:tr w14:paraId="70131B4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27" w:type="dxa"/>
                  <w:gridSpan w:val="2"/>
                  <w:tcBorders>
                    <w:tl2br w:val="nil"/>
                    <w:tr2bl w:val="nil"/>
                  </w:tcBorders>
                  <w:vAlign w:val="center"/>
                </w:tcPr>
                <w:p w14:paraId="7D786BC9">
                  <w:pPr>
                    <w:jc w:val="center"/>
                    <w:rPr>
                      <w:bCs/>
                    </w:rPr>
                  </w:pPr>
                  <w:r>
                    <w:rPr>
                      <w:bCs/>
                    </w:rPr>
                    <w:t>区域湿度条件</w:t>
                  </w:r>
                </w:p>
              </w:tc>
              <w:tc>
                <w:tcPr>
                  <w:tcW w:w="3844" w:type="dxa"/>
                  <w:tcBorders>
                    <w:tl2br w:val="nil"/>
                    <w:tr2bl w:val="nil"/>
                  </w:tcBorders>
                  <w:vAlign w:val="center"/>
                </w:tcPr>
                <w:p w14:paraId="48E62820">
                  <w:pPr>
                    <w:jc w:val="center"/>
                    <w:rPr>
                      <w:bCs/>
                    </w:rPr>
                  </w:pPr>
                  <w:r>
                    <w:rPr>
                      <w:bCs/>
                    </w:rPr>
                    <w:t>湿润区</w:t>
                  </w:r>
                </w:p>
              </w:tc>
            </w:tr>
            <w:tr w14:paraId="4605A40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8" w:type="dxa"/>
                  <w:vMerge w:val="restart"/>
                  <w:tcBorders>
                    <w:tl2br w:val="nil"/>
                    <w:tr2bl w:val="nil"/>
                  </w:tcBorders>
                  <w:vAlign w:val="center"/>
                </w:tcPr>
                <w:p w14:paraId="40C5A506">
                  <w:pPr>
                    <w:jc w:val="center"/>
                    <w:rPr>
                      <w:bCs/>
                    </w:rPr>
                  </w:pPr>
                  <w:r>
                    <w:rPr>
                      <w:bCs/>
                    </w:rPr>
                    <w:t>是否考虑地形</w:t>
                  </w:r>
                </w:p>
              </w:tc>
              <w:tc>
                <w:tcPr>
                  <w:tcW w:w="2819" w:type="dxa"/>
                  <w:tcBorders>
                    <w:tl2br w:val="nil"/>
                    <w:tr2bl w:val="nil"/>
                  </w:tcBorders>
                  <w:vAlign w:val="center"/>
                </w:tcPr>
                <w:p w14:paraId="3D627420">
                  <w:pPr>
                    <w:jc w:val="center"/>
                    <w:rPr>
                      <w:bCs/>
                    </w:rPr>
                  </w:pPr>
                  <w:r>
                    <w:rPr>
                      <w:bCs/>
                    </w:rPr>
                    <w:t>考虑地形</w:t>
                  </w:r>
                </w:p>
              </w:tc>
              <w:tc>
                <w:tcPr>
                  <w:tcW w:w="3844" w:type="dxa"/>
                  <w:tcBorders>
                    <w:tl2br w:val="nil"/>
                    <w:tr2bl w:val="nil"/>
                  </w:tcBorders>
                  <w:vAlign w:val="center"/>
                </w:tcPr>
                <w:p w14:paraId="5E86DF61">
                  <w:pPr>
                    <w:jc w:val="center"/>
                    <w:rPr>
                      <w:bCs/>
                    </w:rPr>
                  </w:pPr>
                  <w:r>
                    <w:rPr>
                      <w:bCs/>
                    </w:rPr>
                    <w:t>否</w:t>
                  </w:r>
                </w:p>
              </w:tc>
            </w:tr>
            <w:tr w14:paraId="5C3A677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8" w:type="dxa"/>
                  <w:vMerge w:val="continue"/>
                  <w:tcBorders>
                    <w:tl2br w:val="nil"/>
                    <w:tr2bl w:val="nil"/>
                  </w:tcBorders>
                  <w:vAlign w:val="center"/>
                </w:tcPr>
                <w:p w14:paraId="1986543A">
                  <w:pPr>
                    <w:ind w:firstLine="425"/>
                    <w:jc w:val="center"/>
                    <w:rPr>
                      <w:bCs/>
                    </w:rPr>
                  </w:pPr>
                </w:p>
              </w:tc>
              <w:tc>
                <w:tcPr>
                  <w:tcW w:w="2819" w:type="dxa"/>
                  <w:tcBorders>
                    <w:tl2br w:val="nil"/>
                    <w:tr2bl w:val="nil"/>
                  </w:tcBorders>
                  <w:vAlign w:val="center"/>
                </w:tcPr>
                <w:p w14:paraId="781E4902">
                  <w:pPr>
                    <w:jc w:val="center"/>
                    <w:rPr>
                      <w:bCs/>
                    </w:rPr>
                  </w:pPr>
                  <w:r>
                    <w:rPr>
                      <w:bCs/>
                    </w:rPr>
                    <w:t>地形数据分辨率/m</w:t>
                  </w:r>
                </w:p>
              </w:tc>
              <w:tc>
                <w:tcPr>
                  <w:tcW w:w="3844" w:type="dxa"/>
                  <w:tcBorders>
                    <w:tl2br w:val="nil"/>
                    <w:tr2bl w:val="nil"/>
                  </w:tcBorders>
                  <w:vAlign w:val="center"/>
                </w:tcPr>
                <w:p w14:paraId="7BE6444A">
                  <w:pPr>
                    <w:jc w:val="center"/>
                    <w:rPr>
                      <w:bCs/>
                    </w:rPr>
                  </w:pPr>
                  <w:r>
                    <w:rPr>
                      <w:bCs/>
                    </w:rPr>
                    <w:t>/</w:t>
                  </w:r>
                </w:p>
              </w:tc>
            </w:tr>
            <w:tr w14:paraId="49258D4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8" w:type="dxa"/>
                  <w:vMerge w:val="restart"/>
                  <w:tcBorders>
                    <w:tl2br w:val="nil"/>
                    <w:tr2bl w:val="nil"/>
                  </w:tcBorders>
                  <w:vAlign w:val="center"/>
                </w:tcPr>
                <w:p w14:paraId="2E4AC59D">
                  <w:pPr>
                    <w:jc w:val="center"/>
                    <w:rPr>
                      <w:bCs/>
                    </w:rPr>
                  </w:pPr>
                  <w:r>
                    <w:rPr>
                      <w:bCs/>
                    </w:rPr>
                    <w:t>是否考虑岸线熏烟</w:t>
                  </w:r>
                </w:p>
              </w:tc>
              <w:tc>
                <w:tcPr>
                  <w:tcW w:w="2819" w:type="dxa"/>
                  <w:tcBorders>
                    <w:tl2br w:val="nil"/>
                    <w:tr2bl w:val="nil"/>
                  </w:tcBorders>
                  <w:vAlign w:val="center"/>
                </w:tcPr>
                <w:p w14:paraId="767B987A">
                  <w:pPr>
                    <w:jc w:val="center"/>
                    <w:rPr>
                      <w:bCs/>
                    </w:rPr>
                  </w:pPr>
                  <w:r>
                    <w:rPr>
                      <w:bCs/>
                    </w:rPr>
                    <w:t>考虑岸线熏烟</w:t>
                  </w:r>
                </w:p>
              </w:tc>
              <w:tc>
                <w:tcPr>
                  <w:tcW w:w="3844" w:type="dxa"/>
                  <w:tcBorders>
                    <w:tl2br w:val="nil"/>
                    <w:tr2bl w:val="nil"/>
                  </w:tcBorders>
                  <w:vAlign w:val="center"/>
                </w:tcPr>
                <w:p w14:paraId="31296A9A">
                  <w:pPr>
                    <w:jc w:val="center"/>
                    <w:rPr>
                      <w:bCs/>
                    </w:rPr>
                  </w:pPr>
                  <w:r>
                    <w:rPr>
                      <w:bCs/>
                    </w:rPr>
                    <w:t>否</w:t>
                  </w:r>
                </w:p>
              </w:tc>
            </w:tr>
            <w:tr w14:paraId="120B2A2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8" w:type="dxa"/>
                  <w:vMerge w:val="continue"/>
                  <w:tcBorders>
                    <w:tl2br w:val="nil"/>
                    <w:tr2bl w:val="nil"/>
                  </w:tcBorders>
                  <w:vAlign w:val="center"/>
                </w:tcPr>
                <w:p w14:paraId="7F9B950C">
                  <w:pPr>
                    <w:ind w:firstLine="425"/>
                    <w:jc w:val="center"/>
                    <w:rPr>
                      <w:bCs/>
                    </w:rPr>
                  </w:pPr>
                </w:p>
              </w:tc>
              <w:tc>
                <w:tcPr>
                  <w:tcW w:w="2819" w:type="dxa"/>
                  <w:tcBorders>
                    <w:tl2br w:val="nil"/>
                    <w:tr2bl w:val="nil"/>
                  </w:tcBorders>
                  <w:vAlign w:val="center"/>
                </w:tcPr>
                <w:p w14:paraId="74675BBD">
                  <w:pPr>
                    <w:jc w:val="center"/>
                    <w:rPr>
                      <w:bCs/>
                    </w:rPr>
                  </w:pPr>
                  <w:r>
                    <w:rPr>
                      <w:bCs/>
                    </w:rPr>
                    <w:t>岸线距离/km</w:t>
                  </w:r>
                </w:p>
              </w:tc>
              <w:tc>
                <w:tcPr>
                  <w:tcW w:w="3844" w:type="dxa"/>
                  <w:tcBorders>
                    <w:tl2br w:val="nil"/>
                    <w:tr2bl w:val="nil"/>
                  </w:tcBorders>
                  <w:vAlign w:val="center"/>
                </w:tcPr>
                <w:p w14:paraId="533179B8">
                  <w:pPr>
                    <w:jc w:val="center"/>
                    <w:rPr>
                      <w:bCs/>
                    </w:rPr>
                  </w:pPr>
                  <w:r>
                    <w:rPr>
                      <w:bCs/>
                    </w:rPr>
                    <w:t>/</w:t>
                  </w:r>
                </w:p>
              </w:tc>
            </w:tr>
            <w:tr w14:paraId="060CF7C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08" w:type="dxa"/>
                  <w:vMerge w:val="continue"/>
                  <w:tcBorders>
                    <w:tl2br w:val="nil"/>
                    <w:tr2bl w:val="nil"/>
                  </w:tcBorders>
                  <w:vAlign w:val="center"/>
                </w:tcPr>
                <w:p w14:paraId="7A449A30">
                  <w:pPr>
                    <w:ind w:firstLine="425"/>
                    <w:jc w:val="center"/>
                    <w:rPr>
                      <w:bCs/>
                    </w:rPr>
                  </w:pPr>
                </w:p>
              </w:tc>
              <w:tc>
                <w:tcPr>
                  <w:tcW w:w="2819" w:type="dxa"/>
                  <w:tcBorders>
                    <w:tl2br w:val="nil"/>
                    <w:tr2bl w:val="nil"/>
                  </w:tcBorders>
                  <w:vAlign w:val="center"/>
                </w:tcPr>
                <w:p w14:paraId="7B4C71C0">
                  <w:pPr>
                    <w:jc w:val="center"/>
                    <w:rPr>
                      <w:bCs/>
                    </w:rPr>
                  </w:pPr>
                  <w:r>
                    <w:rPr>
                      <w:bCs/>
                    </w:rPr>
                    <w:t>岸线方向/°</w:t>
                  </w:r>
                </w:p>
              </w:tc>
              <w:tc>
                <w:tcPr>
                  <w:tcW w:w="3844" w:type="dxa"/>
                  <w:tcBorders>
                    <w:tl2br w:val="nil"/>
                    <w:tr2bl w:val="nil"/>
                  </w:tcBorders>
                  <w:vAlign w:val="center"/>
                </w:tcPr>
                <w:p w14:paraId="20D8C106">
                  <w:pPr>
                    <w:jc w:val="center"/>
                    <w:rPr>
                      <w:bCs/>
                    </w:rPr>
                  </w:pPr>
                  <w:r>
                    <w:rPr>
                      <w:bCs/>
                    </w:rPr>
                    <w:t>/</w:t>
                  </w:r>
                </w:p>
              </w:tc>
            </w:tr>
          </w:tbl>
          <w:p w14:paraId="7523E880">
            <w:pPr>
              <w:snapToGrid w:val="0"/>
              <w:spacing w:line="360" w:lineRule="auto"/>
              <w:ind w:firstLine="480" w:firstLineChars="200"/>
              <w:rPr>
                <w:sz w:val="24"/>
                <w:szCs w:val="24"/>
              </w:rPr>
            </w:pPr>
            <w:r>
              <w:rPr>
                <w:rFonts w:hint="eastAsia"/>
                <w:sz w:val="24"/>
                <w:szCs w:val="24"/>
              </w:rPr>
              <w:t>（2）</w:t>
            </w:r>
            <w:r>
              <w:rPr>
                <w:sz w:val="24"/>
                <w:szCs w:val="24"/>
              </w:rPr>
              <w:t>点源参数见下表。</w:t>
            </w:r>
          </w:p>
          <w:p w14:paraId="311C3B76">
            <w:pPr>
              <w:snapToGrid w:val="0"/>
              <w:ind w:firstLine="482" w:firstLineChars="200"/>
              <w:jc w:val="center"/>
              <w:rPr>
                <w:b/>
                <w:bCs/>
                <w:sz w:val="24"/>
                <w:szCs w:val="24"/>
              </w:rPr>
            </w:pPr>
            <w:r>
              <w:rPr>
                <w:b/>
                <w:bCs/>
                <w:sz w:val="24"/>
                <w:szCs w:val="24"/>
              </w:rPr>
              <w:t>表7-</w:t>
            </w:r>
            <w:r>
              <w:rPr>
                <w:rFonts w:hint="eastAsia"/>
                <w:b/>
                <w:bCs/>
                <w:sz w:val="24"/>
                <w:szCs w:val="24"/>
              </w:rPr>
              <w:t>4</w:t>
            </w:r>
            <w:r>
              <w:rPr>
                <w:b/>
                <w:bCs/>
                <w:sz w:val="24"/>
                <w:szCs w:val="24"/>
              </w:rPr>
              <w:t xml:space="preserve">  排气筒计算参数</w:t>
            </w:r>
          </w:p>
          <w:tbl>
            <w:tblPr>
              <w:tblStyle w:val="27"/>
              <w:tblW w:w="850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975"/>
              <w:gridCol w:w="1023"/>
              <w:gridCol w:w="1163"/>
              <w:gridCol w:w="1163"/>
              <w:gridCol w:w="1163"/>
              <w:gridCol w:w="1509"/>
              <w:gridCol w:w="1509"/>
            </w:tblGrid>
            <w:tr w14:paraId="5EC3EF6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75" w:type="dxa"/>
                  <w:tcBorders>
                    <w:tl2br w:val="nil"/>
                    <w:tr2bl w:val="nil"/>
                  </w:tcBorders>
                  <w:vAlign w:val="center"/>
                </w:tcPr>
                <w:p w14:paraId="16BAEA0B">
                  <w:pPr>
                    <w:pStyle w:val="15"/>
                    <w:widowControl/>
                    <w:autoSpaceDE w:val="0"/>
                    <w:autoSpaceDN w:val="0"/>
                    <w:jc w:val="center"/>
                    <w:rPr>
                      <w:rFonts w:ascii="Times New Roman" w:hAnsi="Times New Roman" w:cs="Times New Roman"/>
                      <w:bCs/>
                    </w:rPr>
                  </w:pPr>
                  <w:r>
                    <w:rPr>
                      <w:rFonts w:ascii="Times New Roman" w:hAnsi="Times New Roman" w:cs="Times New Roman"/>
                      <w:bCs/>
                    </w:rPr>
                    <w:t>污染源</w:t>
                  </w:r>
                </w:p>
              </w:tc>
              <w:tc>
                <w:tcPr>
                  <w:tcW w:w="1023" w:type="dxa"/>
                  <w:tcBorders>
                    <w:tl2br w:val="nil"/>
                    <w:tr2bl w:val="nil"/>
                  </w:tcBorders>
                  <w:vAlign w:val="center"/>
                </w:tcPr>
                <w:p w14:paraId="66FDC02A">
                  <w:pPr>
                    <w:pStyle w:val="15"/>
                    <w:widowControl/>
                    <w:autoSpaceDE w:val="0"/>
                    <w:autoSpaceDN w:val="0"/>
                    <w:jc w:val="center"/>
                    <w:rPr>
                      <w:rFonts w:ascii="Times New Roman" w:hAnsi="Times New Roman" w:cs="Times New Roman"/>
                      <w:bCs/>
                    </w:rPr>
                  </w:pPr>
                  <w:r>
                    <w:rPr>
                      <w:rFonts w:ascii="Times New Roman" w:hAnsi="Times New Roman" w:cs="Times New Roman"/>
                      <w:bCs/>
                    </w:rPr>
                    <w:t>污染物</w:t>
                  </w:r>
                </w:p>
                <w:p w14:paraId="31C03FED">
                  <w:pPr>
                    <w:pStyle w:val="15"/>
                    <w:widowControl/>
                    <w:autoSpaceDE w:val="0"/>
                    <w:autoSpaceDN w:val="0"/>
                    <w:jc w:val="center"/>
                    <w:rPr>
                      <w:rFonts w:ascii="Times New Roman" w:hAnsi="Times New Roman" w:cs="Times New Roman"/>
                      <w:bCs/>
                    </w:rPr>
                  </w:pPr>
                  <w:r>
                    <w:rPr>
                      <w:rFonts w:ascii="Times New Roman" w:hAnsi="Times New Roman" w:cs="Times New Roman"/>
                      <w:bCs/>
                    </w:rPr>
                    <w:t>名称</w:t>
                  </w:r>
                </w:p>
              </w:tc>
              <w:tc>
                <w:tcPr>
                  <w:tcW w:w="1163" w:type="dxa"/>
                  <w:tcBorders>
                    <w:tl2br w:val="nil"/>
                    <w:tr2bl w:val="nil"/>
                  </w:tcBorders>
                  <w:vAlign w:val="center"/>
                </w:tcPr>
                <w:p w14:paraId="13AE8BC1">
                  <w:pPr>
                    <w:pStyle w:val="15"/>
                    <w:widowControl/>
                    <w:autoSpaceDE w:val="0"/>
                    <w:autoSpaceDN w:val="0"/>
                    <w:jc w:val="center"/>
                    <w:rPr>
                      <w:rFonts w:ascii="Times New Roman" w:hAnsi="Times New Roman" w:cs="Times New Roman"/>
                      <w:bCs/>
                    </w:rPr>
                  </w:pPr>
                  <w:r>
                    <w:rPr>
                      <w:rFonts w:ascii="Times New Roman" w:hAnsi="Times New Roman" w:cs="Times New Roman"/>
                      <w:bCs/>
                    </w:rPr>
                    <w:t>排气筒</w:t>
                  </w:r>
                </w:p>
                <w:p w14:paraId="3082777B">
                  <w:pPr>
                    <w:pStyle w:val="15"/>
                    <w:widowControl/>
                    <w:autoSpaceDE w:val="0"/>
                    <w:autoSpaceDN w:val="0"/>
                    <w:jc w:val="center"/>
                    <w:rPr>
                      <w:rFonts w:ascii="Times New Roman" w:hAnsi="Times New Roman" w:cs="Times New Roman"/>
                      <w:bCs/>
                    </w:rPr>
                  </w:pPr>
                  <w:r>
                    <w:rPr>
                      <w:rFonts w:ascii="Times New Roman" w:hAnsi="Times New Roman" w:cs="Times New Roman"/>
                      <w:bCs/>
                    </w:rPr>
                    <w:t>高度（m）</w:t>
                  </w:r>
                </w:p>
              </w:tc>
              <w:tc>
                <w:tcPr>
                  <w:tcW w:w="1163" w:type="dxa"/>
                  <w:tcBorders>
                    <w:tl2br w:val="nil"/>
                    <w:tr2bl w:val="nil"/>
                  </w:tcBorders>
                  <w:vAlign w:val="center"/>
                </w:tcPr>
                <w:p w14:paraId="4178812A">
                  <w:pPr>
                    <w:pStyle w:val="15"/>
                    <w:widowControl/>
                    <w:autoSpaceDE w:val="0"/>
                    <w:autoSpaceDN w:val="0"/>
                    <w:jc w:val="center"/>
                    <w:rPr>
                      <w:rFonts w:ascii="Times New Roman" w:hAnsi="Times New Roman" w:cs="Times New Roman"/>
                      <w:bCs/>
                    </w:rPr>
                  </w:pPr>
                  <w:r>
                    <w:rPr>
                      <w:rFonts w:ascii="Times New Roman" w:hAnsi="Times New Roman" w:cs="Times New Roman"/>
                      <w:bCs/>
                    </w:rPr>
                    <w:t>内径</w:t>
                  </w:r>
                </w:p>
                <w:p w14:paraId="2C55365A">
                  <w:pPr>
                    <w:pStyle w:val="15"/>
                    <w:widowControl/>
                    <w:autoSpaceDE w:val="0"/>
                    <w:autoSpaceDN w:val="0"/>
                    <w:jc w:val="center"/>
                    <w:rPr>
                      <w:rFonts w:ascii="Times New Roman" w:hAnsi="Times New Roman" w:cs="Times New Roman"/>
                      <w:bCs/>
                    </w:rPr>
                  </w:pPr>
                  <w:r>
                    <w:rPr>
                      <w:rFonts w:ascii="Times New Roman" w:hAnsi="Times New Roman" w:cs="Times New Roman"/>
                      <w:bCs/>
                    </w:rPr>
                    <w:t>（m）</w:t>
                  </w:r>
                </w:p>
              </w:tc>
              <w:tc>
                <w:tcPr>
                  <w:tcW w:w="1163" w:type="dxa"/>
                  <w:tcBorders>
                    <w:tl2br w:val="nil"/>
                    <w:tr2bl w:val="nil"/>
                  </w:tcBorders>
                  <w:vAlign w:val="center"/>
                </w:tcPr>
                <w:p w14:paraId="1CF35A34">
                  <w:pPr>
                    <w:pStyle w:val="15"/>
                    <w:widowControl/>
                    <w:autoSpaceDE w:val="0"/>
                    <w:autoSpaceDN w:val="0"/>
                    <w:jc w:val="center"/>
                    <w:rPr>
                      <w:rFonts w:ascii="Times New Roman" w:hAnsi="Times New Roman" w:cs="Times New Roman"/>
                      <w:bCs/>
                    </w:rPr>
                  </w:pPr>
                  <w:r>
                    <w:rPr>
                      <w:rFonts w:ascii="Times New Roman" w:hAnsi="Times New Roman" w:cs="Times New Roman"/>
                      <w:bCs/>
                    </w:rPr>
                    <w:t>烟气温度</w:t>
                  </w:r>
                </w:p>
                <w:p w14:paraId="53A4E3DC">
                  <w:pPr>
                    <w:pStyle w:val="15"/>
                    <w:widowControl/>
                    <w:autoSpaceDE w:val="0"/>
                    <w:autoSpaceDN w:val="0"/>
                    <w:jc w:val="center"/>
                    <w:rPr>
                      <w:rFonts w:ascii="Times New Roman" w:hAnsi="Times New Roman" w:cs="Times New Roman"/>
                      <w:bCs/>
                    </w:rPr>
                  </w:pPr>
                  <w:r>
                    <w:rPr>
                      <w:rFonts w:ascii="Times New Roman" w:hAnsi="Times New Roman" w:cs="Times New Roman"/>
                      <w:bCs/>
                    </w:rPr>
                    <w:t>（</w:t>
                  </w:r>
                  <w:r>
                    <w:rPr>
                      <w:rFonts w:hint="eastAsia" w:ascii="Times New Roman" w:hAnsi="Times New Roman" w:cs="Times New Roman"/>
                      <w:bCs/>
                    </w:rPr>
                    <w:t>K</w:t>
                  </w:r>
                  <w:r>
                    <w:rPr>
                      <w:rFonts w:ascii="Times New Roman" w:hAnsi="Times New Roman" w:cs="Times New Roman"/>
                      <w:bCs/>
                    </w:rPr>
                    <w:t>）</w:t>
                  </w:r>
                </w:p>
              </w:tc>
              <w:tc>
                <w:tcPr>
                  <w:tcW w:w="1509" w:type="dxa"/>
                  <w:tcBorders>
                    <w:tl2br w:val="nil"/>
                    <w:tr2bl w:val="nil"/>
                  </w:tcBorders>
                  <w:vAlign w:val="center"/>
                </w:tcPr>
                <w:p w14:paraId="142391C8">
                  <w:pPr>
                    <w:pStyle w:val="15"/>
                    <w:widowControl/>
                    <w:autoSpaceDE w:val="0"/>
                    <w:autoSpaceDN w:val="0"/>
                    <w:jc w:val="center"/>
                    <w:rPr>
                      <w:rFonts w:ascii="Times New Roman" w:hAnsi="Times New Roman" w:cs="Times New Roman"/>
                      <w:bCs/>
                    </w:rPr>
                  </w:pPr>
                  <w:r>
                    <w:rPr>
                      <w:rFonts w:hint="eastAsia" w:ascii="Times New Roman" w:hAnsi="Times New Roman" w:cs="Times New Roman"/>
                      <w:bCs/>
                    </w:rPr>
                    <w:t>烟气流速</w:t>
                  </w:r>
                </w:p>
                <w:p w14:paraId="17BB6ECB">
                  <w:pPr>
                    <w:pStyle w:val="15"/>
                    <w:widowControl/>
                    <w:autoSpaceDE w:val="0"/>
                    <w:autoSpaceDN w:val="0"/>
                    <w:jc w:val="center"/>
                    <w:rPr>
                      <w:rFonts w:ascii="Times New Roman" w:hAnsi="Times New Roman" w:cs="Times New Roman"/>
                      <w:bCs/>
                    </w:rPr>
                  </w:pPr>
                  <w:r>
                    <w:rPr>
                      <w:rFonts w:hint="eastAsia" w:ascii="Times New Roman" w:hAnsi="Times New Roman" w:cs="Times New Roman"/>
                      <w:bCs/>
                    </w:rPr>
                    <w:t>（m/s）</w:t>
                  </w:r>
                </w:p>
              </w:tc>
              <w:tc>
                <w:tcPr>
                  <w:tcW w:w="1509" w:type="dxa"/>
                  <w:tcBorders>
                    <w:tl2br w:val="nil"/>
                    <w:tr2bl w:val="nil"/>
                  </w:tcBorders>
                  <w:vAlign w:val="center"/>
                </w:tcPr>
                <w:p w14:paraId="7494E750">
                  <w:pPr>
                    <w:pStyle w:val="15"/>
                    <w:widowControl/>
                    <w:autoSpaceDE w:val="0"/>
                    <w:autoSpaceDN w:val="0"/>
                    <w:jc w:val="center"/>
                    <w:rPr>
                      <w:rFonts w:ascii="Times New Roman" w:hAnsi="Times New Roman" w:cs="Times New Roman"/>
                      <w:bCs/>
                    </w:rPr>
                  </w:pPr>
                  <w:r>
                    <w:rPr>
                      <w:rFonts w:ascii="Times New Roman" w:hAnsi="Times New Roman" w:cs="Times New Roman"/>
                      <w:bCs/>
                    </w:rPr>
                    <w:t>评价因子源强（</w:t>
                  </w:r>
                  <w:r>
                    <w:rPr>
                      <w:rFonts w:hint="eastAsia" w:ascii="Times New Roman" w:hAnsi="Times New Roman" w:cs="Times New Roman"/>
                      <w:bCs/>
                    </w:rPr>
                    <w:t>g/s</w:t>
                  </w:r>
                  <w:r>
                    <w:rPr>
                      <w:rFonts w:ascii="Times New Roman" w:hAnsi="Times New Roman" w:cs="Times New Roman"/>
                      <w:bCs/>
                    </w:rPr>
                    <w:t>）</w:t>
                  </w:r>
                </w:p>
              </w:tc>
            </w:tr>
            <w:tr w14:paraId="63D4FE3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02" w:hRule="atLeast"/>
                <w:jc w:val="center"/>
              </w:trPr>
              <w:tc>
                <w:tcPr>
                  <w:tcW w:w="975" w:type="dxa"/>
                  <w:vMerge w:val="restart"/>
                  <w:tcBorders>
                    <w:tl2br w:val="nil"/>
                    <w:tr2bl w:val="nil"/>
                  </w:tcBorders>
                  <w:vAlign w:val="center"/>
                </w:tcPr>
                <w:p w14:paraId="4783C16E">
                  <w:pPr>
                    <w:widowControl/>
                    <w:jc w:val="center"/>
                    <w:rPr>
                      <w:bCs/>
                      <w:kern w:val="0"/>
                      <w:szCs w:val="21"/>
                    </w:rPr>
                  </w:pPr>
                  <w:r>
                    <w:rPr>
                      <w:rFonts w:hint="eastAsia"/>
                      <w:bCs/>
                      <w:kern w:val="0"/>
                      <w:szCs w:val="21"/>
                    </w:rPr>
                    <w:t>P1</w:t>
                  </w:r>
                </w:p>
              </w:tc>
              <w:tc>
                <w:tcPr>
                  <w:tcW w:w="1023" w:type="dxa"/>
                  <w:tcBorders>
                    <w:tl2br w:val="nil"/>
                    <w:tr2bl w:val="nil"/>
                  </w:tcBorders>
                  <w:vAlign w:val="center"/>
                </w:tcPr>
                <w:p w14:paraId="1EEA2B4C">
                  <w:pPr>
                    <w:widowControl/>
                    <w:jc w:val="center"/>
                    <w:rPr>
                      <w:bCs/>
                      <w:kern w:val="0"/>
                      <w:szCs w:val="21"/>
                    </w:rPr>
                  </w:pPr>
                  <w:r>
                    <w:rPr>
                      <w:bCs/>
                      <w:szCs w:val="21"/>
                    </w:rPr>
                    <w:t>VOCs</w:t>
                  </w:r>
                </w:p>
              </w:tc>
              <w:tc>
                <w:tcPr>
                  <w:tcW w:w="1163" w:type="dxa"/>
                  <w:tcBorders>
                    <w:tl2br w:val="nil"/>
                    <w:tr2bl w:val="nil"/>
                  </w:tcBorders>
                  <w:vAlign w:val="center"/>
                </w:tcPr>
                <w:p w14:paraId="0D1A8CE5">
                  <w:pPr>
                    <w:widowControl/>
                    <w:jc w:val="center"/>
                    <w:rPr>
                      <w:bCs/>
                      <w:kern w:val="0"/>
                      <w:szCs w:val="21"/>
                    </w:rPr>
                  </w:pPr>
                  <w:r>
                    <w:rPr>
                      <w:bCs/>
                      <w:kern w:val="0"/>
                      <w:szCs w:val="21"/>
                    </w:rPr>
                    <w:t>15</w:t>
                  </w:r>
                </w:p>
              </w:tc>
              <w:tc>
                <w:tcPr>
                  <w:tcW w:w="1163" w:type="dxa"/>
                  <w:tcBorders>
                    <w:tl2br w:val="nil"/>
                    <w:tr2bl w:val="nil"/>
                  </w:tcBorders>
                  <w:vAlign w:val="center"/>
                </w:tcPr>
                <w:p w14:paraId="4DC4D97D">
                  <w:pPr>
                    <w:widowControl/>
                    <w:jc w:val="center"/>
                    <w:rPr>
                      <w:bCs/>
                      <w:kern w:val="0"/>
                      <w:szCs w:val="21"/>
                    </w:rPr>
                  </w:pPr>
                  <w:r>
                    <w:rPr>
                      <w:rFonts w:hint="eastAsia"/>
                      <w:bCs/>
                      <w:kern w:val="0"/>
                      <w:szCs w:val="21"/>
                    </w:rPr>
                    <w:t>0.6</w:t>
                  </w:r>
                </w:p>
              </w:tc>
              <w:tc>
                <w:tcPr>
                  <w:tcW w:w="1163" w:type="dxa"/>
                  <w:tcBorders>
                    <w:tl2br w:val="nil"/>
                    <w:tr2bl w:val="nil"/>
                  </w:tcBorders>
                  <w:vAlign w:val="center"/>
                </w:tcPr>
                <w:p w14:paraId="05F4D205">
                  <w:pPr>
                    <w:widowControl/>
                    <w:jc w:val="center"/>
                    <w:rPr>
                      <w:bCs/>
                      <w:kern w:val="0"/>
                      <w:szCs w:val="21"/>
                    </w:rPr>
                  </w:pPr>
                  <w:r>
                    <w:rPr>
                      <w:rFonts w:hint="eastAsia"/>
                      <w:bCs/>
                      <w:kern w:val="0"/>
                      <w:szCs w:val="21"/>
                    </w:rPr>
                    <w:t>0</w:t>
                  </w:r>
                </w:p>
              </w:tc>
              <w:tc>
                <w:tcPr>
                  <w:tcW w:w="1509" w:type="dxa"/>
                  <w:tcBorders>
                    <w:tl2br w:val="nil"/>
                    <w:tr2bl w:val="nil"/>
                  </w:tcBorders>
                  <w:vAlign w:val="center"/>
                </w:tcPr>
                <w:p w14:paraId="5EEDAD7C">
                  <w:pPr>
                    <w:widowControl/>
                    <w:jc w:val="center"/>
                    <w:rPr>
                      <w:bCs/>
                      <w:kern w:val="0"/>
                      <w:szCs w:val="21"/>
                    </w:rPr>
                  </w:pPr>
                  <w:r>
                    <w:rPr>
                      <w:rFonts w:hint="eastAsia"/>
                      <w:bCs/>
                      <w:kern w:val="0"/>
                      <w:szCs w:val="21"/>
                    </w:rPr>
                    <w:t>9.34</w:t>
                  </w:r>
                </w:p>
              </w:tc>
              <w:tc>
                <w:tcPr>
                  <w:tcW w:w="1509" w:type="dxa"/>
                  <w:tcBorders>
                    <w:tl2br w:val="nil"/>
                    <w:tr2bl w:val="nil"/>
                  </w:tcBorders>
                  <w:vAlign w:val="center"/>
                </w:tcPr>
                <w:p w14:paraId="4A1597E9">
                  <w:pPr>
                    <w:widowControl/>
                    <w:jc w:val="center"/>
                    <w:rPr>
                      <w:bCs/>
                      <w:kern w:val="0"/>
                      <w:szCs w:val="21"/>
                    </w:rPr>
                  </w:pPr>
                  <w:r>
                    <w:rPr>
                      <w:rFonts w:hint="eastAsia"/>
                      <w:bCs/>
                      <w:kern w:val="0"/>
                      <w:szCs w:val="21"/>
                    </w:rPr>
                    <w:t>0.015</w:t>
                  </w:r>
                </w:p>
              </w:tc>
            </w:tr>
            <w:tr w14:paraId="66A8992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75" w:type="dxa"/>
                  <w:vMerge w:val="continue"/>
                  <w:tcBorders>
                    <w:tl2br w:val="nil"/>
                    <w:tr2bl w:val="nil"/>
                  </w:tcBorders>
                  <w:vAlign w:val="center"/>
                </w:tcPr>
                <w:p w14:paraId="33B8A7F4">
                  <w:pPr>
                    <w:widowControl/>
                    <w:jc w:val="center"/>
                    <w:rPr>
                      <w:bCs/>
                      <w:kern w:val="0"/>
                      <w:szCs w:val="21"/>
                    </w:rPr>
                  </w:pPr>
                </w:p>
              </w:tc>
              <w:tc>
                <w:tcPr>
                  <w:tcW w:w="1023" w:type="dxa"/>
                  <w:tcBorders>
                    <w:tl2br w:val="nil"/>
                    <w:tr2bl w:val="nil"/>
                  </w:tcBorders>
                  <w:vAlign w:val="center"/>
                </w:tcPr>
                <w:p w14:paraId="71F10839">
                  <w:pPr>
                    <w:widowControl/>
                    <w:jc w:val="center"/>
                    <w:rPr>
                      <w:bCs/>
                      <w:szCs w:val="21"/>
                    </w:rPr>
                  </w:pPr>
                  <w:r>
                    <w:rPr>
                      <w:rFonts w:hint="eastAsia"/>
                      <w:bCs/>
                      <w:szCs w:val="21"/>
                    </w:rPr>
                    <w:t>二甲苯</w:t>
                  </w:r>
                </w:p>
              </w:tc>
              <w:tc>
                <w:tcPr>
                  <w:tcW w:w="1163" w:type="dxa"/>
                  <w:tcBorders>
                    <w:tl2br w:val="nil"/>
                    <w:tr2bl w:val="nil"/>
                  </w:tcBorders>
                  <w:vAlign w:val="center"/>
                </w:tcPr>
                <w:p w14:paraId="35027CF4">
                  <w:pPr>
                    <w:widowControl/>
                    <w:jc w:val="center"/>
                    <w:rPr>
                      <w:bCs/>
                      <w:kern w:val="0"/>
                      <w:szCs w:val="21"/>
                    </w:rPr>
                  </w:pPr>
                  <w:r>
                    <w:rPr>
                      <w:rFonts w:hint="eastAsia"/>
                      <w:bCs/>
                      <w:kern w:val="0"/>
                      <w:szCs w:val="21"/>
                    </w:rPr>
                    <w:t>15</w:t>
                  </w:r>
                </w:p>
              </w:tc>
              <w:tc>
                <w:tcPr>
                  <w:tcW w:w="1163" w:type="dxa"/>
                  <w:tcBorders>
                    <w:tl2br w:val="nil"/>
                    <w:tr2bl w:val="nil"/>
                  </w:tcBorders>
                  <w:vAlign w:val="center"/>
                </w:tcPr>
                <w:p w14:paraId="045ED8BA">
                  <w:pPr>
                    <w:widowControl/>
                    <w:jc w:val="center"/>
                    <w:rPr>
                      <w:bCs/>
                      <w:kern w:val="0"/>
                      <w:szCs w:val="21"/>
                    </w:rPr>
                  </w:pPr>
                  <w:r>
                    <w:rPr>
                      <w:rFonts w:hint="eastAsia"/>
                      <w:bCs/>
                      <w:kern w:val="0"/>
                      <w:szCs w:val="21"/>
                    </w:rPr>
                    <w:t>0.6</w:t>
                  </w:r>
                </w:p>
              </w:tc>
              <w:tc>
                <w:tcPr>
                  <w:tcW w:w="1163" w:type="dxa"/>
                  <w:tcBorders>
                    <w:tl2br w:val="nil"/>
                    <w:tr2bl w:val="nil"/>
                  </w:tcBorders>
                  <w:vAlign w:val="center"/>
                </w:tcPr>
                <w:p w14:paraId="14084056">
                  <w:pPr>
                    <w:widowControl/>
                    <w:jc w:val="center"/>
                    <w:rPr>
                      <w:bCs/>
                      <w:kern w:val="0"/>
                      <w:szCs w:val="21"/>
                    </w:rPr>
                  </w:pPr>
                  <w:r>
                    <w:rPr>
                      <w:rFonts w:hint="eastAsia"/>
                      <w:bCs/>
                      <w:kern w:val="0"/>
                      <w:szCs w:val="21"/>
                    </w:rPr>
                    <w:t>0</w:t>
                  </w:r>
                </w:p>
              </w:tc>
              <w:tc>
                <w:tcPr>
                  <w:tcW w:w="1509" w:type="dxa"/>
                  <w:tcBorders>
                    <w:tl2br w:val="nil"/>
                    <w:tr2bl w:val="nil"/>
                  </w:tcBorders>
                  <w:vAlign w:val="center"/>
                </w:tcPr>
                <w:p w14:paraId="4CFF081B">
                  <w:pPr>
                    <w:widowControl/>
                    <w:jc w:val="center"/>
                    <w:rPr>
                      <w:bCs/>
                      <w:kern w:val="0"/>
                      <w:szCs w:val="21"/>
                    </w:rPr>
                  </w:pPr>
                  <w:r>
                    <w:rPr>
                      <w:rFonts w:hint="eastAsia"/>
                      <w:bCs/>
                      <w:kern w:val="0"/>
                      <w:szCs w:val="21"/>
                    </w:rPr>
                    <w:t>9.34</w:t>
                  </w:r>
                </w:p>
              </w:tc>
              <w:tc>
                <w:tcPr>
                  <w:tcW w:w="1509" w:type="dxa"/>
                  <w:tcBorders>
                    <w:tl2br w:val="nil"/>
                    <w:tr2bl w:val="nil"/>
                  </w:tcBorders>
                  <w:vAlign w:val="center"/>
                </w:tcPr>
                <w:p w14:paraId="221271DA">
                  <w:pPr>
                    <w:widowControl/>
                    <w:jc w:val="center"/>
                    <w:rPr>
                      <w:bCs/>
                      <w:kern w:val="0"/>
                      <w:szCs w:val="21"/>
                    </w:rPr>
                  </w:pPr>
                  <w:r>
                    <w:rPr>
                      <w:rFonts w:hint="eastAsia"/>
                      <w:bCs/>
                      <w:kern w:val="0"/>
                      <w:szCs w:val="21"/>
                    </w:rPr>
                    <w:t>0.003</w:t>
                  </w:r>
                </w:p>
              </w:tc>
            </w:tr>
            <w:tr w14:paraId="1298AA7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975" w:type="dxa"/>
                  <w:tcBorders>
                    <w:tl2br w:val="nil"/>
                    <w:tr2bl w:val="nil"/>
                  </w:tcBorders>
                  <w:vAlign w:val="center"/>
                </w:tcPr>
                <w:p w14:paraId="72EF8FF7">
                  <w:pPr>
                    <w:widowControl/>
                    <w:jc w:val="center"/>
                    <w:rPr>
                      <w:bCs/>
                      <w:kern w:val="0"/>
                      <w:szCs w:val="21"/>
                    </w:rPr>
                  </w:pPr>
                  <w:r>
                    <w:rPr>
                      <w:rFonts w:hint="eastAsia"/>
                      <w:bCs/>
                      <w:kern w:val="0"/>
                      <w:szCs w:val="21"/>
                    </w:rPr>
                    <w:t>P2</w:t>
                  </w:r>
                </w:p>
              </w:tc>
              <w:tc>
                <w:tcPr>
                  <w:tcW w:w="1023" w:type="dxa"/>
                  <w:tcBorders>
                    <w:tl2br w:val="nil"/>
                    <w:tr2bl w:val="nil"/>
                  </w:tcBorders>
                  <w:vAlign w:val="center"/>
                </w:tcPr>
                <w:p w14:paraId="4EE0D3E3">
                  <w:pPr>
                    <w:widowControl/>
                    <w:jc w:val="center"/>
                    <w:rPr>
                      <w:bCs/>
                      <w:szCs w:val="21"/>
                    </w:rPr>
                  </w:pPr>
                  <w:r>
                    <w:rPr>
                      <w:rFonts w:hint="eastAsia"/>
                      <w:bCs/>
                      <w:szCs w:val="21"/>
                    </w:rPr>
                    <w:t>颗粒物</w:t>
                  </w:r>
                </w:p>
              </w:tc>
              <w:tc>
                <w:tcPr>
                  <w:tcW w:w="1163" w:type="dxa"/>
                  <w:tcBorders>
                    <w:tl2br w:val="nil"/>
                    <w:tr2bl w:val="nil"/>
                  </w:tcBorders>
                  <w:vAlign w:val="center"/>
                </w:tcPr>
                <w:p w14:paraId="480BBA07">
                  <w:pPr>
                    <w:widowControl/>
                    <w:jc w:val="center"/>
                    <w:rPr>
                      <w:bCs/>
                      <w:kern w:val="0"/>
                      <w:szCs w:val="21"/>
                    </w:rPr>
                  </w:pPr>
                  <w:r>
                    <w:rPr>
                      <w:rFonts w:hint="eastAsia"/>
                      <w:bCs/>
                      <w:kern w:val="0"/>
                      <w:szCs w:val="21"/>
                    </w:rPr>
                    <w:t>15</w:t>
                  </w:r>
                </w:p>
              </w:tc>
              <w:tc>
                <w:tcPr>
                  <w:tcW w:w="1163" w:type="dxa"/>
                  <w:tcBorders>
                    <w:tl2br w:val="nil"/>
                    <w:tr2bl w:val="nil"/>
                  </w:tcBorders>
                  <w:vAlign w:val="center"/>
                </w:tcPr>
                <w:p w14:paraId="2696536C">
                  <w:pPr>
                    <w:widowControl/>
                    <w:jc w:val="center"/>
                    <w:rPr>
                      <w:bCs/>
                      <w:kern w:val="0"/>
                      <w:szCs w:val="21"/>
                    </w:rPr>
                  </w:pPr>
                  <w:r>
                    <w:rPr>
                      <w:rFonts w:hint="eastAsia"/>
                      <w:bCs/>
                      <w:kern w:val="0"/>
                      <w:szCs w:val="21"/>
                    </w:rPr>
                    <w:t>0.4</w:t>
                  </w:r>
                </w:p>
              </w:tc>
              <w:tc>
                <w:tcPr>
                  <w:tcW w:w="1163" w:type="dxa"/>
                  <w:tcBorders>
                    <w:tl2br w:val="nil"/>
                    <w:tr2bl w:val="nil"/>
                  </w:tcBorders>
                  <w:vAlign w:val="center"/>
                </w:tcPr>
                <w:p w14:paraId="65B7A503">
                  <w:pPr>
                    <w:widowControl/>
                    <w:jc w:val="center"/>
                    <w:rPr>
                      <w:bCs/>
                      <w:kern w:val="0"/>
                      <w:szCs w:val="21"/>
                    </w:rPr>
                  </w:pPr>
                  <w:r>
                    <w:rPr>
                      <w:rFonts w:hint="eastAsia"/>
                      <w:bCs/>
                      <w:kern w:val="0"/>
                      <w:szCs w:val="21"/>
                    </w:rPr>
                    <w:t>0</w:t>
                  </w:r>
                </w:p>
              </w:tc>
              <w:tc>
                <w:tcPr>
                  <w:tcW w:w="1509" w:type="dxa"/>
                  <w:tcBorders>
                    <w:tl2br w:val="nil"/>
                    <w:tr2bl w:val="nil"/>
                  </w:tcBorders>
                  <w:vAlign w:val="center"/>
                </w:tcPr>
                <w:p w14:paraId="16F2C319">
                  <w:pPr>
                    <w:widowControl/>
                    <w:jc w:val="center"/>
                    <w:rPr>
                      <w:bCs/>
                      <w:kern w:val="0"/>
                      <w:szCs w:val="21"/>
                    </w:rPr>
                  </w:pPr>
                  <w:r>
                    <w:rPr>
                      <w:rFonts w:hint="eastAsia"/>
                      <w:bCs/>
                      <w:kern w:val="0"/>
                      <w:szCs w:val="21"/>
                    </w:rPr>
                    <w:t>21.02</w:t>
                  </w:r>
                </w:p>
              </w:tc>
              <w:tc>
                <w:tcPr>
                  <w:tcW w:w="1509" w:type="dxa"/>
                  <w:tcBorders>
                    <w:tl2br w:val="nil"/>
                    <w:tr2bl w:val="nil"/>
                  </w:tcBorders>
                  <w:vAlign w:val="center"/>
                </w:tcPr>
                <w:p w14:paraId="047A18D9">
                  <w:pPr>
                    <w:widowControl/>
                    <w:jc w:val="center"/>
                    <w:rPr>
                      <w:bCs/>
                      <w:kern w:val="0"/>
                      <w:szCs w:val="21"/>
                    </w:rPr>
                  </w:pPr>
                  <w:r>
                    <w:rPr>
                      <w:rFonts w:hint="eastAsia"/>
                      <w:bCs/>
                      <w:kern w:val="0"/>
                      <w:szCs w:val="21"/>
                    </w:rPr>
                    <w:t>0.001</w:t>
                  </w:r>
                </w:p>
              </w:tc>
            </w:tr>
          </w:tbl>
          <w:p w14:paraId="7DA350D5">
            <w:pPr>
              <w:snapToGrid w:val="0"/>
              <w:spacing w:line="360" w:lineRule="auto"/>
              <w:ind w:firstLine="480" w:firstLineChars="200"/>
              <w:rPr>
                <w:sz w:val="24"/>
                <w:szCs w:val="24"/>
              </w:rPr>
            </w:pPr>
            <w:r>
              <w:rPr>
                <w:rFonts w:hint="eastAsia"/>
                <w:sz w:val="24"/>
                <w:szCs w:val="24"/>
              </w:rPr>
              <w:t>（3）</w:t>
            </w:r>
            <w:r>
              <w:rPr>
                <w:sz w:val="24"/>
                <w:szCs w:val="24"/>
              </w:rPr>
              <w:t>面源参数</w:t>
            </w:r>
            <w:r>
              <w:rPr>
                <w:rFonts w:hint="eastAsia"/>
                <w:sz w:val="24"/>
                <w:szCs w:val="24"/>
              </w:rPr>
              <w:t>见下表。</w:t>
            </w:r>
          </w:p>
          <w:p w14:paraId="482CAF70">
            <w:pPr>
              <w:pStyle w:val="19"/>
              <w:snapToGrid/>
              <w:jc w:val="center"/>
              <w:rPr>
                <w:b/>
                <w:bCs/>
                <w:sz w:val="24"/>
                <w:szCs w:val="24"/>
              </w:rPr>
            </w:pPr>
            <w:r>
              <w:rPr>
                <w:b/>
                <w:bCs/>
                <w:sz w:val="24"/>
                <w:szCs w:val="24"/>
              </w:rPr>
              <w:t>表7-</w:t>
            </w:r>
            <w:r>
              <w:rPr>
                <w:rFonts w:hint="eastAsia"/>
                <w:b/>
                <w:bCs/>
                <w:sz w:val="24"/>
                <w:szCs w:val="24"/>
              </w:rPr>
              <w:t>5</w:t>
            </w:r>
            <w:r>
              <w:rPr>
                <w:b/>
                <w:bCs/>
                <w:sz w:val="24"/>
                <w:szCs w:val="24"/>
              </w:rPr>
              <w:t xml:space="preserve">  面源计算参数</w:t>
            </w:r>
          </w:p>
          <w:tbl>
            <w:tblPr>
              <w:tblStyle w:val="27"/>
              <w:tblW w:w="849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831"/>
              <w:gridCol w:w="990"/>
              <w:gridCol w:w="1060"/>
              <w:gridCol w:w="1060"/>
              <w:gridCol w:w="1060"/>
              <w:gridCol w:w="1060"/>
              <w:gridCol w:w="1060"/>
              <w:gridCol w:w="1376"/>
            </w:tblGrid>
            <w:tr w14:paraId="55D7667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831" w:type="dxa"/>
                  <w:tcBorders>
                    <w:tl2br w:val="nil"/>
                    <w:tr2bl w:val="nil"/>
                  </w:tcBorders>
                  <w:vAlign w:val="center"/>
                </w:tcPr>
                <w:p w14:paraId="6FAE1F0E">
                  <w:pPr>
                    <w:pStyle w:val="15"/>
                    <w:widowControl/>
                    <w:autoSpaceDE w:val="0"/>
                    <w:autoSpaceDN w:val="0"/>
                    <w:jc w:val="center"/>
                    <w:rPr>
                      <w:rFonts w:ascii="Times New Roman" w:hAnsi="Times New Roman" w:cs="Times New Roman"/>
                      <w:bCs/>
                    </w:rPr>
                  </w:pPr>
                  <w:r>
                    <w:rPr>
                      <w:rFonts w:ascii="Times New Roman" w:hAnsi="Times New Roman" w:cs="Times New Roman"/>
                      <w:bCs/>
                    </w:rPr>
                    <w:t>污染源</w:t>
                  </w:r>
                </w:p>
              </w:tc>
              <w:tc>
                <w:tcPr>
                  <w:tcW w:w="990" w:type="dxa"/>
                  <w:tcBorders>
                    <w:tl2br w:val="nil"/>
                    <w:tr2bl w:val="nil"/>
                  </w:tcBorders>
                  <w:vAlign w:val="center"/>
                </w:tcPr>
                <w:p w14:paraId="0C490DD5">
                  <w:pPr>
                    <w:pStyle w:val="15"/>
                    <w:widowControl/>
                    <w:autoSpaceDE w:val="0"/>
                    <w:autoSpaceDN w:val="0"/>
                    <w:jc w:val="center"/>
                    <w:rPr>
                      <w:rFonts w:ascii="Times New Roman" w:hAnsi="Times New Roman" w:cs="Times New Roman"/>
                      <w:bCs/>
                    </w:rPr>
                  </w:pPr>
                  <w:r>
                    <w:rPr>
                      <w:rFonts w:ascii="Times New Roman" w:hAnsi="Times New Roman" w:cs="Times New Roman"/>
                      <w:bCs/>
                    </w:rPr>
                    <w:t>污染物</w:t>
                  </w:r>
                </w:p>
                <w:p w14:paraId="11D20EC6">
                  <w:pPr>
                    <w:pStyle w:val="15"/>
                    <w:widowControl/>
                    <w:autoSpaceDE w:val="0"/>
                    <w:autoSpaceDN w:val="0"/>
                    <w:jc w:val="center"/>
                    <w:rPr>
                      <w:rFonts w:ascii="Times New Roman" w:hAnsi="Times New Roman" w:cs="Times New Roman"/>
                      <w:bCs/>
                    </w:rPr>
                  </w:pPr>
                  <w:r>
                    <w:rPr>
                      <w:rFonts w:ascii="Times New Roman" w:hAnsi="Times New Roman" w:cs="Times New Roman"/>
                      <w:bCs/>
                    </w:rPr>
                    <w:t>名称</w:t>
                  </w:r>
                </w:p>
              </w:tc>
              <w:tc>
                <w:tcPr>
                  <w:tcW w:w="1060" w:type="dxa"/>
                  <w:tcBorders>
                    <w:tl2br w:val="nil"/>
                    <w:tr2bl w:val="nil"/>
                  </w:tcBorders>
                  <w:vAlign w:val="center"/>
                </w:tcPr>
                <w:p w14:paraId="3EE171B2">
                  <w:pPr>
                    <w:pStyle w:val="15"/>
                    <w:widowControl/>
                    <w:autoSpaceDE w:val="0"/>
                    <w:autoSpaceDN w:val="0"/>
                    <w:jc w:val="center"/>
                    <w:rPr>
                      <w:rFonts w:ascii="Times New Roman" w:hAnsi="Times New Roman" w:cs="Times New Roman"/>
                      <w:bCs/>
                    </w:rPr>
                  </w:pPr>
                  <w:r>
                    <w:rPr>
                      <w:rFonts w:ascii="Times New Roman" w:hAnsi="Times New Roman" w:cs="Times New Roman"/>
                      <w:bCs/>
                    </w:rPr>
                    <w:t>面源</w:t>
                  </w:r>
                  <w:r>
                    <w:rPr>
                      <w:rFonts w:hint="eastAsia" w:ascii="Times New Roman" w:hAnsi="Times New Roman" w:cs="Times New Roman"/>
                      <w:bCs/>
                    </w:rPr>
                    <w:t>高</w:t>
                  </w:r>
                  <w:r>
                    <w:rPr>
                      <w:rFonts w:ascii="Times New Roman" w:hAnsi="Times New Roman" w:cs="Times New Roman"/>
                      <w:bCs/>
                    </w:rPr>
                    <w:t>度</w:t>
                  </w:r>
                </w:p>
                <w:p w14:paraId="3B5E7F91">
                  <w:pPr>
                    <w:pStyle w:val="15"/>
                    <w:widowControl/>
                    <w:autoSpaceDE w:val="0"/>
                    <w:autoSpaceDN w:val="0"/>
                    <w:jc w:val="center"/>
                    <w:rPr>
                      <w:rFonts w:ascii="Times New Roman" w:hAnsi="Times New Roman" w:cs="Times New Roman"/>
                      <w:bCs/>
                    </w:rPr>
                  </w:pPr>
                  <w:r>
                    <w:rPr>
                      <w:rFonts w:ascii="Times New Roman" w:hAnsi="Times New Roman" w:cs="Times New Roman"/>
                      <w:bCs/>
                    </w:rPr>
                    <w:t>（m）</w:t>
                  </w:r>
                </w:p>
              </w:tc>
              <w:tc>
                <w:tcPr>
                  <w:tcW w:w="1060" w:type="dxa"/>
                  <w:tcBorders>
                    <w:tl2br w:val="nil"/>
                    <w:tr2bl w:val="nil"/>
                  </w:tcBorders>
                  <w:vAlign w:val="center"/>
                </w:tcPr>
                <w:p w14:paraId="1CB970BA">
                  <w:pPr>
                    <w:pStyle w:val="15"/>
                    <w:widowControl/>
                    <w:autoSpaceDE w:val="0"/>
                    <w:autoSpaceDN w:val="0"/>
                    <w:jc w:val="center"/>
                    <w:rPr>
                      <w:rFonts w:ascii="Times New Roman" w:hAnsi="Times New Roman" w:cs="Times New Roman"/>
                      <w:bCs/>
                    </w:rPr>
                  </w:pPr>
                  <w:r>
                    <w:rPr>
                      <w:rFonts w:ascii="Times New Roman" w:hAnsi="Times New Roman" w:cs="Times New Roman"/>
                      <w:bCs/>
                    </w:rPr>
                    <w:t>面源长度</w:t>
                  </w:r>
                </w:p>
                <w:p w14:paraId="38134DDD">
                  <w:pPr>
                    <w:pStyle w:val="15"/>
                    <w:widowControl/>
                    <w:autoSpaceDE w:val="0"/>
                    <w:autoSpaceDN w:val="0"/>
                    <w:jc w:val="center"/>
                    <w:rPr>
                      <w:rFonts w:ascii="Times New Roman" w:hAnsi="Times New Roman" w:cs="Times New Roman"/>
                      <w:bCs/>
                    </w:rPr>
                  </w:pPr>
                  <w:r>
                    <w:rPr>
                      <w:rFonts w:ascii="Times New Roman" w:hAnsi="Times New Roman" w:cs="Times New Roman"/>
                      <w:bCs/>
                    </w:rPr>
                    <w:t>（m）</w:t>
                  </w:r>
                </w:p>
              </w:tc>
              <w:tc>
                <w:tcPr>
                  <w:tcW w:w="1060" w:type="dxa"/>
                  <w:tcBorders>
                    <w:tl2br w:val="nil"/>
                    <w:tr2bl w:val="nil"/>
                  </w:tcBorders>
                  <w:vAlign w:val="center"/>
                </w:tcPr>
                <w:p w14:paraId="13455022">
                  <w:pPr>
                    <w:pStyle w:val="15"/>
                    <w:widowControl/>
                    <w:autoSpaceDE w:val="0"/>
                    <w:autoSpaceDN w:val="0"/>
                    <w:jc w:val="center"/>
                    <w:rPr>
                      <w:rFonts w:ascii="Times New Roman" w:hAnsi="Times New Roman" w:cs="Times New Roman"/>
                      <w:bCs/>
                    </w:rPr>
                  </w:pPr>
                  <w:r>
                    <w:rPr>
                      <w:rFonts w:ascii="Times New Roman" w:hAnsi="Times New Roman" w:cs="Times New Roman"/>
                      <w:bCs/>
                    </w:rPr>
                    <w:t>面源宽度</w:t>
                  </w:r>
                </w:p>
                <w:p w14:paraId="10A17B91">
                  <w:pPr>
                    <w:pStyle w:val="15"/>
                    <w:widowControl/>
                    <w:autoSpaceDE w:val="0"/>
                    <w:autoSpaceDN w:val="0"/>
                    <w:jc w:val="center"/>
                    <w:rPr>
                      <w:rFonts w:ascii="Times New Roman" w:hAnsi="Times New Roman" w:cs="Times New Roman"/>
                      <w:bCs/>
                    </w:rPr>
                  </w:pPr>
                  <w:r>
                    <w:rPr>
                      <w:rFonts w:ascii="Times New Roman" w:hAnsi="Times New Roman" w:cs="Times New Roman"/>
                      <w:bCs/>
                    </w:rPr>
                    <w:t>（m）</w:t>
                  </w:r>
                </w:p>
              </w:tc>
              <w:tc>
                <w:tcPr>
                  <w:tcW w:w="1060" w:type="dxa"/>
                  <w:tcBorders>
                    <w:tl2br w:val="nil"/>
                    <w:tr2bl w:val="nil"/>
                  </w:tcBorders>
                  <w:vAlign w:val="center"/>
                </w:tcPr>
                <w:p w14:paraId="35DD5A04">
                  <w:pPr>
                    <w:pStyle w:val="15"/>
                    <w:widowControl/>
                    <w:autoSpaceDE w:val="0"/>
                    <w:autoSpaceDN w:val="0"/>
                    <w:jc w:val="center"/>
                    <w:rPr>
                      <w:rFonts w:ascii="Times New Roman" w:hAnsi="Times New Roman" w:cs="Times New Roman"/>
                      <w:bCs/>
                    </w:rPr>
                  </w:pPr>
                  <w:r>
                    <w:rPr>
                      <w:rFonts w:hint="eastAsia" w:ascii="Times New Roman" w:hAnsi="Times New Roman" w:cs="Times New Roman"/>
                      <w:bCs/>
                    </w:rPr>
                    <w:t>初始垂向扩散参数</w:t>
                  </w:r>
                </w:p>
              </w:tc>
              <w:tc>
                <w:tcPr>
                  <w:tcW w:w="1060" w:type="dxa"/>
                  <w:tcBorders>
                    <w:tl2br w:val="nil"/>
                    <w:tr2bl w:val="nil"/>
                  </w:tcBorders>
                  <w:vAlign w:val="center"/>
                </w:tcPr>
                <w:p w14:paraId="22CDDDF8">
                  <w:pPr>
                    <w:pStyle w:val="15"/>
                    <w:widowControl/>
                    <w:autoSpaceDE w:val="0"/>
                    <w:autoSpaceDN w:val="0"/>
                    <w:jc w:val="center"/>
                    <w:rPr>
                      <w:rFonts w:ascii="Times New Roman" w:hAnsi="Times New Roman" w:cs="Times New Roman"/>
                      <w:bCs/>
                    </w:rPr>
                  </w:pPr>
                  <w:r>
                    <w:rPr>
                      <w:rFonts w:hint="eastAsia" w:ascii="Times New Roman" w:hAnsi="Times New Roman" w:cs="Times New Roman"/>
                      <w:bCs/>
                    </w:rPr>
                    <w:t>最小</w:t>
                  </w:r>
                  <w:r>
                    <w:rPr>
                      <w:rFonts w:ascii="Times New Roman" w:hAnsi="Times New Roman" w:cs="Times New Roman"/>
                      <w:bCs/>
                    </w:rPr>
                    <w:t>风速</w:t>
                  </w:r>
                </w:p>
                <w:p w14:paraId="6FC8FD68">
                  <w:pPr>
                    <w:pStyle w:val="15"/>
                    <w:widowControl/>
                    <w:autoSpaceDE w:val="0"/>
                    <w:autoSpaceDN w:val="0"/>
                    <w:jc w:val="center"/>
                    <w:rPr>
                      <w:rFonts w:ascii="Times New Roman" w:hAnsi="Times New Roman" w:cs="Times New Roman"/>
                      <w:bCs/>
                    </w:rPr>
                  </w:pPr>
                  <w:r>
                    <w:rPr>
                      <w:rFonts w:ascii="Times New Roman" w:hAnsi="Times New Roman" w:cs="Times New Roman"/>
                      <w:bCs/>
                    </w:rPr>
                    <w:t>（m/s）</w:t>
                  </w:r>
                </w:p>
              </w:tc>
              <w:tc>
                <w:tcPr>
                  <w:tcW w:w="1376" w:type="dxa"/>
                  <w:tcBorders>
                    <w:tl2br w:val="nil"/>
                    <w:tr2bl w:val="nil"/>
                  </w:tcBorders>
                  <w:vAlign w:val="center"/>
                </w:tcPr>
                <w:p w14:paraId="0DFCDEE3">
                  <w:pPr>
                    <w:pStyle w:val="15"/>
                    <w:widowControl/>
                    <w:autoSpaceDE w:val="0"/>
                    <w:autoSpaceDN w:val="0"/>
                    <w:jc w:val="center"/>
                    <w:rPr>
                      <w:rFonts w:ascii="Times New Roman" w:hAnsi="Times New Roman" w:cs="Times New Roman"/>
                      <w:bCs/>
                    </w:rPr>
                  </w:pPr>
                  <w:r>
                    <w:rPr>
                      <w:rFonts w:ascii="Times New Roman" w:hAnsi="Times New Roman" w:cs="Times New Roman"/>
                      <w:bCs/>
                    </w:rPr>
                    <w:t>评价因子源强（</w:t>
                  </w:r>
                  <w:r>
                    <w:rPr>
                      <w:rFonts w:hint="eastAsia" w:ascii="Times New Roman" w:hAnsi="Times New Roman" w:cs="Times New Roman"/>
                      <w:bCs/>
                    </w:rPr>
                    <w:t>g/s</w:t>
                  </w:r>
                  <w:r>
                    <w:rPr>
                      <w:rFonts w:ascii="Times New Roman" w:hAnsi="Times New Roman" w:cs="Times New Roman"/>
                      <w:bCs/>
                    </w:rPr>
                    <w:t>）</w:t>
                  </w:r>
                </w:p>
              </w:tc>
            </w:tr>
            <w:tr w14:paraId="283D915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831" w:type="dxa"/>
                  <w:vMerge w:val="restart"/>
                  <w:tcBorders>
                    <w:tl2br w:val="nil"/>
                    <w:tr2bl w:val="nil"/>
                  </w:tcBorders>
                  <w:vAlign w:val="center"/>
                </w:tcPr>
                <w:p w14:paraId="1D22845B">
                  <w:pPr>
                    <w:widowControl/>
                    <w:jc w:val="center"/>
                    <w:rPr>
                      <w:bCs/>
                      <w:kern w:val="0"/>
                      <w:szCs w:val="21"/>
                    </w:rPr>
                  </w:pPr>
                  <w:r>
                    <w:rPr>
                      <w:bCs/>
                      <w:kern w:val="0"/>
                      <w:szCs w:val="21"/>
                    </w:rPr>
                    <w:t>生产</w:t>
                  </w:r>
                </w:p>
                <w:p w14:paraId="4444815D">
                  <w:pPr>
                    <w:widowControl/>
                    <w:jc w:val="center"/>
                    <w:rPr>
                      <w:bCs/>
                      <w:kern w:val="0"/>
                      <w:szCs w:val="21"/>
                    </w:rPr>
                  </w:pPr>
                  <w:r>
                    <w:rPr>
                      <w:bCs/>
                      <w:kern w:val="0"/>
                      <w:szCs w:val="21"/>
                    </w:rPr>
                    <w:t>车间</w:t>
                  </w:r>
                </w:p>
              </w:tc>
              <w:tc>
                <w:tcPr>
                  <w:tcW w:w="990" w:type="dxa"/>
                  <w:tcBorders>
                    <w:tl2br w:val="nil"/>
                    <w:tr2bl w:val="nil"/>
                  </w:tcBorders>
                  <w:vAlign w:val="center"/>
                </w:tcPr>
                <w:p w14:paraId="2BEDAEF6">
                  <w:pPr>
                    <w:widowControl/>
                    <w:jc w:val="center"/>
                    <w:rPr>
                      <w:bCs/>
                      <w:kern w:val="0"/>
                      <w:szCs w:val="21"/>
                    </w:rPr>
                  </w:pPr>
                  <w:r>
                    <w:rPr>
                      <w:bCs/>
                      <w:szCs w:val="21"/>
                    </w:rPr>
                    <w:t>VOCs</w:t>
                  </w:r>
                </w:p>
              </w:tc>
              <w:tc>
                <w:tcPr>
                  <w:tcW w:w="1060" w:type="dxa"/>
                  <w:tcBorders>
                    <w:tl2br w:val="nil"/>
                    <w:tr2bl w:val="nil"/>
                  </w:tcBorders>
                  <w:vAlign w:val="center"/>
                </w:tcPr>
                <w:p w14:paraId="39550B54">
                  <w:pPr>
                    <w:widowControl/>
                    <w:jc w:val="center"/>
                    <w:rPr>
                      <w:bCs/>
                      <w:kern w:val="0"/>
                      <w:szCs w:val="21"/>
                    </w:rPr>
                  </w:pPr>
                  <w:r>
                    <w:rPr>
                      <w:rFonts w:hint="eastAsia"/>
                      <w:bCs/>
                      <w:kern w:val="0"/>
                      <w:szCs w:val="21"/>
                    </w:rPr>
                    <w:t>5</w:t>
                  </w:r>
                </w:p>
              </w:tc>
              <w:tc>
                <w:tcPr>
                  <w:tcW w:w="1060" w:type="dxa"/>
                  <w:tcBorders>
                    <w:tl2br w:val="nil"/>
                    <w:tr2bl w:val="nil"/>
                  </w:tcBorders>
                  <w:vAlign w:val="center"/>
                </w:tcPr>
                <w:p w14:paraId="0356F64A">
                  <w:pPr>
                    <w:widowControl/>
                    <w:jc w:val="center"/>
                    <w:rPr>
                      <w:bCs/>
                      <w:kern w:val="0"/>
                      <w:szCs w:val="21"/>
                    </w:rPr>
                  </w:pPr>
                  <w:r>
                    <w:rPr>
                      <w:rFonts w:hint="eastAsia"/>
                      <w:bCs/>
                      <w:kern w:val="0"/>
                      <w:szCs w:val="21"/>
                    </w:rPr>
                    <w:t>90</w:t>
                  </w:r>
                </w:p>
              </w:tc>
              <w:tc>
                <w:tcPr>
                  <w:tcW w:w="1060" w:type="dxa"/>
                  <w:tcBorders>
                    <w:tl2br w:val="nil"/>
                    <w:tr2bl w:val="nil"/>
                  </w:tcBorders>
                  <w:vAlign w:val="center"/>
                </w:tcPr>
                <w:p w14:paraId="011F47F0">
                  <w:pPr>
                    <w:widowControl/>
                    <w:jc w:val="center"/>
                    <w:rPr>
                      <w:bCs/>
                      <w:kern w:val="0"/>
                      <w:szCs w:val="21"/>
                    </w:rPr>
                  </w:pPr>
                  <w:r>
                    <w:rPr>
                      <w:rFonts w:hint="eastAsia"/>
                      <w:bCs/>
                      <w:kern w:val="0"/>
                      <w:szCs w:val="21"/>
                    </w:rPr>
                    <w:t>15</w:t>
                  </w:r>
                </w:p>
              </w:tc>
              <w:tc>
                <w:tcPr>
                  <w:tcW w:w="1060" w:type="dxa"/>
                  <w:tcBorders>
                    <w:tl2br w:val="nil"/>
                    <w:tr2bl w:val="nil"/>
                  </w:tcBorders>
                  <w:vAlign w:val="center"/>
                </w:tcPr>
                <w:p w14:paraId="30494458">
                  <w:pPr>
                    <w:widowControl/>
                    <w:jc w:val="center"/>
                    <w:rPr>
                      <w:bCs/>
                      <w:kern w:val="0"/>
                      <w:szCs w:val="21"/>
                    </w:rPr>
                  </w:pPr>
                  <w:r>
                    <w:rPr>
                      <w:rFonts w:hint="eastAsia"/>
                      <w:bCs/>
                      <w:kern w:val="0"/>
                      <w:szCs w:val="21"/>
                    </w:rPr>
                    <w:t>5.63</w:t>
                  </w:r>
                </w:p>
              </w:tc>
              <w:tc>
                <w:tcPr>
                  <w:tcW w:w="1060" w:type="dxa"/>
                  <w:tcBorders>
                    <w:tl2br w:val="nil"/>
                    <w:tr2bl w:val="nil"/>
                  </w:tcBorders>
                  <w:vAlign w:val="center"/>
                </w:tcPr>
                <w:p w14:paraId="6CDA2B77">
                  <w:pPr>
                    <w:widowControl/>
                    <w:jc w:val="center"/>
                    <w:rPr>
                      <w:bCs/>
                      <w:kern w:val="0"/>
                      <w:szCs w:val="21"/>
                    </w:rPr>
                  </w:pPr>
                  <w:r>
                    <w:rPr>
                      <w:rFonts w:hint="eastAsia"/>
                      <w:bCs/>
                      <w:kern w:val="0"/>
                      <w:szCs w:val="21"/>
                    </w:rPr>
                    <w:t>0.5</w:t>
                  </w:r>
                </w:p>
              </w:tc>
              <w:tc>
                <w:tcPr>
                  <w:tcW w:w="1376" w:type="dxa"/>
                  <w:tcBorders>
                    <w:tl2br w:val="nil"/>
                    <w:tr2bl w:val="nil"/>
                  </w:tcBorders>
                  <w:vAlign w:val="center"/>
                </w:tcPr>
                <w:p w14:paraId="7C35AAA8">
                  <w:pPr>
                    <w:widowControl/>
                    <w:jc w:val="center"/>
                    <w:rPr>
                      <w:bCs/>
                      <w:kern w:val="0"/>
                      <w:szCs w:val="21"/>
                    </w:rPr>
                  </w:pPr>
                  <w:r>
                    <w:rPr>
                      <w:rFonts w:hint="eastAsia"/>
                      <w:bCs/>
                      <w:kern w:val="0"/>
                      <w:szCs w:val="21"/>
                    </w:rPr>
                    <w:t>0.007</w:t>
                  </w:r>
                </w:p>
              </w:tc>
            </w:tr>
            <w:tr w14:paraId="546178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831" w:type="dxa"/>
                  <w:vMerge w:val="continue"/>
                  <w:tcBorders>
                    <w:tl2br w:val="nil"/>
                    <w:tr2bl w:val="nil"/>
                  </w:tcBorders>
                  <w:vAlign w:val="center"/>
                </w:tcPr>
                <w:p w14:paraId="1FEDCE6D">
                  <w:pPr>
                    <w:widowControl/>
                    <w:jc w:val="center"/>
                    <w:rPr>
                      <w:bCs/>
                      <w:kern w:val="0"/>
                      <w:szCs w:val="21"/>
                    </w:rPr>
                  </w:pPr>
                </w:p>
              </w:tc>
              <w:tc>
                <w:tcPr>
                  <w:tcW w:w="990" w:type="dxa"/>
                  <w:tcBorders>
                    <w:tl2br w:val="nil"/>
                    <w:tr2bl w:val="nil"/>
                  </w:tcBorders>
                  <w:vAlign w:val="center"/>
                </w:tcPr>
                <w:p w14:paraId="246CE2B1">
                  <w:pPr>
                    <w:widowControl/>
                    <w:jc w:val="center"/>
                    <w:rPr>
                      <w:bCs/>
                      <w:kern w:val="0"/>
                      <w:szCs w:val="21"/>
                    </w:rPr>
                  </w:pPr>
                  <w:r>
                    <w:rPr>
                      <w:rFonts w:hint="eastAsia"/>
                      <w:bCs/>
                      <w:szCs w:val="21"/>
                    </w:rPr>
                    <w:t>二甲苯</w:t>
                  </w:r>
                </w:p>
              </w:tc>
              <w:tc>
                <w:tcPr>
                  <w:tcW w:w="1060" w:type="dxa"/>
                  <w:tcBorders>
                    <w:tl2br w:val="nil"/>
                    <w:tr2bl w:val="nil"/>
                  </w:tcBorders>
                  <w:vAlign w:val="center"/>
                </w:tcPr>
                <w:p w14:paraId="4869DE06">
                  <w:pPr>
                    <w:widowControl/>
                    <w:jc w:val="center"/>
                    <w:rPr>
                      <w:bCs/>
                      <w:kern w:val="0"/>
                      <w:szCs w:val="21"/>
                    </w:rPr>
                  </w:pPr>
                  <w:r>
                    <w:rPr>
                      <w:rFonts w:hint="eastAsia"/>
                      <w:bCs/>
                      <w:kern w:val="0"/>
                      <w:szCs w:val="21"/>
                    </w:rPr>
                    <w:t>5</w:t>
                  </w:r>
                </w:p>
              </w:tc>
              <w:tc>
                <w:tcPr>
                  <w:tcW w:w="1060" w:type="dxa"/>
                  <w:tcBorders>
                    <w:tl2br w:val="nil"/>
                    <w:tr2bl w:val="nil"/>
                  </w:tcBorders>
                  <w:vAlign w:val="center"/>
                </w:tcPr>
                <w:p w14:paraId="0841E13D">
                  <w:pPr>
                    <w:widowControl/>
                    <w:jc w:val="center"/>
                    <w:rPr>
                      <w:bCs/>
                      <w:kern w:val="0"/>
                      <w:szCs w:val="21"/>
                    </w:rPr>
                  </w:pPr>
                  <w:r>
                    <w:rPr>
                      <w:rFonts w:hint="eastAsia"/>
                      <w:bCs/>
                      <w:kern w:val="0"/>
                      <w:szCs w:val="21"/>
                    </w:rPr>
                    <w:t>90</w:t>
                  </w:r>
                </w:p>
              </w:tc>
              <w:tc>
                <w:tcPr>
                  <w:tcW w:w="1060" w:type="dxa"/>
                  <w:tcBorders>
                    <w:tl2br w:val="nil"/>
                    <w:tr2bl w:val="nil"/>
                  </w:tcBorders>
                  <w:vAlign w:val="center"/>
                </w:tcPr>
                <w:p w14:paraId="5BE23123">
                  <w:pPr>
                    <w:widowControl/>
                    <w:jc w:val="center"/>
                    <w:rPr>
                      <w:bCs/>
                      <w:kern w:val="0"/>
                      <w:szCs w:val="21"/>
                    </w:rPr>
                  </w:pPr>
                  <w:r>
                    <w:rPr>
                      <w:rFonts w:hint="eastAsia"/>
                      <w:bCs/>
                      <w:kern w:val="0"/>
                      <w:szCs w:val="21"/>
                    </w:rPr>
                    <w:t>15</w:t>
                  </w:r>
                </w:p>
              </w:tc>
              <w:tc>
                <w:tcPr>
                  <w:tcW w:w="1060" w:type="dxa"/>
                  <w:tcBorders>
                    <w:tl2br w:val="nil"/>
                    <w:tr2bl w:val="nil"/>
                  </w:tcBorders>
                  <w:vAlign w:val="center"/>
                </w:tcPr>
                <w:p w14:paraId="545852C5">
                  <w:pPr>
                    <w:widowControl/>
                    <w:jc w:val="center"/>
                    <w:rPr>
                      <w:bCs/>
                      <w:kern w:val="0"/>
                      <w:szCs w:val="21"/>
                    </w:rPr>
                  </w:pPr>
                  <w:r>
                    <w:rPr>
                      <w:rFonts w:hint="eastAsia"/>
                      <w:bCs/>
                      <w:kern w:val="0"/>
                      <w:szCs w:val="21"/>
                    </w:rPr>
                    <w:t>5.63</w:t>
                  </w:r>
                </w:p>
              </w:tc>
              <w:tc>
                <w:tcPr>
                  <w:tcW w:w="1060" w:type="dxa"/>
                  <w:tcBorders>
                    <w:tl2br w:val="nil"/>
                    <w:tr2bl w:val="nil"/>
                  </w:tcBorders>
                  <w:vAlign w:val="center"/>
                </w:tcPr>
                <w:p w14:paraId="16808945">
                  <w:pPr>
                    <w:widowControl/>
                    <w:jc w:val="center"/>
                    <w:rPr>
                      <w:bCs/>
                      <w:kern w:val="0"/>
                      <w:szCs w:val="21"/>
                    </w:rPr>
                  </w:pPr>
                  <w:r>
                    <w:rPr>
                      <w:rFonts w:hint="eastAsia"/>
                      <w:bCs/>
                      <w:kern w:val="0"/>
                      <w:szCs w:val="21"/>
                    </w:rPr>
                    <w:t>0.5</w:t>
                  </w:r>
                </w:p>
              </w:tc>
              <w:tc>
                <w:tcPr>
                  <w:tcW w:w="1376" w:type="dxa"/>
                  <w:tcBorders>
                    <w:tl2br w:val="nil"/>
                    <w:tr2bl w:val="nil"/>
                  </w:tcBorders>
                  <w:vAlign w:val="center"/>
                </w:tcPr>
                <w:p w14:paraId="104A26DF">
                  <w:pPr>
                    <w:widowControl/>
                    <w:jc w:val="center"/>
                    <w:rPr>
                      <w:bCs/>
                      <w:kern w:val="0"/>
                      <w:szCs w:val="21"/>
                    </w:rPr>
                  </w:pPr>
                  <w:r>
                    <w:rPr>
                      <w:rFonts w:hint="eastAsia"/>
                      <w:bCs/>
                      <w:kern w:val="0"/>
                      <w:szCs w:val="21"/>
                    </w:rPr>
                    <w:t>0.001</w:t>
                  </w:r>
                </w:p>
              </w:tc>
            </w:tr>
            <w:tr w14:paraId="222CFC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831" w:type="dxa"/>
                  <w:vMerge w:val="continue"/>
                  <w:tcBorders>
                    <w:tl2br w:val="nil"/>
                    <w:tr2bl w:val="nil"/>
                  </w:tcBorders>
                  <w:vAlign w:val="center"/>
                </w:tcPr>
                <w:p w14:paraId="1D732DF1">
                  <w:pPr>
                    <w:widowControl/>
                    <w:jc w:val="center"/>
                    <w:rPr>
                      <w:bCs/>
                      <w:kern w:val="0"/>
                      <w:szCs w:val="21"/>
                    </w:rPr>
                  </w:pPr>
                </w:p>
              </w:tc>
              <w:tc>
                <w:tcPr>
                  <w:tcW w:w="990" w:type="dxa"/>
                  <w:tcBorders>
                    <w:tl2br w:val="nil"/>
                    <w:tr2bl w:val="nil"/>
                  </w:tcBorders>
                  <w:vAlign w:val="center"/>
                </w:tcPr>
                <w:p w14:paraId="15B690E4">
                  <w:pPr>
                    <w:widowControl/>
                    <w:jc w:val="center"/>
                    <w:rPr>
                      <w:bCs/>
                      <w:szCs w:val="21"/>
                    </w:rPr>
                  </w:pPr>
                  <w:r>
                    <w:rPr>
                      <w:rFonts w:hint="eastAsia"/>
                      <w:bCs/>
                      <w:szCs w:val="21"/>
                    </w:rPr>
                    <w:t>颗粒物</w:t>
                  </w:r>
                </w:p>
              </w:tc>
              <w:tc>
                <w:tcPr>
                  <w:tcW w:w="1060" w:type="dxa"/>
                  <w:tcBorders>
                    <w:tl2br w:val="nil"/>
                    <w:tr2bl w:val="nil"/>
                  </w:tcBorders>
                  <w:vAlign w:val="center"/>
                </w:tcPr>
                <w:p w14:paraId="15D8F7D6">
                  <w:pPr>
                    <w:widowControl/>
                    <w:jc w:val="center"/>
                    <w:rPr>
                      <w:bCs/>
                      <w:kern w:val="0"/>
                      <w:szCs w:val="21"/>
                    </w:rPr>
                  </w:pPr>
                  <w:r>
                    <w:rPr>
                      <w:rFonts w:hint="eastAsia"/>
                      <w:bCs/>
                      <w:kern w:val="0"/>
                      <w:szCs w:val="21"/>
                    </w:rPr>
                    <w:t>5</w:t>
                  </w:r>
                </w:p>
              </w:tc>
              <w:tc>
                <w:tcPr>
                  <w:tcW w:w="1060" w:type="dxa"/>
                  <w:tcBorders>
                    <w:tl2br w:val="nil"/>
                    <w:tr2bl w:val="nil"/>
                  </w:tcBorders>
                  <w:vAlign w:val="center"/>
                </w:tcPr>
                <w:p w14:paraId="4872002B">
                  <w:pPr>
                    <w:widowControl/>
                    <w:jc w:val="center"/>
                    <w:rPr>
                      <w:bCs/>
                      <w:kern w:val="0"/>
                      <w:szCs w:val="21"/>
                    </w:rPr>
                  </w:pPr>
                  <w:r>
                    <w:rPr>
                      <w:rFonts w:hint="eastAsia"/>
                      <w:bCs/>
                      <w:kern w:val="0"/>
                      <w:szCs w:val="21"/>
                    </w:rPr>
                    <w:t>10</w:t>
                  </w:r>
                </w:p>
              </w:tc>
              <w:tc>
                <w:tcPr>
                  <w:tcW w:w="1060" w:type="dxa"/>
                  <w:tcBorders>
                    <w:tl2br w:val="nil"/>
                    <w:tr2bl w:val="nil"/>
                  </w:tcBorders>
                  <w:vAlign w:val="center"/>
                </w:tcPr>
                <w:p w14:paraId="5DAF82C4">
                  <w:pPr>
                    <w:widowControl/>
                    <w:jc w:val="center"/>
                    <w:rPr>
                      <w:bCs/>
                      <w:kern w:val="0"/>
                      <w:szCs w:val="21"/>
                    </w:rPr>
                  </w:pPr>
                  <w:r>
                    <w:rPr>
                      <w:rFonts w:hint="eastAsia"/>
                      <w:bCs/>
                      <w:kern w:val="0"/>
                      <w:szCs w:val="21"/>
                    </w:rPr>
                    <w:t>10</w:t>
                  </w:r>
                </w:p>
              </w:tc>
              <w:tc>
                <w:tcPr>
                  <w:tcW w:w="1060" w:type="dxa"/>
                  <w:tcBorders>
                    <w:tl2br w:val="nil"/>
                    <w:tr2bl w:val="nil"/>
                  </w:tcBorders>
                  <w:vAlign w:val="center"/>
                </w:tcPr>
                <w:p w14:paraId="56B61207">
                  <w:pPr>
                    <w:widowControl/>
                    <w:jc w:val="center"/>
                    <w:rPr>
                      <w:bCs/>
                      <w:kern w:val="0"/>
                      <w:szCs w:val="21"/>
                    </w:rPr>
                  </w:pPr>
                  <w:r>
                    <w:rPr>
                      <w:rFonts w:hint="eastAsia"/>
                      <w:bCs/>
                      <w:kern w:val="0"/>
                      <w:szCs w:val="21"/>
                    </w:rPr>
                    <w:t>5.63</w:t>
                  </w:r>
                </w:p>
              </w:tc>
              <w:tc>
                <w:tcPr>
                  <w:tcW w:w="1060" w:type="dxa"/>
                  <w:tcBorders>
                    <w:tl2br w:val="nil"/>
                    <w:tr2bl w:val="nil"/>
                  </w:tcBorders>
                  <w:vAlign w:val="center"/>
                </w:tcPr>
                <w:p w14:paraId="1ECB1132">
                  <w:pPr>
                    <w:widowControl/>
                    <w:jc w:val="center"/>
                    <w:rPr>
                      <w:bCs/>
                      <w:kern w:val="0"/>
                      <w:szCs w:val="21"/>
                    </w:rPr>
                  </w:pPr>
                  <w:r>
                    <w:rPr>
                      <w:rFonts w:hint="eastAsia"/>
                      <w:bCs/>
                      <w:kern w:val="0"/>
                      <w:szCs w:val="21"/>
                    </w:rPr>
                    <w:t>0.5</w:t>
                  </w:r>
                </w:p>
              </w:tc>
              <w:tc>
                <w:tcPr>
                  <w:tcW w:w="1376" w:type="dxa"/>
                  <w:tcBorders>
                    <w:tl2br w:val="nil"/>
                    <w:tr2bl w:val="nil"/>
                  </w:tcBorders>
                  <w:vAlign w:val="center"/>
                </w:tcPr>
                <w:p w14:paraId="486F6229">
                  <w:pPr>
                    <w:widowControl/>
                    <w:jc w:val="center"/>
                    <w:rPr>
                      <w:bCs/>
                      <w:kern w:val="0"/>
                      <w:szCs w:val="21"/>
                    </w:rPr>
                  </w:pPr>
                  <w:r>
                    <w:rPr>
                      <w:rFonts w:hint="eastAsia"/>
                      <w:bCs/>
                      <w:kern w:val="0"/>
                      <w:szCs w:val="21"/>
                    </w:rPr>
                    <w:t>0.001</w:t>
                  </w:r>
                </w:p>
              </w:tc>
            </w:tr>
          </w:tbl>
          <w:p w14:paraId="5D2585FE">
            <w:pPr>
              <w:snapToGrid w:val="0"/>
              <w:spacing w:line="360" w:lineRule="auto"/>
              <w:ind w:firstLine="480" w:firstLineChars="200"/>
              <w:rPr>
                <w:sz w:val="24"/>
                <w:szCs w:val="24"/>
              </w:rPr>
            </w:pPr>
            <w:r>
              <w:rPr>
                <w:rFonts w:hint="eastAsia"/>
                <w:sz w:val="24"/>
                <w:szCs w:val="24"/>
              </w:rPr>
              <w:t>（4）</w:t>
            </w:r>
            <w:r>
              <w:rPr>
                <w:sz w:val="24"/>
                <w:szCs w:val="24"/>
              </w:rPr>
              <w:t>估算结果</w:t>
            </w:r>
          </w:p>
          <w:p w14:paraId="4804168F">
            <w:pPr>
              <w:snapToGrid w:val="0"/>
              <w:ind w:firstLine="482" w:firstLineChars="200"/>
              <w:jc w:val="center"/>
              <w:rPr>
                <w:b/>
                <w:bCs/>
                <w:sz w:val="24"/>
                <w:szCs w:val="24"/>
              </w:rPr>
            </w:pPr>
            <w:r>
              <w:rPr>
                <w:b/>
                <w:bCs/>
                <w:sz w:val="24"/>
                <w:szCs w:val="24"/>
              </w:rPr>
              <w:t>表7-</w:t>
            </w:r>
            <w:r>
              <w:rPr>
                <w:rFonts w:hint="eastAsia"/>
                <w:b/>
                <w:bCs/>
                <w:sz w:val="24"/>
                <w:szCs w:val="24"/>
              </w:rPr>
              <w:t>6</w:t>
            </w:r>
            <w:r>
              <w:rPr>
                <w:b/>
                <w:bCs/>
                <w:sz w:val="24"/>
                <w:szCs w:val="24"/>
              </w:rPr>
              <w:t xml:space="preserve">  项目废气预测结果</w:t>
            </w:r>
          </w:p>
          <w:tbl>
            <w:tblPr>
              <w:tblStyle w:val="27"/>
              <w:tblW w:w="846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73"/>
              <w:gridCol w:w="1392"/>
              <w:gridCol w:w="1572"/>
              <w:gridCol w:w="1425"/>
              <w:gridCol w:w="1262"/>
              <w:gridCol w:w="1145"/>
            </w:tblGrid>
            <w:tr w14:paraId="546FBC0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1" w:hRule="exact"/>
                <w:jc w:val="center"/>
              </w:trPr>
              <w:tc>
                <w:tcPr>
                  <w:tcW w:w="1673" w:type="dxa"/>
                  <w:tcBorders>
                    <w:tl2br w:val="nil"/>
                    <w:tr2bl w:val="nil"/>
                  </w:tcBorders>
                  <w:vAlign w:val="center"/>
                </w:tcPr>
                <w:p w14:paraId="7BEEDCF9">
                  <w:pPr>
                    <w:adjustRightInd w:val="0"/>
                    <w:snapToGrid w:val="0"/>
                    <w:jc w:val="center"/>
                    <w:rPr>
                      <w:szCs w:val="21"/>
                    </w:rPr>
                  </w:pPr>
                  <w:r>
                    <w:rPr>
                      <w:szCs w:val="21"/>
                    </w:rPr>
                    <w:t>污染源</w:t>
                  </w:r>
                </w:p>
              </w:tc>
              <w:tc>
                <w:tcPr>
                  <w:tcW w:w="1392" w:type="dxa"/>
                  <w:tcBorders>
                    <w:tl2br w:val="nil"/>
                    <w:tr2bl w:val="nil"/>
                  </w:tcBorders>
                  <w:vAlign w:val="center"/>
                </w:tcPr>
                <w:p w14:paraId="5EF0D154">
                  <w:pPr>
                    <w:adjustRightInd w:val="0"/>
                    <w:snapToGrid w:val="0"/>
                    <w:jc w:val="center"/>
                    <w:rPr>
                      <w:szCs w:val="21"/>
                    </w:rPr>
                  </w:pPr>
                  <w:r>
                    <w:rPr>
                      <w:szCs w:val="21"/>
                    </w:rPr>
                    <w:t>污染因子</w:t>
                  </w:r>
                </w:p>
              </w:tc>
              <w:tc>
                <w:tcPr>
                  <w:tcW w:w="1572" w:type="dxa"/>
                  <w:tcBorders>
                    <w:tl2br w:val="nil"/>
                    <w:tr2bl w:val="nil"/>
                  </w:tcBorders>
                  <w:vAlign w:val="center"/>
                </w:tcPr>
                <w:p w14:paraId="6BD78FEC">
                  <w:pPr>
                    <w:adjustRightInd w:val="0"/>
                    <w:snapToGrid w:val="0"/>
                    <w:jc w:val="center"/>
                    <w:rPr>
                      <w:szCs w:val="21"/>
                    </w:rPr>
                  </w:pPr>
                  <w:r>
                    <w:rPr>
                      <w:szCs w:val="21"/>
                    </w:rPr>
                    <w:t>最大</w:t>
                  </w:r>
                  <w:r>
                    <w:rPr>
                      <w:rFonts w:hint="eastAsia"/>
                      <w:szCs w:val="21"/>
                    </w:rPr>
                    <w:t>落地</w:t>
                  </w:r>
                  <w:r>
                    <w:rPr>
                      <w:szCs w:val="21"/>
                    </w:rPr>
                    <w:t>浓度/（</w:t>
                  </w:r>
                  <w:r>
                    <w:rPr>
                      <w:rFonts w:hint="eastAsia"/>
                      <w:szCs w:val="21"/>
                    </w:rPr>
                    <w:t>m</w:t>
                  </w:r>
                  <w:r>
                    <w:rPr>
                      <w:szCs w:val="21"/>
                    </w:rPr>
                    <w:t>g/m</w:t>
                  </w:r>
                  <w:r>
                    <w:rPr>
                      <w:szCs w:val="21"/>
                      <w:vertAlign w:val="superscript"/>
                    </w:rPr>
                    <w:t>3</w:t>
                  </w:r>
                  <w:r>
                    <w:rPr>
                      <w:szCs w:val="21"/>
                    </w:rPr>
                    <w:t>）</w:t>
                  </w:r>
                </w:p>
              </w:tc>
              <w:tc>
                <w:tcPr>
                  <w:tcW w:w="1425" w:type="dxa"/>
                  <w:tcBorders>
                    <w:tl2br w:val="nil"/>
                    <w:tr2bl w:val="nil"/>
                  </w:tcBorders>
                  <w:vAlign w:val="center"/>
                </w:tcPr>
                <w:p w14:paraId="6C7D4B46">
                  <w:pPr>
                    <w:adjustRightInd w:val="0"/>
                    <w:snapToGrid w:val="0"/>
                    <w:jc w:val="center"/>
                    <w:rPr>
                      <w:szCs w:val="21"/>
                    </w:rPr>
                  </w:pPr>
                  <w:r>
                    <w:rPr>
                      <w:szCs w:val="21"/>
                    </w:rPr>
                    <w:t>质量标准/（</w:t>
                  </w:r>
                  <w:r>
                    <w:rPr>
                      <w:rFonts w:hint="eastAsia"/>
                      <w:szCs w:val="21"/>
                    </w:rPr>
                    <w:t>m</w:t>
                  </w:r>
                  <w:r>
                    <w:rPr>
                      <w:szCs w:val="21"/>
                    </w:rPr>
                    <w:t>g/m</w:t>
                  </w:r>
                  <w:r>
                    <w:rPr>
                      <w:szCs w:val="21"/>
                      <w:vertAlign w:val="superscript"/>
                    </w:rPr>
                    <w:t>3</w:t>
                  </w:r>
                  <w:r>
                    <w:rPr>
                      <w:szCs w:val="21"/>
                    </w:rPr>
                    <w:t>）</w:t>
                  </w:r>
                </w:p>
              </w:tc>
              <w:tc>
                <w:tcPr>
                  <w:tcW w:w="1262" w:type="dxa"/>
                  <w:tcBorders>
                    <w:tl2br w:val="nil"/>
                    <w:tr2bl w:val="nil"/>
                  </w:tcBorders>
                  <w:vAlign w:val="center"/>
                </w:tcPr>
                <w:p w14:paraId="1379E29D">
                  <w:pPr>
                    <w:adjustRightInd w:val="0"/>
                    <w:snapToGrid w:val="0"/>
                    <w:jc w:val="center"/>
                    <w:rPr>
                      <w:szCs w:val="21"/>
                    </w:rPr>
                  </w:pPr>
                  <w:r>
                    <w:rPr>
                      <w:szCs w:val="21"/>
                    </w:rPr>
                    <w:t>离源距离/（m）</w:t>
                  </w:r>
                </w:p>
              </w:tc>
              <w:tc>
                <w:tcPr>
                  <w:tcW w:w="1145" w:type="dxa"/>
                  <w:tcBorders>
                    <w:tl2br w:val="nil"/>
                    <w:tr2bl w:val="nil"/>
                  </w:tcBorders>
                  <w:vAlign w:val="center"/>
                </w:tcPr>
                <w:p w14:paraId="22BF1DF3">
                  <w:pPr>
                    <w:adjustRightInd w:val="0"/>
                    <w:snapToGrid w:val="0"/>
                    <w:jc w:val="center"/>
                    <w:rPr>
                      <w:szCs w:val="21"/>
                    </w:rPr>
                  </w:pPr>
                  <w:r>
                    <w:rPr>
                      <w:szCs w:val="21"/>
                    </w:rPr>
                    <w:t>占标率/（%）</w:t>
                  </w:r>
                </w:p>
              </w:tc>
            </w:tr>
            <w:tr w14:paraId="3D2D66D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3" w:type="dxa"/>
                  <w:vMerge w:val="restart"/>
                  <w:tcBorders>
                    <w:tl2br w:val="nil"/>
                    <w:tr2bl w:val="nil"/>
                  </w:tcBorders>
                  <w:vAlign w:val="center"/>
                </w:tcPr>
                <w:p w14:paraId="10386781">
                  <w:pPr>
                    <w:adjustRightInd w:val="0"/>
                    <w:snapToGrid w:val="0"/>
                    <w:jc w:val="center"/>
                    <w:rPr>
                      <w:szCs w:val="21"/>
                    </w:rPr>
                  </w:pPr>
                  <w:r>
                    <w:rPr>
                      <w:szCs w:val="21"/>
                    </w:rPr>
                    <w:t>排气筒P</w:t>
                  </w:r>
                  <w:r>
                    <w:rPr>
                      <w:rFonts w:hint="eastAsia"/>
                      <w:szCs w:val="21"/>
                    </w:rPr>
                    <w:t>1</w:t>
                  </w:r>
                </w:p>
              </w:tc>
              <w:tc>
                <w:tcPr>
                  <w:tcW w:w="1392" w:type="dxa"/>
                  <w:tcBorders>
                    <w:tl2br w:val="nil"/>
                    <w:tr2bl w:val="nil"/>
                  </w:tcBorders>
                  <w:vAlign w:val="center"/>
                </w:tcPr>
                <w:p w14:paraId="2D8A9CEF">
                  <w:pPr>
                    <w:adjustRightInd w:val="0"/>
                    <w:snapToGrid w:val="0"/>
                    <w:jc w:val="center"/>
                    <w:rPr>
                      <w:szCs w:val="21"/>
                    </w:rPr>
                  </w:pPr>
                  <w:r>
                    <w:rPr>
                      <w:szCs w:val="21"/>
                    </w:rPr>
                    <w:t>VOCs</w:t>
                  </w:r>
                </w:p>
              </w:tc>
              <w:tc>
                <w:tcPr>
                  <w:tcW w:w="1572" w:type="dxa"/>
                  <w:tcBorders>
                    <w:tl2br w:val="nil"/>
                    <w:tr2bl w:val="nil"/>
                  </w:tcBorders>
                  <w:vAlign w:val="center"/>
                </w:tcPr>
                <w:p w14:paraId="313028B4">
                  <w:pPr>
                    <w:adjustRightInd w:val="0"/>
                    <w:snapToGrid w:val="0"/>
                    <w:jc w:val="center"/>
                    <w:rPr>
                      <w:szCs w:val="21"/>
                    </w:rPr>
                  </w:pPr>
                  <w:r>
                    <w:rPr>
                      <w:rFonts w:hint="eastAsia"/>
                      <w:szCs w:val="21"/>
                    </w:rPr>
                    <w:t>0.086</w:t>
                  </w:r>
                </w:p>
              </w:tc>
              <w:tc>
                <w:tcPr>
                  <w:tcW w:w="1425" w:type="dxa"/>
                  <w:tcBorders>
                    <w:tl2br w:val="nil"/>
                    <w:tr2bl w:val="nil"/>
                  </w:tcBorders>
                  <w:vAlign w:val="center"/>
                </w:tcPr>
                <w:p w14:paraId="4CEEAF83">
                  <w:pPr>
                    <w:adjustRightInd w:val="0"/>
                    <w:snapToGrid w:val="0"/>
                    <w:jc w:val="center"/>
                    <w:rPr>
                      <w:szCs w:val="21"/>
                    </w:rPr>
                  </w:pPr>
                  <w:r>
                    <w:rPr>
                      <w:rFonts w:hint="eastAsia"/>
                      <w:szCs w:val="21"/>
                    </w:rPr>
                    <w:t>1</w:t>
                  </w:r>
                  <w:r>
                    <w:rPr>
                      <w:szCs w:val="21"/>
                    </w:rPr>
                    <w:t>.2</w:t>
                  </w:r>
                </w:p>
              </w:tc>
              <w:tc>
                <w:tcPr>
                  <w:tcW w:w="1262" w:type="dxa"/>
                  <w:tcBorders>
                    <w:tl2br w:val="nil"/>
                    <w:tr2bl w:val="nil"/>
                  </w:tcBorders>
                  <w:vAlign w:val="center"/>
                </w:tcPr>
                <w:p w14:paraId="72777AF5">
                  <w:pPr>
                    <w:adjustRightInd w:val="0"/>
                    <w:snapToGrid w:val="0"/>
                    <w:jc w:val="center"/>
                    <w:rPr>
                      <w:szCs w:val="21"/>
                    </w:rPr>
                  </w:pPr>
                  <w:r>
                    <w:rPr>
                      <w:rFonts w:hint="eastAsia"/>
                      <w:szCs w:val="21"/>
                    </w:rPr>
                    <w:t>25</w:t>
                  </w:r>
                </w:p>
              </w:tc>
              <w:tc>
                <w:tcPr>
                  <w:tcW w:w="1145" w:type="dxa"/>
                  <w:tcBorders>
                    <w:tl2br w:val="nil"/>
                    <w:tr2bl w:val="nil"/>
                  </w:tcBorders>
                  <w:vAlign w:val="center"/>
                </w:tcPr>
                <w:p w14:paraId="61B2168A">
                  <w:pPr>
                    <w:adjustRightInd w:val="0"/>
                    <w:snapToGrid w:val="0"/>
                    <w:jc w:val="center"/>
                    <w:rPr>
                      <w:szCs w:val="21"/>
                    </w:rPr>
                  </w:pPr>
                  <w:r>
                    <w:rPr>
                      <w:rFonts w:hint="eastAsia"/>
                      <w:szCs w:val="21"/>
                    </w:rPr>
                    <w:t>7.1</w:t>
                  </w:r>
                </w:p>
              </w:tc>
            </w:tr>
            <w:tr w14:paraId="2437E86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3" w:type="dxa"/>
                  <w:vMerge w:val="continue"/>
                  <w:tcBorders>
                    <w:tl2br w:val="nil"/>
                    <w:tr2bl w:val="nil"/>
                  </w:tcBorders>
                  <w:vAlign w:val="center"/>
                </w:tcPr>
                <w:p w14:paraId="439FD9E7">
                  <w:pPr>
                    <w:adjustRightInd w:val="0"/>
                    <w:snapToGrid w:val="0"/>
                    <w:jc w:val="center"/>
                    <w:rPr>
                      <w:szCs w:val="21"/>
                    </w:rPr>
                  </w:pPr>
                </w:p>
              </w:tc>
              <w:tc>
                <w:tcPr>
                  <w:tcW w:w="1392" w:type="dxa"/>
                  <w:tcBorders>
                    <w:tl2br w:val="nil"/>
                    <w:tr2bl w:val="nil"/>
                  </w:tcBorders>
                  <w:vAlign w:val="center"/>
                </w:tcPr>
                <w:p w14:paraId="702AEDE0">
                  <w:pPr>
                    <w:adjustRightInd w:val="0"/>
                    <w:snapToGrid w:val="0"/>
                    <w:jc w:val="center"/>
                    <w:rPr>
                      <w:szCs w:val="21"/>
                    </w:rPr>
                  </w:pPr>
                  <w:r>
                    <w:rPr>
                      <w:rFonts w:hint="eastAsia"/>
                      <w:szCs w:val="21"/>
                    </w:rPr>
                    <w:t>二甲苯</w:t>
                  </w:r>
                </w:p>
              </w:tc>
              <w:tc>
                <w:tcPr>
                  <w:tcW w:w="1572" w:type="dxa"/>
                  <w:tcBorders>
                    <w:tl2br w:val="nil"/>
                    <w:tr2bl w:val="nil"/>
                  </w:tcBorders>
                  <w:vAlign w:val="center"/>
                </w:tcPr>
                <w:p w14:paraId="3A3C9460">
                  <w:pPr>
                    <w:adjustRightInd w:val="0"/>
                    <w:snapToGrid w:val="0"/>
                    <w:jc w:val="center"/>
                    <w:rPr>
                      <w:szCs w:val="21"/>
                    </w:rPr>
                  </w:pPr>
                  <w:r>
                    <w:rPr>
                      <w:rFonts w:hint="eastAsia"/>
                      <w:szCs w:val="21"/>
                    </w:rPr>
                    <w:t>0.017</w:t>
                  </w:r>
                </w:p>
              </w:tc>
              <w:tc>
                <w:tcPr>
                  <w:tcW w:w="1425" w:type="dxa"/>
                  <w:tcBorders>
                    <w:tl2br w:val="nil"/>
                    <w:tr2bl w:val="nil"/>
                  </w:tcBorders>
                  <w:vAlign w:val="center"/>
                </w:tcPr>
                <w:p w14:paraId="1A737B3E">
                  <w:pPr>
                    <w:adjustRightInd w:val="0"/>
                    <w:snapToGrid w:val="0"/>
                    <w:jc w:val="center"/>
                    <w:rPr>
                      <w:szCs w:val="21"/>
                    </w:rPr>
                  </w:pPr>
                  <w:r>
                    <w:rPr>
                      <w:rFonts w:hint="eastAsia"/>
                      <w:szCs w:val="21"/>
                    </w:rPr>
                    <w:t>0.2</w:t>
                  </w:r>
                </w:p>
              </w:tc>
              <w:tc>
                <w:tcPr>
                  <w:tcW w:w="1262" w:type="dxa"/>
                  <w:tcBorders>
                    <w:tl2br w:val="nil"/>
                    <w:tr2bl w:val="nil"/>
                  </w:tcBorders>
                  <w:vAlign w:val="center"/>
                </w:tcPr>
                <w:p w14:paraId="0FB752BF">
                  <w:pPr>
                    <w:adjustRightInd w:val="0"/>
                    <w:snapToGrid w:val="0"/>
                    <w:jc w:val="center"/>
                    <w:rPr>
                      <w:szCs w:val="21"/>
                    </w:rPr>
                  </w:pPr>
                  <w:r>
                    <w:rPr>
                      <w:rFonts w:hint="eastAsia"/>
                      <w:szCs w:val="21"/>
                    </w:rPr>
                    <w:t>25</w:t>
                  </w:r>
                </w:p>
              </w:tc>
              <w:tc>
                <w:tcPr>
                  <w:tcW w:w="1145" w:type="dxa"/>
                  <w:tcBorders>
                    <w:tl2br w:val="nil"/>
                    <w:tr2bl w:val="nil"/>
                  </w:tcBorders>
                  <w:vAlign w:val="center"/>
                </w:tcPr>
                <w:p w14:paraId="39667E07">
                  <w:pPr>
                    <w:adjustRightInd w:val="0"/>
                    <w:snapToGrid w:val="0"/>
                    <w:jc w:val="center"/>
                    <w:rPr>
                      <w:szCs w:val="21"/>
                    </w:rPr>
                  </w:pPr>
                  <w:r>
                    <w:rPr>
                      <w:rFonts w:hint="eastAsia"/>
                      <w:szCs w:val="21"/>
                    </w:rPr>
                    <w:t>1.42</w:t>
                  </w:r>
                </w:p>
              </w:tc>
            </w:tr>
            <w:tr w14:paraId="088E65C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3" w:type="dxa"/>
                  <w:tcBorders>
                    <w:tl2br w:val="nil"/>
                    <w:tr2bl w:val="nil"/>
                  </w:tcBorders>
                  <w:vAlign w:val="center"/>
                </w:tcPr>
                <w:p w14:paraId="1E693ADE">
                  <w:pPr>
                    <w:adjustRightInd w:val="0"/>
                    <w:snapToGrid w:val="0"/>
                    <w:jc w:val="center"/>
                    <w:rPr>
                      <w:szCs w:val="21"/>
                    </w:rPr>
                  </w:pPr>
                  <w:r>
                    <w:rPr>
                      <w:rFonts w:hint="eastAsia"/>
                      <w:szCs w:val="21"/>
                    </w:rPr>
                    <w:t>排气筒P2</w:t>
                  </w:r>
                </w:p>
              </w:tc>
              <w:tc>
                <w:tcPr>
                  <w:tcW w:w="1392" w:type="dxa"/>
                  <w:tcBorders>
                    <w:tl2br w:val="nil"/>
                    <w:tr2bl w:val="nil"/>
                  </w:tcBorders>
                  <w:vAlign w:val="center"/>
                </w:tcPr>
                <w:p w14:paraId="230ED9A3">
                  <w:pPr>
                    <w:adjustRightInd w:val="0"/>
                    <w:snapToGrid w:val="0"/>
                    <w:jc w:val="center"/>
                    <w:rPr>
                      <w:szCs w:val="21"/>
                    </w:rPr>
                  </w:pPr>
                  <w:r>
                    <w:rPr>
                      <w:rFonts w:hint="eastAsia"/>
                      <w:szCs w:val="21"/>
                    </w:rPr>
                    <w:t>颗粒物</w:t>
                  </w:r>
                </w:p>
              </w:tc>
              <w:tc>
                <w:tcPr>
                  <w:tcW w:w="1572" w:type="dxa"/>
                  <w:tcBorders>
                    <w:tl2br w:val="nil"/>
                    <w:tr2bl w:val="nil"/>
                  </w:tcBorders>
                  <w:vAlign w:val="center"/>
                </w:tcPr>
                <w:p w14:paraId="27F7143A">
                  <w:pPr>
                    <w:adjustRightInd w:val="0"/>
                    <w:snapToGrid w:val="0"/>
                    <w:jc w:val="center"/>
                    <w:rPr>
                      <w:szCs w:val="21"/>
                    </w:rPr>
                  </w:pPr>
                  <w:r>
                    <w:rPr>
                      <w:rFonts w:hint="eastAsia"/>
                      <w:szCs w:val="21"/>
                    </w:rPr>
                    <w:t>0.006</w:t>
                  </w:r>
                </w:p>
              </w:tc>
              <w:tc>
                <w:tcPr>
                  <w:tcW w:w="1425" w:type="dxa"/>
                  <w:tcBorders>
                    <w:tl2br w:val="nil"/>
                    <w:tr2bl w:val="nil"/>
                  </w:tcBorders>
                  <w:vAlign w:val="center"/>
                </w:tcPr>
                <w:p w14:paraId="10F8C7EB">
                  <w:pPr>
                    <w:adjustRightInd w:val="0"/>
                    <w:snapToGrid w:val="0"/>
                    <w:jc w:val="center"/>
                    <w:rPr>
                      <w:szCs w:val="21"/>
                    </w:rPr>
                  </w:pPr>
                  <w:r>
                    <w:rPr>
                      <w:rFonts w:hint="eastAsia"/>
                      <w:szCs w:val="21"/>
                    </w:rPr>
                    <w:t>0.9</w:t>
                  </w:r>
                </w:p>
              </w:tc>
              <w:tc>
                <w:tcPr>
                  <w:tcW w:w="1262" w:type="dxa"/>
                  <w:tcBorders>
                    <w:tl2br w:val="nil"/>
                    <w:tr2bl w:val="nil"/>
                  </w:tcBorders>
                  <w:vAlign w:val="center"/>
                </w:tcPr>
                <w:p w14:paraId="333CD3CC">
                  <w:pPr>
                    <w:adjustRightInd w:val="0"/>
                    <w:snapToGrid w:val="0"/>
                    <w:jc w:val="center"/>
                    <w:rPr>
                      <w:szCs w:val="21"/>
                    </w:rPr>
                  </w:pPr>
                  <w:r>
                    <w:rPr>
                      <w:rFonts w:hint="eastAsia"/>
                      <w:szCs w:val="21"/>
                    </w:rPr>
                    <w:t>25</w:t>
                  </w:r>
                </w:p>
              </w:tc>
              <w:tc>
                <w:tcPr>
                  <w:tcW w:w="1145" w:type="dxa"/>
                  <w:tcBorders>
                    <w:tl2br w:val="nil"/>
                    <w:tr2bl w:val="nil"/>
                  </w:tcBorders>
                  <w:vAlign w:val="center"/>
                </w:tcPr>
                <w:p w14:paraId="537DE329">
                  <w:pPr>
                    <w:adjustRightInd w:val="0"/>
                    <w:snapToGrid w:val="0"/>
                    <w:jc w:val="center"/>
                    <w:rPr>
                      <w:szCs w:val="21"/>
                    </w:rPr>
                  </w:pPr>
                  <w:r>
                    <w:rPr>
                      <w:rFonts w:hint="eastAsia"/>
                      <w:szCs w:val="21"/>
                    </w:rPr>
                    <w:t>0.67</w:t>
                  </w:r>
                </w:p>
              </w:tc>
            </w:tr>
            <w:tr w14:paraId="5714CF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3" w:type="dxa"/>
                  <w:vMerge w:val="restart"/>
                  <w:tcBorders>
                    <w:tl2br w:val="nil"/>
                    <w:tr2bl w:val="nil"/>
                  </w:tcBorders>
                  <w:vAlign w:val="center"/>
                </w:tcPr>
                <w:p w14:paraId="3EA68F33">
                  <w:pPr>
                    <w:widowControl/>
                    <w:jc w:val="center"/>
                    <w:rPr>
                      <w:szCs w:val="21"/>
                    </w:rPr>
                  </w:pPr>
                  <w:r>
                    <w:rPr>
                      <w:bCs/>
                      <w:kern w:val="0"/>
                      <w:szCs w:val="21"/>
                    </w:rPr>
                    <w:t>生产车间</w:t>
                  </w:r>
                </w:p>
              </w:tc>
              <w:tc>
                <w:tcPr>
                  <w:tcW w:w="1392" w:type="dxa"/>
                  <w:tcBorders>
                    <w:tl2br w:val="nil"/>
                    <w:tr2bl w:val="nil"/>
                  </w:tcBorders>
                  <w:vAlign w:val="center"/>
                </w:tcPr>
                <w:p w14:paraId="351206A9">
                  <w:pPr>
                    <w:adjustRightInd w:val="0"/>
                    <w:snapToGrid w:val="0"/>
                    <w:jc w:val="center"/>
                    <w:rPr>
                      <w:szCs w:val="21"/>
                    </w:rPr>
                  </w:pPr>
                  <w:r>
                    <w:rPr>
                      <w:szCs w:val="21"/>
                    </w:rPr>
                    <w:t>VOCs</w:t>
                  </w:r>
                </w:p>
              </w:tc>
              <w:tc>
                <w:tcPr>
                  <w:tcW w:w="1572" w:type="dxa"/>
                  <w:tcBorders>
                    <w:tl2br w:val="nil"/>
                    <w:tr2bl w:val="nil"/>
                  </w:tcBorders>
                  <w:vAlign w:val="center"/>
                </w:tcPr>
                <w:p w14:paraId="4E83E3D5">
                  <w:pPr>
                    <w:adjustRightInd w:val="0"/>
                    <w:snapToGrid w:val="0"/>
                    <w:jc w:val="center"/>
                    <w:rPr>
                      <w:szCs w:val="21"/>
                      <w:highlight w:val="yellow"/>
                    </w:rPr>
                  </w:pPr>
                  <w:r>
                    <w:rPr>
                      <w:rFonts w:hint="eastAsia"/>
                      <w:szCs w:val="21"/>
                    </w:rPr>
                    <w:t>0.0765</w:t>
                  </w:r>
                </w:p>
              </w:tc>
              <w:tc>
                <w:tcPr>
                  <w:tcW w:w="1425" w:type="dxa"/>
                  <w:tcBorders>
                    <w:tl2br w:val="nil"/>
                    <w:tr2bl w:val="nil"/>
                  </w:tcBorders>
                  <w:vAlign w:val="center"/>
                </w:tcPr>
                <w:p w14:paraId="61C37977">
                  <w:pPr>
                    <w:adjustRightInd w:val="0"/>
                    <w:snapToGrid w:val="0"/>
                    <w:jc w:val="center"/>
                    <w:rPr>
                      <w:szCs w:val="21"/>
                    </w:rPr>
                  </w:pPr>
                  <w:r>
                    <w:rPr>
                      <w:rFonts w:hint="eastAsia"/>
                      <w:szCs w:val="21"/>
                    </w:rPr>
                    <w:t>1</w:t>
                  </w:r>
                  <w:r>
                    <w:rPr>
                      <w:szCs w:val="21"/>
                    </w:rPr>
                    <w:t>.2</w:t>
                  </w:r>
                </w:p>
              </w:tc>
              <w:tc>
                <w:tcPr>
                  <w:tcW w:w="1262" w:type="dxa"/>
                  <w:tcBorders>
                    <w:tl2br w:val="nil"/>
                    <w:tr2bl w:val="nil"/>
                  </w:tcBorders>
                  <w:vAlign w:val="center"/>
                </w:tcPr>
                <w:p w14:paraId="19EBBD65">
                  <w:pPr>
                    <w:adjustRightInd w:val="0"/>
                    <w:snapToGrid w:val="0"/>
                    <w:jc w:val="center"/>
                    <w:rPr>
                      <w:szCs w:val="21"/>
                    </w:rPr>
                  </w:pPr>
                  <w:r>
                    <w:rPr>
                      <w:rFonts w:hint="eastAsia"/>
                      <w:szCs w:val="21"/>
                    </w:rPr>
                    <w:t>75</w:t>
                  </w:r>
                </w:p>
              </w:tc>
              <w:tc>
                <w:tcPr>
                  <w:tcW w:w="1145" w:type="dxa"/>
                  <w:tcBorders>
                    <w:tl2br w:val="nil"/>
                    <w:tr2bl w:val="nil"/>
                  </w:tcBorders>
                  <w:vAlign w:val="center"/>
                </w:tcPr>
                <w:p w14:paraId="569B886E">
                  <w:pPr>
                    <w:adjustRightInd w:val="0"/>
                    <w:snapToGrid w:val="0"/>
                    <w:jc w:val="center"/>
                    <w:rPr>
                      <w:szCs w:val="21"/>
                    </w:rPr>
                  </w:pPr>
                  <w:r>
                    <w:rPr>
                      <w:rFonts w:hint="eastAsia"/>
                      <w:szCs w:val="21"/>
                    </w:rPr>
                    <w:t>6.37</w:t>
                  </w:r>
                </w:p>
              </w:tc>
            </w:tr>
            <w:tr w14:paraId="7C7DF1A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3" w:type="dxa"/>
                  <w:vMerge w:val="continue"/>
                  <w:tcBorders>
                    <w:tl2br w:val="nil"/>
                    <w:tr2bl w:val="nil"/>
                  </w:tcBorders>
                  <w:vAlign w:val="center"/>
                </w:tcPr>
                <w:p w14:paraId="5A850A22">
                  <w:pPr>
                    <w:widowControl/>
                    <w:jc w:val="center"/>
                    <w:rPr>
                      <w:bCs/>
                      <w:kern w:val="0"/>
                      <w:szCs w:val="21"/>
                    </w:rPr>
                  </w:pPr>
                </w:p>
              </w:tc>
              <w:tc>
                <w:tcPr>
                  <w:tcW w:w="1392" w:type="dxa"/>
                  <w:tcBorders>
                    <w:tl2br w:val="nil"/>
                    <w:tr2bl w:val="nil"/>
                  </w:tcBorders>
                  <w:vAlign w:val="center"/>
                </w:tcPr>
                <w:p w14:paraId="13358C65">
                  <w:pPr>
                    <w:adjustRightInd w:val="0"/>
                    <w:snapToGrid w:val="0"/>
                    <w:jc w:val="center"/>
                    <w:rPr>
                      <w:szCs w:val="21"/>
                    </w:rPr>
                  </w:pPr>
                  <w:r>
                    <w:rPr>
                      <w:rFonts w:hint="eastAsia"/>
                      <w:szCs w:val="21"/>
                    </w:rPr>
                    <w:t>二甲苯</w:t>
                  </w:r>
                </w:p>
              </w:tc>
              <w:tc>
                <w:tcPr>
                  <w:tcW w:w="1572" w:type="dxa"/>
                  <w:tcBorders>
                    <w:tl2br w:val="nil"/>
                    <w:tr2bl w:val="nil"/>
                  </w:tcBorders>
                  <w:vAlign w:val="center"/>
                </w:tcPr>
                <w:p w14:paraId="6AD225D1">
                  <w:pPr>
                    <w:adjustRightInd w:val="0"/>
                    <w:snapToGrid w:val="0"/>
                    <w:jc w:val="center"/>
                    <w:rPr>
                      <w:szCs w:val="21"/>
                    </w:rPr>
                  </w:pPr>
                  <w:r>
                    <w:rPr>
                      <w:rFonts w:hint="eastAsia"/>
                      <w:szCs w:val="21"/>
                    </w:rPr>
                    <w:t>0.0107</w:t>
                  </w:r>
                </w:p>
              </w:tc>
              <w:tc>
                <w:tcPr>
                  <w:tcW w:w="1425" w:type="dxa"/>
                  <w:tcBorders>
                    <w:tl2br w:val="nil"/>
                    <w:tr2bl w:val="nil"/>
                  </w:tcBorders>
                  <w:vAlign w:val="center"/>
                </w:tcPr>
                <w:p w14:paraId="383D6B74">
                  <w:pPr>
                    <w:adjustRightInd w:val="0"/>
                    <w:snapToGrid w:val="0"/>
                    <w:jc w:val="center"/>
                    <w:rPr>
                      <w:szCs w:val="21"/>
                    </w:rPr>
                  </w:pPr>
                  <w:r>
                    <w:rPr>
                      <w:rFonts w:hint="eastAsia"/>
                      <w:szCs w:val="21"/>
                    </w:rPr>
                    <w:t>0.2</w:t>
                  </w:r>
                </w:p>
              </w:tc>
              <w:tc>
                <w:tcPr>
                  <w:tcW w:w="1262" w:type="dxa"/>
                  <w:tcBorders>
                    <w:tl2br w:val="nil"/>
                    <w:tr2bl w:val="nil"/>
                  </w:tcBorders>
                  <w:vAlign w:val="center"/>
                </w:tcPr>
                <w:p w14:paraId="363F2FEF">
                  <w:pPr>
                    <w:adjustRightInd w:val="0"/>
                    <w:snapToGrid w:val="0"/>
                    <w:jc w:val="center"/>
                    <w:rPr>
                      <w:szCs w:val="21"/>
                    </w:rPr>
                  </w:pPr>
                  <w:r>
                    <w:rPr>
                      <w:rFonts w:hint="eastAsia"/>
                      <w:szCs w:val="21"/>
                    </w:rPr>
                    <w:t>75</w:t>
                  </w:r>
                </w:p>
              </w:tc>
              <w:tc>
                <w:tcPr>
                  <w:tcW w:w="1145" w:type="dxa"/>
                  <w:tcBorders>
                    <w:tl2br w:val="nil"/>
                    <w:tr2bl w:val="nil"/>
                  </w:tcBorders>
                  <w:vAlign w:val="center"/>
                </w:tcPr>
                <w:p w14:paraId="1742FFB9">
                  <w:pPr>
                    <w:adjustRightInd w:val="0"/>
                    <w:snapToGrid w:val="0"/>
                    <w:jc w:val="center"/>
                    <w:rPr>
                      <w:szCs w:val="21"/>
                    </w:rPr>
                  </w:pPr>
                  <w:r>
                    <w:rPr>
                      <w:rFonts w:hint="eastAsia"/>
                      <w:szCs w:val="21"/>
                    </w:rPr>
                    <w:t>5.35</w:t>
                  </w:r>
                </w:p>
              </w:tc>
            </w:tr>
            <w:tr w14:paraId="05C1F64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673" w:type="dxa"/>
                  <w:vMerge w:val="continue"/>
                  <w:tcBorders>
                    <w:tl2br w:val="nil"/>
                    <w:tr2bl w:val="nil"/>
                  </w:tcBorders>
                  <w:vAlign w:val="center"/>
                </w:tcPr>
                <w:p w14:paraId="747E146E">
                  <w:pPr>
                    <w:widowControl/>
                    <w:jc w:val="center"/>
                    <w:rPr>
                      <w:bCs/>
                      <w:kern w:val="0"/>
                      <w:szCs w:val="21"/>
                    </w:rPr>
                  </w:pPr>
                </w:p>
              </w:tc>
              <w:tc>
                <w:tcPr>
                  <w:tcW w:w="1392" w:type="dxa"/>
                  <w:tcBorders>
                    <w:tl2br w:val="nil"/>
                    <w:tr2bl w:val="nil"/>
                  </w:tcBorders>
                  <w:vAlign w:val="center"/>
                </w:tcPr>
                <w:p w14:paraId="1618C503">
                  <w:pPr>
                    <w:adjustRightInd w:val="0"/>
                    <w:snapToGrid w:val="0"/>
                    <w:jc w:val="center"/>
                    <w:rPr>
                      <w:szCs w:val="21"/>
                    </w:rPr>
                  </w:pPr>
                  <w:r>
                    <w:rPr>
                      <w:rFonts w:hint="eastAsia"/>
                      <w:szCs w:val="21"/>
                    </w:rPr>
                    <w:t>颗粒物</w:t>
                  </w:r>
                </w:p>
              </w:tc>
              <w:tc>
                <w:tcPr>
                  <w:tcW w:w="1572" w:type="dxa"/>
                  <w:tcBorders>
                    <w:tl2br w:val="nil"/>
                    <w:tr2bl w:val="nil"/>
                  </w:tcBorders>
                  <w:vAlign w:val="center"/>
                </w:tcPr>
                <w:p w14:paraId="2A81C930">
                  <w:pPr>
                    <w:adjustRightInd w:val="0"/>
                    <w:snapToGrid w:val="0"/>
                    <w:jc w:val="center"/>
                    <w:rPr>
                      <w:szCs w:val="21"/>
                    </w:rPr>
                  </w:pPr>
                  <w:r>
                    <w:rPr>
                      <w:rFonts w:hint="eastAsia"/>
                      <w:szCs w:val="21"/>
                    </w:rPr>
                    <w:t>0.00724</w:t>
                  </w:r>
                </w:p>
              </w:tc>
              <w:tc>
                <w:tcPr>
                  <w:tcW w:w="1425" w:type="dxa"/>
                  <w:tcBorders>
                    <w:tl2br w:val="nil"/>
                    <w:tr2bl w:val="nil"/>
                  </w:tcBorders>
                  <w:vAlign w:val="center"/>
                </w:tcPr>
                <w:p w14:paraId="0E5B6D19">
                  <w:pPr>
                    <w:adjustRightInd w:val="0"/>
                    <w:snapToGrid w:val="0"/>
                    <w:jc w:val="center"/>
                    <w:rPr>
                      <w:szCs w:val="21"/>
                    </w:rPr>
                  </w:pPr>
                  <w:r>
                    <w:rPr>
                      <w:rFonts w:hint="eastAsia"/>
                      <w:szCs w:val="21"/>
                    </w:rPr>
                    <w:t>0.9</w:t>
                  </w:r>
                </w:p>
              </w:tc>
              <w:tc>
                <w:tcPr>
                  <w:tcW w:w="1262" w:type="dxa"/>
                  <w:tcBorders>
                    <w:tl2br w:val="nil"/>
                    <w:tr2bl w:val="nil"/>
                  </w:tcBorders>
                  <w:vAlign w:val="center"/>
                </w:tcPr>
                <w:p w14:paraId="42163B5E">
                  <w:pPr>
                    <w:adjustRightInd w:val="0"/>
                    <w:snapToGrid w:val="0"/>
                    <w:jc w:val="center"/>
                    <w:rPr>
                      <w:szCs w:val="21"/>
                    </w:rPr>
                  </w:pPr>
                  <w:r>
                    <w:rPr>
                      <w:rFonts w:hint="eastAsia"/>
                      <w:szCs w:val="21"/>
                    </w:rPr>
                    <w:t>75</w:t>
                  </w:r>
                </w:p>
              </w:tc>
              <w:tc>
                <w:tcPr>
                  <w:tcW w:w="1145" w:type="dxa"/>
                  <w:tcBorders>
                    <w:tl2br w:val="nil"/>
                    <w:tr2bl w:val="nil"/>
                  </w:tcBorders>
                  <w:vAlign w:val="center"/>
                </w:tcPr>
                <w:p w14:paraId="50503767">
                  <w:pPr>
                    <w:adjustRightInd w:val="0"/>
                    <w:snapToGrid w:val="0"/>
                    <w:jc w:val="center"/>
                    <w:rPr>
                      <w:szCs w:val="21"/>
                    </w:rPr>
                  </w:pPr>
                  <w:r>
                    <w:rPr>
                      <w:rFonts w:hint="eastAsia"/>
                      <w:szCs w:val="21"/>
                    </w:rPr>
                    <w:t>0.804</w:t>
                  </w:r>
                </w:p>
              </w:tc>
            </w:tr>
          </w:tbl>
          <w:p w14:paraId="7104DFA3">
            <w:pPr>
              <w:spacing w:line="360" w:lineRule="auto"/>
              <w:ind w:firstLine="480" w:firstLineChars="200"/>
              <w:jc w:val="left"/>
              <w:rPr>
                <w:rFonts w:eastAsiaTheme="minorEastAsia"/>
                <w:sz w:val="24"/>
                <w:szCs w:val="24"/>
              </w:rPr>
            </w:pPr>
            <w:r>
              <w:rPr>
                <w:rFonts w:hint="eastAsia" w:eastAsiaTheme="minorEastAsia"/>
                <w:sz w:val="24"/>
                <w:szCs w:val="24"/>
              </w:rPr>
              <w:t>4、评价等级的判定</w:t>
            </w:r>
          </w:p>
          <w:p w14:paraId="2948A5F0">
            <w:pPr>
              <w:snapToGrid w:val="0"/>
              <w:spacing w:line="360" w:lineRule="auto"/>
              <w:ind w:firstLine="480" w:firstLineChars="200"/>
              <w:rPr>
                <w:sz w:val="24"/>
                <w:szCs w:val="24"/>
              </w:rPr>
            </w:pPr>
            <w:r>
              <w:rPr>
                <w:sz w:val="24"/>
                <w:szCs w:val="24"/>
              </w:rPr>
              <w:t>大气评价工作等级</w:t>
            </w:r>
            <w:r>
              <w:rPr>
                <w:rFonts w:hint="eastAsia"/>
                <w:sz w:val="24"/>
                <w:szCs w:val="24"/>
              </w:rPr>
              <w:t>按</w:t>
            </w:r>
            <w:r>
              <w:rPr>
                <w:sz w:val="24"/>
                <w:szCs w:val="24"/>
              </w:rPr>
              <w:t>下表的分级判据进行划分</w:t>
            </w:r>
            <w:r>
              <w:rPr>
                <w:rFonts w:hint="eastAsia"/>
                <w:sz w:val="24"/>
                <w:szCs w:val="24"/>
              </w:rPr>
              <w:t>。</w:t>
            </w:r>
          </w:p>
          <w:p w14:paraId="1D31198F">
            <w:pPr>
              <w:pStyle w:val="19"/>
              <w:snapToGrid/>
              <w:jc w:val="center"/>
              <w:rPr>
                <w:b/>
                <w:bCs/>
                <w:sz w:val="24"/>
                <w:szCs w:val="24"/>
              </w:rPr>
            </w:pPr>
            <w:r>
              <w:rPr>
                <w:b/>
                <w:bCs/>
                <w:sz w:val="24"/>
                <w:szCs w:val="24"/>
              </w:rPr>
              <w:t>表7-</w:t>
            </w:r>
            <w:r>
              <w:rPr>
                <w:rFonts w:hint="eastAsia"/>
                <w:b/>
                <w:bCs/>
                <w:sz w:val="24"/>
                <w:szCs w:val="24"/>
              </w:rPr>
              <w:t>7</w:t>
            </w:r>
            <w:r>
              <w:rPr>
                <w:b/>
                <w:bCs/>
                <w:sz w:val="24"/>
                <w:szCs w:val="24"/>
              </w:rPr>
              <w:t xml:space="preserve"> 评价等级判别表</w:t>
            </w:r>
          </w:p>
          <w:tbl>
            <w:tblPr>
              <w:tblStyle w:val="27"/>
              <w:tblW w:w="8990"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94"/>
              <w:gridCol w:w="4496"/>
            </w:tblGrid>
            <w:tr w14:paraId="1BF8C0F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4494" w:type="dxa"/>
                  <w:tcBorders>
                    <w:tl2br w:val="nil"/>
                    <w:tr2bl w:val="nil"/>
                  </w:tcBorders>
                  <w:vAlign w:val="center"/>
                </w:tcPr>
                <w:p w14:paraId="37454DF5">
                  <w:pPr>
                    <w:pStyle w:val="19"/>
                    <w:snapToGrid/>
                    <w:ind w:firstLine="425"/>
                    <w:jc w:val="center"/>
                    <w:rPr>
                      <w:bCs/>
                      <w:sz w:val="21"/>
                      <w:szCs w:val="21"/>
                    </w:rPr>
                  </w:pPr>
                  <w:r>
                    <w:rPr>
                      <w:bCs/>
                      <w:sz w:val="21"/>
                      <w:szCs w:val="21"/>
                    </w:rPr>
                    <w:t>评价等级</w:t>
                  </w:r>
                </w:p>
              </w:tc>
              <w:tc>
                <w:tcPr>
                  <w:tcW w:w="4496" w:type="dxa"/>
                  <w:tcBorders>
                    <w:tl2br w:val="nil"/>
                    <w:tr2bl w:val="nil"/>
                  </w:tcBorders>
                  <w:vAlign w:val="center"/>
                </w:tcPr>
                <w:p w14:paraId="49E84DAB">
                  <w:pPr>
                    <w:pStyle w:val="19"/>
                    <w:snapToGrid/>
                    <w:ind w:firstLine="425"/>
                    <w:jc w:val="center"/>
                    <w:rPr>
                      <w:bCs/>
                      <w:sz w:val="21"/>
                      <w:szCs w:val="21"/>
                    </w:rPr>
                  </w:pPr>
                  <w:r>
                    <w:rPr>
                      <w:bCs/>
                      <w:sz w:val="21"/>
                      <w:szCs w:val="21"/>
                    </w:rPr>
                    <w:t>评价工作分级判据</w:t>
                  </w:r>
                </w:p>
              </w:tc>
            </w:tr>
            <w:tr w14:paraId="60CE236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2" w:hRule="atLeast"/>
              </w:trPr>
              <w:tc>
                <w:tcPr>
                  <w:tcW w:w="4494" w:type="dxa"/>
                  <w:tcBorders>
                    <w:tl2br w:val="nil"/>
                    <w:tr2bl w:val="nil"/>
                  </w:tcBorders>
                  <w:vAlign w:val="center"/>
                </w:tcPr>
                <w:p w14:paraId="1443EEBB">
                  <w:pPr>
                    <w:pStyle w:val="19"/>
                    <w:snapToGrid/>
                    <w:ind w:firstLine="425"/>
                    <w:jc w:val="center"/>
                    <w:rPr>
                      <w:sz w:val="21"/>
                      <w:szCs w:val="21"/>
                    </w:rPr>
                  </w:pPr>
                  <w:r>
                    <w:rPr>
                      <w:sz w:val="21"/>
                      <w:szCs w:val="21"/>
                    </w:rPr>
                    <w:t>一级评价</w:t>
                  </w:r>
                </w:p>
              </w:tc>
              <w:tc>
                <w:tcPr>
                  <w:tcW w:w="4496" w:type="dxa"/>
                  <w:tcBorders>
                    <w:tl2br w:val="nil"/>
                    <w:tr2bl w:val="nil"/>
                  </w:tcBorders>
                  <w:vAlign w:val="center"/>
                </w:tcPr>
                <w:p w14:paraId="13265AD0">
                  <w:pPr>
                    <w:pStyle w:val="19"/>
                    <w:snapToGrid/>
                    <w:ind w:firstLine="425"/>
                    <w:jc w:val="center"/>
                    <w:rPr>
                      <w:sz w:val="21"/>
                      <w:szCs w:val="21"/>
                    </w:rPr>
                  </w:pPr>
                  <w:r>
                    <w:rPr>
                      <w:sz w:val="21"/>
                      <w:szCs w:val="21"/>
                    </w:rPr>
                    <w:t>P</w:t>
                  </w:r>
                  <w:r>
                    <w:rPr>
                      <w:sz w:val="21"/>
                      <w:szCs w:val="21"/>
                      <w:vertAlign w:val="subscript"/>
                    </w:rPr>
                    <w:t>max</w:t>
                  </w:r>
                  <w:r>
                    <w:rPr>
                      <w:sz w:val="21"/>
                      <w:szCs w:val="21"/>
                    </w:rPr>
                    <w:t>≥10%</w:t>
                  </w:r>
                </w:p>
              </w:tc>
            </w:tr>
            <w:tr w14:paraId="73CEEF8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4494" w:type="dxa"/>
                  <w:tcBorders>
                    <w:tl2br w:val="nil"/>
                    <w:tr2bl w:val="nil"/>
                  </w:tcBorders>
                  <w:vAlign w:val="center"/>
                </w:tcPr>
                <w:p w14:paraId="01595E88">
                  <w:pPr>
                    <w:pStyle w:val="19"/>
                    <w:snapToGrid/>
                    <w:ind w:firstLine="425"/>
                    <w:jc w:val="center"/>
                    <w:rPr>
                      <w:sz w:val="21"/>
                      <w:szCs w:val="21"/>
                    </w:rPr>
                  </w:pPr>
                  <w:r>
                    <w:rPr>
                      <w:sz w:val="21"/>
                      <w:szCs w:val="21"/>
                    </w:rPr>
                    <w:t>二级评价</w:t>
                  </w:r>
                </w:p>
              </w:tc>
              <w:tc>
                <w:tcPr>
                  <w:tcW w:w="4496" w:type="dxa"/>
                  <w:tcBorders>
                    <w:tl2br w:val="nil"/>
                    <w:tr2bl w:val="nil"/>
                  </w:tcBorders>
                  <w:vAlign w:val="center"/>
                </w:tcPr>
                <w:p w14:paraId="63753A1F">
                  <w:pPr>
                    <w:pStyle w:val="19"/>
                    <w:snapToGrid/>
                    <w:ind w:firstLine="425"/>
                    <w:jc w:val="center"/>
                    <w:rPr>
                      <w:sz w:val="21"/>
                      <w:szCs w:val="21"/>
                    </w:rPr>
                  </w:pPr>
                  <w:r>
                    <w:rPr>
                      <w:sz w:val="21"/>
                      <w:szCs w:val="21"/>
                    </w:rPr>
                    <w:t>1%≤P</w:t>
                  </w:r>
                  <w:r>
                    <w:rPr>
                      <w:sz w:val="21"/>
                      <w:szCs w:val="21"/>
                      <w:vertAlign w:val="subscript"/>
                    </w:rPr>
                    <w:t>max</w:t>
                  </w:r>
                  <w:r>
                    <w:rPr>
                      <w:sz w:val="21"/>
                      <w:szCs w:val="21"/>
                    </w:rPr>
                    <w:t>&lt;10%</w:t>
                  </w:r>
                </w:p>
              </w:tc>
            </w:tr>
            <w:tr w14:paraId="60E97F8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4494" w:type="dxa"/>
                  <w:tcBorders>
                    <w:tl2br w:val="nil"/>
                    <w:tr2bl w:val="nil"/>
                  </w:tcBorders>
                  <w:vAlign w:val="center"/>
                </w:tcPr>
                <w:p w14:paraId="7BF636B5">
                  <w:pPr>
                    <w:pStyle w:val="19"/>
                    <w:snapToGrid/>
                    <w:ind w:firstLine="425"/>
                    <w:jc w:val="center"/>
                    <w:rPr>
                      <w:sz w:val="21"/>
                      <w:szCs w:val="21"/>
                    </w:rPr>
                  </w:pPr>
                  <w:r>
                    <w:rPr>
                      <w:sz w:val="21"/>
                      <w:szCs w:val="21"/>
                    </w:rPr>
                    <w:t>三级评价</w:t>
                  </w:r>
                </w:p>
              </w:tc>
              <w:tc>
                <w:tcPr>
                  <w:tcW w:w="4496" w:type="dxa"/>
                  <w:tcBorders>
                    <w:tl2br w:val="nil"/>
                    <w:tr2bl w:val="nil"/>
                  </w:tcBorders>
                  <w:vAlign w:val="center"/>
                </w:tcPr>
                <w:p w14:paraId="4D9E979E">
                  <w:pPr>
                    <w:pStyle w:val="19"/>
                    <w:snapToGrid/>
                    <w:ind w:firstLine="425"/>
                    <w:jc w:val="center"/>
                    <w:rPr>
                      <w:sz w:val="21"/>
                      <w:szCs w:val="21"/>
                    </w:rPr>
                  </w:pPr>
                  <w:r>
                    <w:rPr>
                      <w:sz w:val="21"/>
                      <w:szCs w:val="21"/>
                    </w:rPr>
                    <w:t>P</w:t>
                  </w:r>
                  <w:r>
                    <w:rPr>
                      <w:sz w:val="21"/>
                      <w:szCs w:val="21"/>
                      <w:vertAlign w:val="subscript"/>
                    </w:rPr>
                    <w:t>max</w:t>
                  </w:r>
                  <w:r>
                    <w:rPr>
                      <w:sz w:val="21"/>
                      <w:szCs w:val="21"/>
                    </w:rPr>
                    <w:t>&lt;1%</w:t>
                  </w:r>
                </w:p>
              </w:tc>
            </w:tr>
          </w:tbl>
          <w:p w14:paraId="79C32F20">
            <w:pPr>
              <w:spacing w:line="360" w:lineRule="auto"/>
              <w:ind w:firstLine="480" w:firstLineChars="200"/>
              <w:rPr>
                <w:sz w:val="24"/>
                <w:szCs w:val="24"/>
              </w:rPr>
            </w:pPr>
            <w:r>
              <w:rPr>
                <w:rFonts w:hint="eastAsia"/>
                <w:bCs/>
                <w:sz w:val="24"/>
                <w:szCs w:val="24"/>
              </w:rPr>
              <w:t>根据本项目主要污染源估算模型计算结果，P</w:t>
            </w:r>
            <w:r>
              <w:rPr>
                <w:rFonts w:hint="eastAsia"/>
                <w:bCs/>
                <w:sz w:val="24"/>
                <w:szCs w:val="24"/>
                <w:vertAlign w:val="subscript"/>
              </w:rPr>
              <w:t>max</w:t>
            </w:r>
            <w:r>
              <w:rPr>
                <w:rFonts w:hint="eastAsia"/>
                <w:bCs/>
                <w:sz w:val="24"/>
                <w:szCs w:val="24"/>
              </w:rPr>
              <w:t>=</w:t>
            </w:r>
            <w:r>
              <w:rPr>
                <w:rFonts w:hint="eastAsia"/>
                <w:bCs/>
                <w:sz w:val="24"/>
                <w:szCs w:val="24"/>
                <w:lang w:val="en-US" w:eastAsia="zh-CN"/>
              </w:rPr>
              <w:t>7.1</w:t>
            </w:r>
            <w:r>
              <w:rPr>
                <w:rFonts w:hint="eastAsia"/>
                <w:bCs/>
                <w:sz w:val="24"/>
                <w:szCs w:val="24"/>
              </w:rPr>
              <w:t>%，</w:t>
            </w:r>
            <w:r>
              <w:rPr>
                <w:sz w:val="24"/>
                <w:szCs w:val="24"/>
              </w:rPr>
              <w:t>1%≤P</w:t>
            </w:r>
            <w:r>
              <w:rPr>
                <w:sz w:val="24"/>
                <w:szCs w:val="24"/>
                <w:vertAlign w:val="subscript"/>
              </w:rPr>
              <w:t>max</w:t>
            </w:r>
            <w:r>
              <w:rPr>
                <w:sz w:val="24"/>
                <w:szCs w:val="24"/>
              </w:rPr>
              <w:t>&lt;10%</w:t>
            </w:r>
            <w:r>
              <w:rPr>
                <w:rFonts w:hint="eastAsia"/>
                <w:bCs/>
                <w:sz w:val="24"/>
                <w:szCs w:val="24"/>
              </w:rPr>
              <w:t>。综上，本</w:t>
            </w:r>
            <w:r>
              <w:rPr>
                <w:bCs/>
                <w:sz w:val="24"/>
                <w:szCs w:val="24"/>
              </w:rPr>
              <w:t>项目大气评价为</w:t>
            </w:r>
            <w:r>
              <w:rPr>
                <w:rFonts w:hint="eastAsia"/>
                <w:bCs/>
                <w:sz w:val="24"/>
                <w:szCs w:val="24"/>
              </w:rPr>
              <w:t>二</w:t>
            </w:r>
            <w:r>
              <w:rPr>
                <w:bCs/>
                <w:sz w:val="24"/>
                <w:szCs w:val="24"/>
              </w:rPr>
              <w:t>级，</w:t>
            </w:r>
            <w:r>
              <w:rPr>
                <w:sz w:val="24"/>
                <w:szCs w:val="24"/>
              </w:rPr>
              <w:t>不进行进一步预测与评价</w:t>
            </w:r>
            <w:r>
              <w:rPr>
                <w:rFonts w:hint="eastAsia"/>
                <w:sz w:val="24"/>
                <w:szCs w:val="24"/>
              </w:rPr>
              <w:t>，</w:t>
            </w:r>
            <w:r>
              <w:rPr>
                <w:sz w:val="24"/>
                <w:szCs w:val="24"/>
              </w:rPr>
              <w:t>只对污染物排放量进行核算</w:t>
            </w:r>
            <w:r>
              <w:rPr>
                <w:rFonts w:hint="eastAsia"/>
                <w:sz w:val="24"/>
                <w:szCs w:val="24"/>
              </w:rPr>
              <w:t>。</w:t>
            </w:r>
          </w:p>
          <w:p w14:paraId="752F6C33">
            <w:pPr>
              <w:spacing w:line="360" w:lineRule="auto"/>
              <w:ind w:firstLine="480"/>
              <w:rPr>
                <w:sz w:val="24"/>
                <w:szCs w:val="24"/>
              </w:rPr>
            </w:pPr>
            <w:r>
              <w:rPr>
                <w:rFonts w:hint="eastAsia"/>
                <w:sz w:val="24"/>
                <w:szCs w:val="24"/>
              </w:rPr>
              <w:t>5</w:t>
            </w:r>
            <w:r>
              <w:rPr>
                <w:sz w:val="24"/>
                <w:szCs w:val="24"/>
              </w:rPr>
              <w:t>、污染物排放量核算：</w:t>
            </w:r>
          </w:p>
          <w:p w14:paraId="3605BD09">
            <w:pPr>
              <w:snapToGrid w:val="0"/>
              <w:ind w:firstLine="482" w:firstLineChars="200"/>
              <w:jc w:val="center"/>
              <w:rPr>
                <w:b/>
                <w:bCs/>
                <w:sz w:val="24"/>
                <w:szCs w:val="24"/>
              </w:rPr>
            </w:pPr>
            <w:r>
              <w:rPr>
                <w:b/>
                <w:bCs/>
                <w:sz w:val="24"/>
                <w:szCs w:val="24"/>
              </w:rPr>
              <w:t>表7-</w:t>
            </w:r>
            <w:r>
              <w:rPr>
                <w:rFonts w:hint="eastAsia"/>
                <w:b/>
                <w:bCs/>
                <w:sz w:val="24"/>
                <w:szCs w:val="24"/>
              </w:rPr>
              <w:t>8</w:t>
            </w:r>
            <w:r>
              <w:rPr>
                <w:b/>
                <w:bCs/>
                <w:sz w:val="24"/>
                <w:szCs w:val="24"/>
              </w:rPr>
              <w:t>大气污染物有组织排放量核算表</w:t>
            </w:r>
          </w:p>
          <w:tbl>
            <w:tblPr>
              <w:tblStyle w:val="27"/>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5" w:type="dxa"/>
                <w:left w:w="15" w:type="dxa"/>
                <w:bottom w:w="15" w:type="dxa"/>
                <w:right w:w="15" w:type="dxa"/>
              </w:tblCellMar>
            </w:tblPr>
            <w:tblGrid>
              <w:gridCol w:w="982"/>
              <w:gridCol w:w="1368"/>
              <w:gridCol w:w="982"/>
              <w:gridCol w:w="1766"/>
              <w:gridCol w:w="2292"/>
              <w:gridCol w:w="1681"/>
            </w:tblGrid>
            <w:tr w14:paraId="0168366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982" w:type="dxa"/>
                  <w:vAlign w:val="center"/>
                </w:tcPr>
                <w:p w14:paraId="060AFD5F">
                  <w:pPr>
                    <w:widowControl/>
                    <w:jc w:val="center"/>
                    <w:textAlignment w:val="center"/>
                    <w:rPr>
                      <w:szCs w:val="21"/>
                    </w:rPr>
                  </w:pPr>
                  <w:r>
                    <w:rPr>
                      <w:kern w:val="0"/>
                      <w:szCs w:val="21"/>
                    </w:rPr>
                    <w:t>序号</w:t>
                  </w:r>
                </w:p>
              </w:tc>
              <w:tc>
                <w:tcPr>
                  <w:tcW w:w="1368" w:type="dxa"/>
                  <w:vAlign w:val="center"/>
                </w:tcPr>
                <w:p w14:paraId="4B03B5B5">
                  <w:pPr>
                    <w:widowControl/>
                    <w:jc w:val="center"/>
                    <w:textAlignment w:val="center"/>
                    <w:rPr>
                      <w:szCs w:val="21"/>
                    </w:rPr>
                  </w:pPr>
                  <w:r>
                    <w:rPr>
                      <w:kern w:val="0"/>
                      <w:szCs w:val="21"/>
                    </w:rPr>
                    <w:t>排放口编号</w:t>
                  </w:r>
                </w:p>
              </w:tc>
              <w:tc>
                <w:tcPr>
                  <w:tcW w:w="982" w:type="dxa"/>
                  <w:vAlign w:val="center"/>
                </w:tcPr>
                <w:p w14:paraId="60D03CE5">
                  <w:pPr>
                    <w:widowControl/>
                    <w:jc w:val="center"/>
                    <w:textAlignment w:val="center"/>
                    <w:rPr>
                      <w:szCs w:val="21"/>
                    </w:rPr>
                  </w:pPr>
                  <w:r>
                    <w:rPr>
                      <w:kern w:val="0"/>
                      <w:szCs w:val="21"/>
                    </w:rPr>
                    <w:t>污染物</w:t>
                  </w:r>
                </w:p>
              </w:tc>
              <w:tc>
                <w:tcPr>
                  <w:tcW w:w="1766" w:type="dxa"/>
                  <w:vAlign w:val="center"/>
                </w:tcPr>
                <w:p w14:paraId="15E418BF">
                  <w:pPr>
                    <w:widowControl/>
                    <w:jc w:val="center"/>
                    <w:textAlignment w:val="center"/>
                    <w:rPr>
                      <w:szCs w:val="21"/>
                    </w:rPr>
                  </w:pPr>
                  <w:r>
                    <w:rPr>
                      <w:kern w:val="0"/>
                      <w:szCs w:val="21"/>
                    </w:rPr>
                    <w:t>核算排放</w:t>
                  </w:r>
                  <w:r>
                    <w:rPr>
                      <w:rFonts w:hint="eastAsia"/>
                      <w:kern w:val="0"/>
                      <w:szCs w:val="21"/>
                    </w:rPr>
                    <w:t>浓度</w:t>
                  </w:r>
                  <w:r>
                    <w:rPr>
                      <w:kern w:val="0"/>
                      <w:szCs w:val="21"/>
                    </w:rPr>
                    <w:t>（µg/m</w:t>
                  </w:r>
                  <w:r>
                    <w:rPr>
                      <w:kern w:val="0"/>
                      <w:szCs w:val="21"/>
                      <w:vertAlign w:val="superscript"/>
                    </w:rPr>
                    <w:t>3</w:t>
                  </w:r>
                  <w:r>
                    <w:rPr>
                      <w:kern w:val="0"/>
                      <w:szCs w:val="21"/>
                    </w:rPr>
                    <w:t>）</w:t>
                  </w:r>
                </w:p>
              </w:tc>
              <w:tc>
                <w:tcPr>
                  <w:tcW w:w="2292" w:type="dxa"/>
                  <w:vAlign w:val="center"/>
                </w:tcPr>
                <w:p w14:paraId="3DF76B4E">
                  <w:pPr>
                    <w:widowControl/>
                    <w:jc w:val="center"/>
                    <w:textAlignment w:val="center"/>
                    <w:rPr>
                      <w:kern w:val="0"/>
                      <w:szCs w:val="21"/>
                    </w:rPr>
                  </w:pPr>
                  <w:r>
                    <w:rPr>
                      <w:kern w:val="0"/>
                      <w:szCs w:val="21"/>
                    </w:rPr>
                    <w:t>核算排放速率</w:t>
                  </w:r>
                </w:p>
                <w:p w14:paraId="1F1C9A86">
                  <w:pPr>
                    <w:widowControl/>
                    <w:jc w:val="center"/>
                    <w:textAlignment w:val="center"/>
                    <w:rPr>
                      <w:szCs w:val="21"/>
                    </w:rPr>
                  </w:pPr>
                  <w:r>
                    <w:rPr>
                      <w:kern w:val="0"/>
                      <w:szCs w:val="21"/>
                    </w:rPr>
                    <w:t>（kg/h）</w:t>
                  </w:r>
                </w:p>
              </w:tc>
              <w:tc>
                <w:tcPr>
                  <w:tcW w:w="1681" w:type="dxa"/>
                  <w:vAlign w:val="center"/>
                </w:tcPr>
                <w:p w14:paraId="4278F41A">
                  <w:pPr>
                    <w:widowControl/>
                    <w:jc w:val="center"/>
                    <w:textAlignment w:val="center"/>
                    <w:rPr>
                      <w:szCs w:val="21"/>
                    </w:rPr>
                  </w:pPr>
                  <w:r>
                    <w:rPr>
                      <w:kern w:val="0"/>
                      <w:szCs w:val="21"/>
                    </w:rPr>
                    <w:t>核算年排放量（</w:t>
                  </w:r>
                  <w:r>
                    <w:rPr>
                      <w:rFonts w:hint="eastAsia"/>
                      <w:kern w:val="0"/>
                      <w:szCs w:val="21"/>
                    </w:rPr>
                    <w:t>t</w:t>
                  </w:r>
                  <w:r>
                    <w:rPr>
                      <w:kern w:val="0"/>
                      <w:szCs w:val="21"/>
                    </w:rPr>
                    <w:t>/a）</w:t>
                  </w:r>
                </w:p>
              </w:tc>
            </w:tr>
            <w:tr w14:paraId="28D1F65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9071" w:type="dxa"/>
                  <w:gridSpan w:val="6"/>
                  <w:vAlign w:val="center"/>
                </w:tcPr>
                <w:p w14:paraId="19103628">
                  <w:pPr>
                    <w:widowControl/>
                    <w:jc w:val="center"/>
                    <w:textAlignment w:val="center"/>
                    <w:rPr>
                      <w:szCs w:val="21"/>
                    </w:rPr>
                  </w:pPr>
                  <w:r>
                    <w:rPr>
                      <w:kern w:val="0"/>
                      <w:szCs w:val="21"/>
                    </w:rPr>
                    <w:t>一般排放口</w:t>
                  </w:r>
                </w:p>
              </w:tc>
            </w:tr>
            <w:tr w14:paraId="600533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199" w:hRule="atLeast"/>
                <w:jc w:val="center"/>
              </w:trPr>
              <w:tc>
                <w:tcPr>
                  <w:tcW w:w="982" w:type="dxa"/>
                  <w:vAlign w:val="center"/>
                </w:tcPr>
                <w:p w14:paraId="4B247017">
                  <w:pPr>
                    <w:jc w:val="center"/>
                    <w:rPr>
                      <w:szCs w:val="21"/>
                    </w:rPr>
                  </w:pPr>
                  <w:r>
                    <w:rPr>
                      <w:rFonts w:hint="eastAsia"/>
                      <w:szCs w:val="21"/>
                    </w:rPr>
                    <w:t>1</w:t>
                  </w:r>
                </w:p>
              </w:tc>
              <w:tc>
                <w:tcPr>
                  <w:tcW w:w="1368" w:type="dxa"/>
                  <w:vAlign w:val="center"/>
                </w:tcPr>
                <w:p w14:paraId="0B1E9EC1">
                  <w:pPr>
                    <w:jc w:val="center"/>
                    <w:rPr>
                      <w:szCs w:val="21"/>
                    </w:rPr>
                  </w:pPr>
                  <w:r>
                    <w:rPr>
                      <w:rFonts w:hint="eastAsia"/>
                      <w:szCs w:val="21"/>
                    </w:rPr>
                    <w:t>P1</w:t>
                  </w:r>
                </w:p>
              </w:tc>
              <w:tc>
                <w:tcPr>
                  <w:tcW w:w="982" w:type="dxa"/>
                  <w:vAlign w:val="center"/>
                </w:tcPr>
                <w:p w14:paraId="039C2B1C">
                  <w:pPr>
                    <w:adjustRightInd w:val="0"/>
                    <w:snapToGrid w:val="0"/>
                    <w:spacing w:line="220" w:lineRule="exact"/>
                    <w:jc w:val="center"/>
                    <w:rPr>
                      <w:szCs w:val="21"/>
                    </w:rPr>
                  </w:pPr>
                  <w:r>
                    <w:rPr>
                      <w:rFonts w:hint="eastAsia"/>
                      <w:szCs w:val="21"/>
                    </w:rPr>
                    <w:t>VOCs</w:t>
                  </w:r>
                </w:p>
              </w:tc>
              <w:tc>
                <w:tcPr>
                  <w:tcW w:w="1766" w:type="dxa"/>
                  <w:vAlign w:val="center"/>
                </w:tcPr>
                <w:p w14:paraId="0B9CE868">
                  <w:pPr>
                    <w:jc w:val="center"/>
                    <w:rPr>
                      <w:szCs w:val="21"/>
                    </w:rPr>
                  </w:pPr>
                  <w:r>
                    <w:rPr>
                      <w:rFonts w:hint="eastAsia"/>
                      <w:szCs w:val="21"/>
                    </w:rPr>
                    <w:t>5660</w:t>
                  </w:r>
                </w:p>
              </w:tc>
              <w:tc>
                <w:tcPr>
                  <w:tcW w:w="2292" w:type="dxa"/>
                  <w:vAlign w:val="center"/>
                </w:tcPr>
                <w:p w14:paraId="38811063">
                  <w:pPr>
                    <w:jc w:val="center"/>
                    <w:rPr>
                      <w:szCs w:val="21"/>
                    </w:rPr>
                  </w:pPr>
                  <w:r>
                    <w:rPr>
                      <w:rFonts w:hint="eastAsia"/>
                      <w:szCs w:val="21"/>
                    </w:rPr>
                    <w:t>0.054</w:t>
                  </w:r>
                </w:p>
              </w:tc>
              <w:tc>
                <w:tcPr>
                  <w:tcW w:w="1681" w:type="dxa"/>
                  <w:vAlign w:val="center"/>
                </w:tcPr>
                <w:p w14:paraId="652CC074">
                  <w:pPr>
                    <w:jc w:val="center"/>
                    <w:rPr>
                      <w:szCs w:val="21"/>
                    </w:rPr>
                  </w:pPr>
                  <w:r>
                    <w:rPr>
                      <w:rFonts w:hint="eastAsia"/>
                      <w:szCs w:val="21"/>
                    </w:rPr>
                    <w:t>0.129</w:t>
                  </w:r>
                </w:p>
              </w:tc>
            </w:tr>
            <w:tr w14:paraId="1A09F5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982" w:type="dxa"/>
                  <w:vAlign w:val="center"/>
                </w:tcPr>
                <w:p w14:paraId="72D0795A">
                  <w:pPr>
                    <w:jc w:val="center"/>
                    <w:rPr>
                      <w:szCs w:val="21"/>
                    </w:rPr>
                  </w:pPr>
                  <w:r>
                    <w:rPr>
                      <w:rFonts w:hint="eastAsia"/>
                      <w:szCs w:val="21"/>
                    </w:rPr>
                    <w:t>2</w:t>
                  </w:r>
                </w:p>
              </w:tc>
              <w:tc>
                <w:tcPr>
                  <w:tcW w:w="1368" w:type="dxa"/>
                  <w:vAlign w:val="center"/>
                </w:tcPr>
                <w:p w14:paraId="2BCF643D">
                  <w:pPr>
                    <w:jc w:val="center"/>
                    <w:rPr>
                      <w:szCs w:val="21"/>
                    </w:rPr>
                  </w:pPr>
                  <w:r>
                    <w:rPr>
                      <w:rFonts w:hint="eastAsia"/>
                      <w:szCs w:val="21"/>
                    </w:rPr>
                    <w:t>P1</w:t>
                  </w:r>
                </w:p>
              </w:tc>
              <w:tc>
                <w:tcPr>
                  <w:tcW w:w="982" w:type="dxa"/>
                  <w:vAlign w:val="center"/>
                </w:tcPr>
                <w:p w14:paraId="3535C4C7">
                  <w:pPr>
                    <w:adjustRightInd w:val="0"/>
                    <w:snapToGrid w:val="0"/>
                    <w:spacing w:line="220" w:lineRule="exact"/>
                    <w:jc w:val="center"/>
                    <w:rPr>
                      <w:szCs w:val="21"/>
                    </w:rPr>
                  </w:pPr>
                  <w:r>
                    <w:rPr>
                      <w:rFonts w:hint="eastAsia"/>
                      <w:szCs w:val="21"/>
                    </w:rPr>
                    <w:t>二甲苯</w:t>
                  </w:r>
                </w:p>
              </w:tc>
              <w:tc>
                <w:tcPr>
                  <w:tcW w:w="1766" w:type="dxa"/>
                  <w:vAlign w:val="center"/>
                </w:tcPr>
                <w:p w14:paraId="64D55EBD">
                  <w:pPr>
                    <w:jc w:val="center"/>
                    <w:rPr>
                      <w:szCs w:val="21"/>
                    </w:rPr>
                  </w:pPr>
                  <w:r>
                    <w:rPr>
                      <w:rFonts w:hint="eastAsia"/>
                      <w:szCs w:val="21"/>
                    </w:rPr>
                    <w:t>1180</w:t>
                  </w:r>
                </w:p>
              </w:tc>
              <w:tc>
                <w:tcPr>
                  <w:tcW w:w="2292" w:type="dxa"/>
                  <w:vAlign w:val="center"/>
                </w:tcPr>
                <w:p w14:paraId="3723F91A">
                  <w:pPr>
                    <w:jc w:val="center"/>
                    <w:rPr>
                      <w:szCs w:val="21"/>
                    </w:rPr>
                  </w:pPr>
                  <w:r>
                    <w:rPr>
                      <w:rFonts w:hint="eastAsia"/>
                      <w:szCs w:val="21"/>
                    </w:rPr>
                    <w:t>0.011</w:t>
                  </w:r>
                </w:p>
              </w:tc>
              <w:tc>
                <w:tcPr>
                  <w:tcW w:w="1681" w:type="dxa"/>
                  <w:vAlign w:val="center"/>
                </w:tcPr>
                <w:p w14:paraId="36CBD1A6">
                  <w:pPr>
                    <w:jc w:val="center"/>
                    <w:rPr>
                      <w:szCs w:val="21"/>
                    </w:rPr>
                  </w:pPr>
                  <w:r>
                    <w:rPr>
                      <w:rFonts w:hint="eastAsia"/>
                      <w:szCs w:val="21"/>
                    </w:rPr>
                    <w:t>0.027</w:t>
                  </w:r>
                </w:p>
              </w:tc>
            </w:tr>
            <w:tr w14:paraId="03BE91B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90" w:hRule="atLeast"/>
                <w:jc w:val="center"/>
              </w:trPr>
              <w:tc>
                <w:tcPr>
                  <w:tcW w:w="982" w:type="dxa"/>
                  <w:vAlign w:val="center"/>
                </w:tcPr>
                <w:p w14:paraId="45F2F6BE">
                  <w:pPr>
                    <w:jc w:val="center"/>
                    <w:rPr>
                      <w:szCs w:val="21"/>
                    </w:rPr>
                  </w:pPr>
                  <w:r>
                    <w:rPr>
                      <w:rFonts w:hint="eastAsia"/>
                      <w:szCs w:val="21"/>
                    </w:rPr>
                    <w:t>3</w:t>
                  </w:r>
                </w:p>
              </w:tc>
              <w:tc>
                <w:tcPr>
                  <w:tcW w:w="1368" w:type="dxa"/>
                  <w:vAlign w:val="center"/>
                </w:tcPr>
                <w:p w14:paraId="197F073D">
                  <w:pPr>
                    <w:jc w:val="center"/>
                    <w:rPr>
                      <w:szCs w:val="21"/>
                    </w:rPr>
                  </w:pPr>
                  <w:r>
                    <w:rPr>
                      <w:rFonts w:hint="eastAsia"/>
                      <w:szCs w:val="21"/>
                    </w:rPr>
                    <w:t>P2</w:t>
                  </w:r>
                </w:p>
              </w:tc>
              <w:tc>
                <w:tcPr>
                  <w:tcW w:w="982" w:type="dxa"/>
                  <w:vAlign w:val="center"/>
                </w:tcPr>
                <w:p w14:paraId="4CAC6838">
                  <w:pPr>
                    <w:adjustRightInd w:val="0"/>
                    <w:snapToGrid w:val="0"/>
                    <w:spacing w:line="220" w:lineRule="exact"/>
                    <w:jc w:val="center"/>
                    <w:rPr>
                      <w:szCs w:val="21"/>
                    </w:rPr>
                  </w:pPr>
                  <w:r>
                    <w:rPr>
                      <w:rFonts w:hint="eastAsia"/>
                      <w:szCs w:val="21"/>
                    </w:rPr>
                    <w:t>颗粒物</w:t>
                  </w:r>
                </w:p>
              </w:tc>
              <w:tc>
                <w:tcPr>
                  <w:tcW w:w="1766" w:type="dxa"/>
                  <w:vAlign w:val="center"/>
                </w:tcPr>
                <w:p w14:paraId="2C37C685">
                  <w:pPr>
                    <w:jc w:val="center"/>
                    <w:rPr>
                      <w:szCs w:val="21"/>
                    </w:rPr>
                  </w:pPr>
                  <w:r>
                    <w:rPr>
                      <w:rFonts w:hint="eastAsia"/>
                      <w:szCs w:val="21"/>
                    </w:rPr>
                    <w:t>300</w:t>
                  </w:r>
                </w:p>
              </w:tc>
              <w:tc>
                <w:tcPr>
                  <w:tcW w:w="2292" w:type="dxa"/>
                  <w:vAlign w:val="center"/>
                </w:tcPr>
                <w:p w14:paraId="6F18DAD7">
                  <w:pPr>
                    <w:jc w:val="center"/>
                    <w:rPr>
                      <w:szCs w:val="21"/>
                    </w:rPr>
                  </w:pPr>
                  <w:r>
                    <w:rPr>
                      <w:rFonts w:hint="eastAsia"/>
                      <w:szCs w:val="21"/>
                    </w:rPr>
                    <w:t>0.002</w:t>
                  </w:r>
                </w:p>
              </w:tc>
              <w:tc>
                <w:tcPr>
                  <w:tcW w:w="1681" w:type="dxa"/>
                  <w:vAlign w:val="center"/>
                </w:tcPr>
                <w:p w14:paraId="1B6C57A3">
                  <w:pPr>
                    <w:jc w:val="center"/>
                    <w:rPr>
                      <w:szCs w:val="21"/>
                    </w:rPr>
                  </w:pPr>
                  <w:r>
                    <w:rPr>
                      <w:rFonts w:hint="eastAsia"/>
                      <w:szCs w:val="21"/>
                    </w:rPr>
                    <w:t>0.004</w:t>
                  </w:r>
                </w:p>
              </w:tc>
            </w:tr>
            <w:tr w14:paraId="263A73E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129" w:hRule="atLeast"/>
                <w:jc w:val="center"/>
              </w:trPr>
              <w:tc>
                <w:tcPr>
                  <w:tcW w:w="2350" w:type="dxa"/>
                  <w:gridSpan w:val="2"/>
                  <w:vMerge w:val="restart"/>
                  <w:vAlign w:val="center"/>
                </w:tcPr>
                <w:p w14:paraId="1300509E">
                  <w:pPr>
                    <w:widowControl/>
                    <w:jc w:val="center"/>
                    <w:textAlignment w:val="center"/>
                    <w:rPr>
                      <w:szCs w:val="21"/>
                    </w:rPr>
                  </w:pPr>
                  <w:r>
                    <w:rPr>
                      <w:rFonts w:hint="eastAsia"/>
                      <w:kern w:val="0"/>
                      <w:szCs w:val="21"/>
                    </w:rPr>
                    <w:t>P1</w:t>
                  </w:r>
                  <w:r>
                    <w:rPr>
                      <w:kern w:val="0"/>
                      <w:szCs w:val="21"/>
                    </w:rPr>
                    <w:t>排放口合计</w:t>
                  </w:r>
                </w:p>
              </w:tc>
              <w:tc>
                <w:tcPr>
                  <w:tcW w:w="5040" w:type="dxa"/>
                  <w:gridSpan w:val="3"/>
                  <w:vAlign w:val="center"/>
                </w:tcPr>
                <w:p w14:paraId="2EFE30B1">
                  <w:pPr>
                    <w:adjustRightInd w:val="0"/>
                    <w:snapToGrid w:val="0"/>
                    <w:spacing w:line="220" w:lineRule="exact"/>
                    <w:jc w:val="center"/>
                    <w:rPr>
                      <w:szCs w:val="21"/>
                    </w:rPr>
                  </w:pPr>
                  <w:r>
                    <w:rPr>
                      <w:rFonts w:hint="eastAsia"/>
                      <w:szCs w:val="21"/>
                    </w:rPr>
                    <w:t>VOCs</w:t>
                  </w:r>
                </w:p>
              </w:tc>
              <w:tc>
                <w:tcPr>
                  <w:tcW w:w="1681" w:type="dxa"/>
                  <w:vAlign w:val="center"/>
                </w:tcPr>
                <w:p w14:paraId="1F59FB63">
                  <w:pPr>
                    <w:jc w:val="center"/>
                    <w:rPr>
                      <w:szCs w:val="21"/>
                    </w:rPr>
                  </w:pPr>
                  <w:r>
                    <w:rPr>
                      <w:rFonts w:hint="eastAsia"/>
                      <w:szCs w:val="21"/>
                    </w:rPr>
                    <w:t>0.129</w:t>
                  </w:r>
                </w:p>
              </w:tc>
            </w:tr>
            <w:tr w14:paraId="7D9BDEE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234" w:hRule="atLeast"/>
                <w:jc w:val="center"/>
              </w:trPr>
              <w:tc>
                <w:tcPr>
                  <w:tcW w:w="2350" w:type="dxa"/>
                  <w:gridSpan w:val="2"/>
                  <w:vMerge w:val="continue"/>
                  <w:vAlign w:val="center"/>
                </w:tcPr>
                <w:p w14:paraId="14E13106">
                  <w:pPr>
                    <w:widowControl/>
                    <w:jc w:val="center"/>
                    <w:textAlignment w:val="center"/>
                    <w:rPr>
                      <w:kern w:val="0"/>
                      <w:szCs w:val="21"/>
                    </w:rPr>
                  </w:pPr>
                </w:p>
              </w:tc>
              <w:tc>
                <w:tcPr>
                  <w:tcW w:w="5040" w:type="dxa"/>
                  <w:gridSpan w:val="3"/>
                  <w:vAlign w:val="center"/>
                </w:tcPr>
                <w:p w14:paraId="4D5F276D">
                  <w:pPr>
                    <w:adjustRightInd w:val="0"/>
                    <w:snapToGrid w:val="0"/>
                    <w:spacing w:line="220" w:lineRule="exact"/>
                    <w:jc w:val="center"/>
                    <w:rPr>
                      <w:szCs w:val="21"/>
                    </w:rPr>
                  </w:pPr>
                  <w:r>
                    <w:rPr>
                      <w:rFonts w:hint="eastAsia"/>
                      <w:szCs w:val="21"/>
                    </w:rPr>
                    <w:t>二甲苯</w:t>
                  </w:r>
                </w:p>
              </w:tc>
              <w:tc>
                <w:tcPr>
                  <w:tcW w:w="1681" w:type="dxa"/>
                  <w:vAlign w:val="center"/>
                </w:tcPr>
                <w:p w14:paraId="1F8C0562">
                  <w:pPr>
                    <w:jc w:val="center"/>
                    <w:rPr>
                      <w:szCs w:val="21"/>
                    </w:rPr>
                  </w:pPr>
                  <w:r>
                    <w:rPr>
                      <w:rFonts w:hint="eastAsia"/>
                      <w:szCs w:val="21"/>
                    </w:rPr>
                    <w:t>0.027</w:t>
                  </w:r>
                </w:p>
              </w:tc>
            </w:tr>
            <w:tr w14:paraId="20D926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234" w:hRule="atLeast"/>
                <w:jc w:val="center"/>
              </w:trPr>
              <w:tc>
                <w:tcPr>
                  <w:tcW w:w="2350" w:type="dxa"/>
                  <w:gridSpan w:val="2"/>
                  <w:vAlign w:val="center"/>
                </w:tcPr>
                <w:p w14:paraId="10B0C217">
                  <w:pPr>
                    <w:widowControl/>
                    <w:jc w:val="center"/>
                    <w:textAlignment w:val="center"/>
                    <w:rPr>
                      <w:kern w:val="0"/>
                      <w:szCs w:val="21"/>
                    </w:rPr>
                  </w:pPr>
                  <w:r>
                    <w:rPr>
                      <w:rFonts w:hint="eastAsia"/>
                      <w:kern w:val="0"/>
                      <w:szCs w:val="21"/>
                    </w:rPr>
                    <w:t>P2</w:t>
                  </w:r>
                  <w:r>
                    <w:rPr>
                      <w:kern w:val="0"/>
                      <w:szCs w:val="21"/>
                    </w:rPr>
                    <w:t>排放口合计</w:t>
                  </w:r>
                </w:p>
              </w:tc>
              <w:tc>
                <w:tcPr>
                  <w:tcW w:w="5040" w:type="dxa"/>
                  <w:gridSpan w:val="3"/>
                  <w:vAlign w:val="center"/>
                </w:tcPr>
                <w:p w14:paraId="2379AFE8">
                  <w:pPr>
                    <w:adjustRightInd w:val="0"/>
                    <w:snapToGrid w:val="0"/>
                    <w:spacing w:line="220" w:lineRule="exact"/>
                    <w:jc w:val="center"/>
                    <w:rPr>
                      <w:szCs w:val="21"/>
                    </w:rPr>
                  </w:pPr>
                  <w:r>
                    <w:rPr>
                      <w:rFonts w:hint="eastAsia"/>
                      <w:szCs w:val="21"/>
                    </w:rPr>
                    <w:t>颗粒物</w:t>
                  </w:r>
                </w:p>
              </w:tc>
              <w:tc>
                <w:tcPr>
                  <w:tcW w:w="1681" w:type="dxa"/>
                  <w:vAlign w:val="center"/>
                </w:tcPr>
                <w:p w14:paraId="2753A8BA">
                  <w:pPr>
                    <w:jc w:val="center"/>
                    <w:rPr>
                      <w:szCs w:val="21"/>
                    </w:rPr>
                  </w:pPr>
                  <w:r>
                    <w:rPr>
                      <w:rFonts w:hint="eastAsia"/>
                      <w:szCs w:val="21"/>
                    </w:rPr>
                    <w:t>0.004</w:t>
                  </w:r>
                </w:p>
              </w:tc>
            </w:tr>
          </w:tbl>
          <w:p w14:paraId="71A7061A">
            <w:pPr>
              <w:snapToGrid w:val="0"/>
              <w:ind w:firstLine="482" w:firstLineChars="200"/>
              <w:jc w:val="center"/>
              <w:rPr>
                <w:b/>
                <w:bCs/>
                <w:sz w:val="24"/>
                <w:szCs w:val="24"/>
              </w:rPr>
            </w:pPr>
            <w:r>
              <w:rPr>
                <w:b/>
                <w:bCs/>
                <w:sz w:val="24"/>
                <w:szCs w:val="24"/>
              </w:rPr>
              <w:t>表7-</w:t>
            </w:r>
            <w:r>
              <w:rPr>
                <w:rFonts w:hint="eastAsia"/>
                <w:b/>
                <w:bCs/>
                <w:sz w:val="24"/>
                <w:szCs w:val="24"/>
              </w:rPr>
              <w:t>9</w:t>
            </w:r>
            <w:r>
              <w:rPr>
                <w:b/>
                <w:bCs/>
                <w:sz w:val="24"/>
                <w:szCs w:val="24"/>
              </w:rPr>
              <w:t xml:space="preserve">  大气污染物无组织排放量核算表</w:t>
            </w:r>
          </w:p>
          <w:tbl>
            <w:tblPr>
              <w:tblStyle w:val="27"/>
              <w:tblW w:w="907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15" w:type="dxa"/>
                <w:left w:w="15" w:type="dxa"/>
                <w:bottom w:w="15" w:type="dxa"/>
                <w:right w:w="15" w:type="dxa"/>
              </w:tblCellMar>
            </w:tblPr>
            <w:tblGrid>
              <w:gridCol w:w="390"/>
              <w:gridCol w:w="684"/>
              <w:gridCol w:w="965"/>
              <w:gridCol w:w="945"/>
              <w:gridCol w:w="1606"/>
              <w:gridCol w:w="2352"/>
              <w:gridCol w:w="1127"/>
              <w:gridCol w:w="1002"/>
            </w:tblGrid>
            <w:tr w14:paraId="3257F5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340" w:hRule="atLeast"/>
                <w:jc w:val="center"/>
              </w:trPr>
              <w:tc>
                <w:tcPr>
                  <w:tcW w:w="390" w:type="dxa"/>
                  <w:vMerge w:val="restart"/>
                  <w:vAlign w:val="center"/>
                </w:tcPr>
                <w:p w14:paraId="1411A83E">
                  <w:pPr>
                    <w:widowControl/>
                    <w:jc w:val="center"/>
                    <w:textAlignment w:val="center"/>
                    <w:rPr>
                      <w:szCs w:val="21"/>
                    </w:rPr>
                  </w:pPr>
                  <w:r>
                    <w:rPr>
                      <w:kern w:val="0"/>
                      <w:szCs w:val="21"/>
                    </w:rPr>
                    <w:t>序号</w:t>
                  </w:r>
                </w:p>
              </w:tc>
              <w:tc>
                <w:tcPr>
                  <w:tcW w:w="684" w:type="dxa"/>
                  <w:vMerge w:val="restart"/>
                  <w:vAlign w:val="center"/>
                </w:tcPr>
                <w:p w14:paraId="187F8F4E">
                  <w:pPr>
                    <w:widowControl/>
                    <w:jc w:val="center"/>
                    <w:textAlignment w:val="center"/>
                    <w:rPr>
                      <w:szCs w:val="21"/>
                    </w:rPr>
                  </w:pPr>
                  <w:r>
                    <w:rPr>
                      <w:kern w:val="0"/>
                      <w:szCs w:val="21"/>
                    </w:rPr>
                    <w:t>排放口编号</w:t>
                  </w:r>
                </w:p>
              </w:tc>
              <w:tc>
                <w:tcPr>
                  <w:tcW w:w="965" w:type="dxa"/>
                  <w:vMerge w:val="restart"/>
                  <w:vAlign w:val="center"/>
                </w:tcPr>
                <w:p w14:paraId="0D4D61AB">
                  <w:pPr>
                    <w:widowControl/>
                    <w:jc w:val="center"/>
                    <w:textAlignment w:val="center"/>
                    <w:rPr>
                      <w:kern w:val="0"/>
                      <w:szCs w:val="21"/>
                    </w:rPr>
                  </w:pPr>
                  <w:r>
                    <w:rPr>
                      <w:kern w:val="0"/>
                      <w:szCs w:val="21"/>
                    </w:rPr>
                    <w:t>产污</w:t>
                  </w:r>
                </w:p>
                <w:p w14:paraId="08BDA346">
                  <w:pPr>
                    <w:widowControl/>
                    <w:jc w:val="center"/>
                    <w:textAlignment w:val="center"/>
                    <w:rPr>
                      <w:szCs w:val="21"/>
                    </w:rPr>
                  </w:pPr>
                  <w:r>
                    <w:rPr>
                      <w:kern w:val="0"/>
                      <w:szCs w:val="21"/>
                    </w:rPr>
                    <w:t>环节</w:t>
                  </w:r>
                </w:p>
              </w:tc>
              <w:tc>
                <w:tcPr>
                  <w:tcW w:w="945" w:type="dxa"/>
                  <w:vMerge w:val="restart"/>
                  <w:vAlign w:val="center"/>
                </w:tcPr>
                <w:p w14:paraId="04178D90">
                  <w:pPr>
                    <w:widowControl/>
                    <w:jc w:val="center"/>
                    <w:textAlignment w:val="center"/>
                    <w:rPr>
                      <w:szCs w:val="21"/>
                    </w:rPr>
                  </w:pPr>
                  <w:r>
                    <w:rPr>
                      <w:kern w:val="0"/>
                      <w:szCs w:val="21"/>
                    </w:rPr>
                    <w:t>污染物</w:t>
                  </w:r>
                </w:p>
              </w:tc>
              <w:tc>
                <w:tcPr>
                  <w:tcW w:w="1606" w:type="dxa"/>
                  <w:vMerge w:val="restart"/>
                  <w:vAlign w:val="center"/>
                </w:tcPr>
                <w:p w14:paraId="14A8A078">
                  <w:pPr>
                    <w:widowControl/>
                    <w:jc w:val="center"/>
                    <w:textAlignment w:val="center"/>
                    <w:rPr>
                      <w:szCs w:val="21"/>
                    </w:rPr>
                  </w:pPr>
                  <w:r>
                    <w:rPr>
                      <w:kern w:val="0"/>
                      <w:szCs w:val="21"/>
                    </w:rPr>
                    <w:t>主要污染防治措施</w:t>
                  </w:r>
                </w:p>
              </w:tc>
              <w:tc>
                <w:tcPr>
                  <w:tcW w:w="3479" w:type="dxa"/>
                  <w:gridSpan w:val="2"/>
                  <w:vAlign w:val="center"/>
                </w:tcPr>
                <w:p w14:paraId="4E4134AF">
                  <w:pPr>
                    <w:widowControl/>
                    <w:jc w:val="center"/>
                    <w:textAlignment w:val="center"/>
                    <w:rPr>
                      <w:szCs w:val="21"/>
                    </w:rPr>
                  </w:pPr>
                  <w:r>
                    <w:rPr>
                      <w:kern w:val="0"/>
                      <w:szCs w:val="21"/>
                    </w:rPr>
                    <w:t>国家或地方污染物排放标准</w:t>
                  </w:r>
                </w:p>
              </w:tc>
              <w:tc>
                <w:tcPr>
                  <w:tcW w:w="1002" w:type="dxa"/>
                  <w:vMerge w:val="restart"/>
                  <w:vAlign w:val="center"/>
                </w:tcPr>
                <w:p w14:paraId="2127ED7E">
                  <w:pPr>
                    <w:widowControl/>
                    <w:jc w:val="center"/>
                    <w:textAlignment w:val="center"/>
                    <w:rPr>
                      <w:szCs w:val="21"/>
                    </w:rPr>
                  </w:pPr>
                  <w:r>
                    <w:rPr>
                      <w:kern w:val="0"/>
                      <w:szCs w:val="21"/>
                    </w:rPr>
                    <w:t>年排放量（</w:t>
                  </w:r>
                  <w:r>
                    <w:rPr>
                      <w:rFonts w:hint="eastAsia"/>
                      <w:kern w:val="0"/>
                      <w:szCs w:val="21"/>
                    </w:rPr>
                    <w:t>t</w:t>
                  </w:r>
                  <w:r>
                    <w:rPr>
                      <w:kern w:val="0"/>
                      <w:szCs w:val="21"/>
                    </w:rPr>
                    <w:t>/a）</w:t>
                  </w:r>
                </w:p>
              </w:tc>
            </w:tr>
            <w:tr w14:paraId="36971D4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340" w:hRule="atLeast"/>
                <w:jc w:val="center"/>
              </w:trPr>
              <w:tc>
                <w:tcPr>
                  <w:tcW w:w="390" w:type="dxa"/>
                  <w:vMerge w:val="continue"/>
                  <w:vAlign w:val="center"/>
                </w:tcPr>
                <w:p w14:paraId="6FD9BB44">
                  <w:pPr>
                    <w:jc w:val="center"/>
                    <w:rPr>
                      <w:szCs w:val="21"/>
                    </w:rPr>
                  </w:pPr>
                </w:p>
              </w:tc>
              <w:tc>
                <w:tcPr>
                  <w:tcW w:w="684" w:type="dxa"/>
                  <w:vMerge w:val="continue"/>
                  <w:vAlign w:val="center"/>
                </w:tcPr>
                <w:p w14:paraId="41CA51C3">
                  <w:pPr>
                    <w:jc w:val="center"/>
                    <w:rPr>
                      <w:szCs w:val="21"/>
                    </w:rPr>
                  </w:pPr>
                </w:p>
              </w:tc>
              <w:tc>
                <w:tcPr>
                  <w:tcW w:w="965" w:type="dxa"/>
                  <w:vMerge w:val="continue"/>
                  <w:vAlign w:val="center"/>
                </w:tcPr>
                <w:p w14:paraId="07DD017C">
                  <w:pPr>
                    <w:jc w:val="center"/>
                    <w:rPr>
                      <w:szCs w:val="21"/>
                    </w:rPr>
                  </w:pPr>
                </w:p>
              </w:tc>
              <w:tc>
                <w:tcPr>
                  <w:tcW w:w="945" w:type="dxa"/>
                  <w:vMerge w:val="continue"/>
                  <w:vAlign w:val="center"/>
                </w:tcPr>
                <w:p w14:paraId="32E4C720">
                  <w:pPr>
                    <w:jc w:val="center"/>
                    <w:rPr>
                      <w:szCs w:val="21"/>
                    </w:rPr>
                  </w:pPr>
                </w:p>
              </w:tc>
              <w:tc>
                <w:tcPr>
                  <w:tcW w:w="1606" w:type="dxa"/>
                  <w:vMerge w:val="continue"/>
                  <w:vAlign w:val="center"/>
                </w:tcPr>
                <w:p w14:paraId="7598CA37">
                  <w:pPr>
                    <w:jc w:val="center"/>
                    <w:rPr>
                      <w:szCs w:val="21"/>
                    </w:rPr>
                  </w:pPr>
                </w:p>
              </w:tc>
              <w:tc>
                <w:tcPr>
                  <w:tcW w:w="2352" w:type="dxa"/>
                  <w:vAlign w:val="center"/>
                </w:tcPr>
                <w:p w14:paraId="2664325C">
                  <w:pPr>
                    <w:widowControl/>
                    <w:jc w:val="center"/>
                    <w:textAlignment w:val="center"/>
                    <w:rPr>
                      <w:szCs w:val="21"/>
                    </w:rPr>
                  </w:pPr>
                  <w:r>
                    <w:rPr>
                      <w:kern w:val="0"/>
                      <w:szCs w:val="21"/>
                    </w:rPr>
                    <w:t>标准名称</w:t>
                  </w:r>
                </w:p>
              </w:tc>
              <w:tc>
                <w:tcPr>
                  <w:tcW w:w="1127" w:type="dxa"/>
                  <w:vAlign w:val="center"/>
                </w:tcPr>
                <w:p w14:paraId="5896A143">
                  <w:pPr>
                    <w:widowControl/>
                    <w:jc w:val="center"/>
                    <w:textAlignment w:val="center"/>
                    <w:rPr>
                      <w:szCs w:val="21"/>
                    </w:rPr>
                  </w:pPr>
                  <w:r>
                    <w:rPr>
                      <w:kern w:val="0"/>
                      <w:szCs w:val="21"/>
                    </w:rPr>
                    <w:t>浓度限值（µg/m</w:t>
                  </w:r>
                  <w:r>
                    <w:rPr>
                      <w:kern w:val="0"/>
                      <w:szCs w:val="21"/>
                      <w:vertAlign w:val="superscript"/>
                    </w:rPr>
                    <w:t>3</w:t>
                  </w:r>
                  <w:r>
                    <w:rPr>
                      <w:kern w:val="0"/>
                      <w:szCs w:val="21"/>
                    </w:rPr>
                    <w:t>）</w:t>
                  </w:r>
                </w:p>
              </w:tc>
              <w:tc>
                <w:tcPr>
                  <w:tcW w:w="1002" w:type="dxa"/>
                  <w:vMerge w:val="continue"/>
                  <w:vAlign w:val="center"/>
                </w:tcPr>
                <w:p w14:paraId="3E8E769E">
                  <w:pPr>
                    <w:jc w:val="center"/>
                    <w:rPr>
                      <w:szCs w:val="21"/>
                    </w:rPr>
                  </w:pPr>
                </w:p>
              </w:tc>
            </w:tr>
            <w:tr w14:paraId="5209C21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538" w:hRule="atLeast"/>
                <w:jc w:val="center"/>
              </w:trPr>
              <w:tc>
                <w:tcPr>
                  <w:tcW w:w="390" w:type="dxa"/>
                  <w:vAlign w:val="center"/>
                </w:tcPr>
                <w:p w14:paraId="585DCD95">
                  <w:pPr>
                    <w:jc w:val="center"/>
                    <w:rPr>
                      <w:szCs w:val="21"/>
                    </w:rPr>
                  </w:pPr>
                  <w:r>
                    <w:rPr>
                      <w:rFonts w:hint="eastAsia"/>
                      <w:szCs w:val="21"/>
                    </w:rPr>
                    <w:t>1</w:t>
                  </w:r>
                </w:p>
              </w:tc>
              <w:tc>
                <w:tcPr>
                  <w:tcW w:w="684" w:type="dxa"/>
                  <w:vAlign w:val="center"/>
                </w:tcPr>
                <w:p w14:paraId="6FC8D3A5">
                  <w:pPr>
                    <w:jc w:val="center"/>
                    <w:rPr>
                      <w:szCs w:val="21"/>
                    </w:rPr>
                  </w:pPr>
                  <w:r>
                    <w:rPr>
                      <w:szCs w:val="21"/>
                    </w:rPr>
                    <w:t>/</w:t>
                  </w:r>
                </w:p>
              </w:tc>
              <w:tc>
                <w:tcPr>
                  <w:tcW w:w="965" w:type="dxa"/>
                  <w:vMerge w:val="restart"/>
                  <w:vAlign w:val="center"/>
                </w:tcPr>
                <w:p w14:paraId="05D5BB70">
                  <w:pPr>
                    <w:pStyle w:val="41"/>
                    <w:jc w:val="center"/>
                    <w:rPr>
                      <w:rFonts w:cs="Times New Roman"/>
                      <w:color w:val="auto"/>
                      <w:sz w:val="21"/>
                      <w:szCs w:val="21"/>
                    </w:rPr>
                  </w:pPr>
                  <w:r>
                    <w:rPr>
                      <w:rFonts w:hint="eastAsia" w:ascii="Times New Roman" w:cs="Times New Roman" w:eastAsiaTheme="minorEastAsia"/>
                      <w:color w:val="auto"/>
                      <w:sz w:val="18"/>
                      <w:szCs w:val="18"/>
                      <w:shd w:val="clear" w:color="auto" w:fill="FFFFFF"/>
                    </w:rPr>
                    <w:t>固化、</w:t>
                  </w:r>
                  <w:r>
                    <w:rPr>
                      <w:rFonts w:ascii="Times New Roman" w:cs="Times New Roman" w:eastAsiaTheme="minorEastAsia"/>
                      <w:color w:val="auto"/>
                      <w:sz w:val="18"/>
                      <w:szCs w:val="18"/>
                      <w:shd w:val="clear" w:color="auto" w:fill="FFFFFF"/>
                    </w:rPr>
                    <w:t>调漆、</w:t>
                  </w:r>
                  <w:r>
                    <w:rPr>
                      <w:rFonts w:hint="eastAsia" w:ascii="Times New Roman" w:cs="Times New Roman" w:eastAsiaTheme="minorEastAsia"/>
                      <w:color w:val="auto"/>
                      <w:sz w:val="18"/>
                      <w:szCs w:val="18"/>
                      <w:shd w:val="clear" w:color="auto" w:fill="FFFFFF"/>
                    </w:rPr>
                    <w:t>拉漆、</w:t>
                  </w:r>
                  <w:r>
                    <w:rPr>
                      <w:rFonts w:ascii="Times New Roman" w:cs="Times New Roman" w:eastAsiaTheme="minorEastAsia"/>
                      <w:color w:val="auto"/>
                      <w:sz w:val="18"/>
                      <w:szCs w:val="18"/>
                      <w:shd w:val="clear" w:color="auto" w:fill="FFFFFF"/>
                    </w:rPr>
                    <w:t>喷漆</w:t>
                  </w:r>
                  <w:r>
                    <w:rPr>
                      <w:rFonts w:hint="eastAsia" w:ascii="Times New Roman" w:cs="Times New Roman" w:eastAsiaTheme="minorEastAsia"/>
                      <w:color w:val="auto"/>
                      <w:sz w:val="18"/>
                      <w:szCs w:val="18"/>
                      <w:shd w:val="clear" w:color="auto" w:fill="FFFFFF"/>
                    </w:rPr>
                    <w:t>、</w:t>
                  </w:r>
                  <w:r>
                    <w:rPr>
                      <w:rFonts w:ascii="Times New Roman" w:cs="Times New Roman" w:eastAsiaTheme="minorEastAsia"/>
                      <w:color w:val="auto"/>
                      <w:sz w:val="18"/>
                      <w:szCs w:val="18"/>
                      <w:shd w:val="clear" w:color="auto" w:fill="FFFFFF"/>
                    </w:rPr>
                    <w:t>烘干、</w:t>
                  </w:r>
                  <w:r>
                    <w:rPr>
                      <w:rFonts w:hint="eastAsia" w:ascii="Times New Roman" w:cs="Times New Roman" w:eastAsiaTheme="minorEastAsia"/>
                      <w:color w:val="auto"/>
                      <w:sz w:val="18"/>
                      <w:szCs w:val="18"/>
                      <w:shd w:val="clear" w:color="auto" w:fill="FFFFFF"/>
                    </w:rPr>
                    <w:t>环氧</w:t>
                  </w:r>
                  <w:r>
                    <w:rPr>
                      <w:rFonts w:hint="eastAsia" w:cs="Times New Roman" w:eastAsiaTheme="minorEastAsia"/>
                      <w:color w:val="auto"/>
                      <w:sz w:val="18"/>
                      <w:szCs w:val="18"/>
                      <w:shd w:val="clear" w:color="auto" w:fill="FFFFFF"/>
                    </w:rPr>
                    <w:t>等工序</w:t>
                  </w:r>
                </w:p>
              </w:tc>
              <w:tc>
                <w:tcPr>
                  <w:tcW w:w="945" w:type="dxa"/>
                  <w:vAlign w:val="center"/>
                </w:tcPr>
                <w:p w14:paraId="4CDEC9C5">
                  <w:pPr>
                    <w:adjustRightInd w:val="0"/>
                    <w:snapToGrid w:val="0"/>
                    <w:spacing w:line="220" w:lineRule="exact"/>
                    <w:jc w:val="center"/>
                    <w:rPr>
                      <w:szCs w:val="21"/>
                    </w:rPr>
                  </w:pPr>
                  <w:r>
                    <w:rPr>
                      <w:rFonts w:hint="eastAsia"/>
                      <w:szCs w:val="21"/>
                    </w:rPr>
                    <w:t>VOCs</w:t>
                  </w:r>
                </w:p>
              </w:tc>
              <w:tc>
                <w:tcPr>
                  <w:tcW w:w="1606" w:type="dxa"/>
                  <w:vMerge w:val="restart"/>
                  <w:vAlign w:val="center"/>
                </w:tcPr>
                <w:p w14:paraId="74CAF854">
                  <w:pPr>
                    <w:adjustRightInd w:val="0"/>
                    <w:snapToGrid w:val="0"/>
                    <w:spacing w:line="220" w:lineRule="exact"/>
                    <w:jc w:val="center"/>
                    <w:rPr>
                      <w:szCs w:val="21"/>
                    </w:rPr>
                  </w:pPr>
                  <w:r>
                    <w:rPr>
                      <w:rFonts w:hint="eastAsia"/>
                      <w:szCs w:val="21"/>
                    </w:rPr>
                    <w:t>经催化燃烧废气处理装置</w:t>
                  </w:r>
                  <w:r>
                    <w:rPr>
                      <w:szCs w:val="21"/>
                    </w:rPr>
                    <w:t>处理后由1根</w:t>
                  </w:r>
                  <w:r>
                    <w:rPr>
                      <w:rFonts w:hint="eastAsia"/>
                      <w:szCs w:val="21"/>
                    </w:rPr>
                    <w:t>高1</w:t>
                  </w:r>
                  <w:r>
                    <w:rPr>
                      <w:szCs w:val="21"/>
                    </w:rPr>
                    <w:t>5m</w:t>
                  </w:r>
                  <w:r>
                    <w:rPr>
                      <w:rFonts w:hint="eastAsia"/>
                      <w:szCs w:val="21"/>
                    </w:rPr>
                    <w:t>的</w:t>
                  </w:r>
                  <w:r>
                    <w:rPr>
                      <w:szCs w:val="21"/>
                    </w:rPr>
                    <w:t>排气筒达标排放</w:t>
                  </w:r>
                </w:p>
              </w:tc>
              <w:tc>
                <w:tcPr>
                  <w:tcW w:w="2352" w:type="dxa"/>
                  <w:vMerge w:val="restart"/>
                  <w:vAlign w:val="center"/>
                </w:tcPr>
                <w:p w14:paraId="40EC9D54">
                  <w:pPr>
                    <w:widowControl/>
                    <w:jc w:val="center"/>
                    <w:textAlignment w:val="center"/>
                    <w:rPr>
                      <w:szCs w:val="21"/>
                    </w:rPr>
                  </w:pPr>
                  <w:r>
                    <w:rPr>
                      <w:szCs w:val="21"/>
                    </w:rPr>
                    <w:t>《挥发性有机物排放标准第</w:t>
                  </w:r>
                  <w:r>
                    <w:rPr>
                      <w:rFonts w:hint="eastAsia"/>
                      <w:szCs w:val="21"/>
                    </w:rPr>
                    <w:t>5</w:t>
                  </w:r>
                  <w:r>
                    <w:rPr>
                      <w:szCs w:val="21"/>
                    </w:rPr>
                    <w:t>部分：</w:t>
                  </w:r>
                  <w:r>
                    <w:rPr>
                      <w:rFonts w:hint="eastAsia"/>
                      <w:szCs w:val="21"/>
                    </w:rPr>
                    <w:t>表面涂装行业</w:t>
                  </w:r>
                  <w:r>
                    <w:rPr>
                      <w:szCs w:val="21"/>
                    </w:rPr>
                    <w:t>》（DB37/2801.</w:t>
                  </w:r>
                  <w:r>
                    <w:rPr>
                      <w:rFonts w:hint="eastAsia"/>
                      <w:szCs w:val="21"/>
                    </w:rPr>
                    <w:t>5</w:t>
                  </w:r>
                  <w:r>
                    <w:rPr>
                      <w:szCs w:val="21"/>
                    </w:rPr>
                    <w:t>-201</w:t>
                  </w:r>
                  <w:r>
                    <w:rPr>
                      <w:rFonts w:hint="eastAsia"/>
                      <w:szCs w:val="21"/>
                    </w:rPr>
                    <w:t>8</w:t>
                  </w:r>
                  <w:r>
                    <w:rPr>
                      <w:szCs w:val="21"/>
                    </w:rPr>
                    <w:t>）</w:t>
                  </w:r>
                </w:p>
              </w:tc>
              <w:tc>
                <w:tcPr>
                  <w:tcW w:w="1127" w:type="dxa"/>
                  <w:vAlign w:val="center"/>
                </w:tcPr>
                <w:p w14:paraId="5DB3869F">
                  <w:pPr>
                    <w:jc w:val="center"/>
                    <w:rPr>
                      <w:szCs w:val="21"/>
                    </w:rPr>
                  </w:pPr>
                  <w:r>
                    <w:rPr>
                      <w:rFonts w:hint="eastAsia"/>
                      <w:szCs w:val="21"/>
                    </w:rPr>
                    <w:t>2000</w:t>
                  </w:r>
                </w:p>
              </w:tc>
              <w:tc>
                <w:tcPr>
                  <w:tcW w:w="1002" w:type="dxa"/>
                  <w:vAlign w:val="center"/>
                </w:tcPr>
                <w:p w14:paraId="03AC9712">
                  <w:pPr>
                    <w:jc w:val="center"/>
                    <w:rPr>
                      <w:szCs w:val="21"/>
                    </w:rPr>
                  </w:pPr>
                  <w:r>
                    <w:rPr>
                      <w:rFonts w:hint="eastAsia"/>
                      <w:szCs w:val="21"/>
                    </w:rPr>
                    <w:t>0.068</w:t>
                  </w:r>
                </w:p>
              </w:tc>
            </w:tr>
            <w:tr w14:paraId="45979EB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433" w:hRule="atLeast"/>
                <w:jc w:val="center"/>
              </w:trPr>
              <w:tc>
                <w:tcPr>
                  <w:tcW w:w="390" w:type="dxa"/>
                  <w:vAlign w:val="center"/>
                </w:tcPr>
                <w:p w14:paraId="19376D06">
                  <w:pPr>
                    <w:jc w:val="center"/>
                    <w:rPr>
                      <w:szCs w:val="21"/>
                    </w:rPr>
                  </w:pPr>
                  <w:r>
                    <w:rPr>
                      <w:rFonts w:hint="eastAsia"/>
                      <w:szCs w:val="21"/>
                    </w:rPr>
                    <w:t>2</w:t>
                  </w:r>
                </w:p>
              </w:tc>
              <w:tc>
                <w:tcPr>
                  <w:tcW w:w="684" w:type="dxa"/>
                  <w:vAlign w:val="center"/>
                </w:tcPr>
                <w:p w14:paraId="1F68619E">
                  <w:pPr>
                    <w:jc w:val="center"/>
                    <w:rPr>
                      <w:szCs w:val="21"/>
                    </w:rPr>
                  </w:pPr>
                  <w:r>
                    <w:rPr>
                      <w:szCs w:val="21"/>
                    </w:rPr>
                    <w:t>/</w:t>
                  </w:r>
                </w:p>
              </w:tc>
              <w:tc>
                <w:tcPr>
                  <w:tcW w:w="965" w:type="dxa"/>
                  <w:vMerge w:val="continue"/>
                  <w:vAlign w:val="center"/>
                </w:tcPr>
                <w:p w14:paraId="089B8D2E">
                  <w:pPr>
                    <w:pStyle w:val="41"/>
                    <w:jc w:val="center"/>
                    <w:rPr>
                      <w:color w:val="auto"/>
                      <w:sz w:val="21"/>
                      <w:szCs w:val="21"/>
                    </w:rPr>
                  </w:pPr>
                </w:p>
              </w:tc>
              <w:tc>
                <w:tcPr>
                  <w:tcW w:w="945" w:type="dxa"/>
                  <w:vAlign w:val="center"/>
                </w:tcPr>
                <w:p w14:paraId="150C3391">
                  <w:pPr>
                    <w:adjustRightInd w:val="0"/>
                    <w:snapToGrid w:val="0"/>
                    <w:spacing w:line="220" w:lineRule="exact"/>
                    <w:jc w:val="center"/>
                    <w:rPr>
                      <w:szCs w:val="21"/>
                    </w:rPr>
                  </w:pPr>
                  <w:r>
                    <w:rPr>
                      <w:rFonts w:hint="eastAsia"/>
                      <w:szCs w:val="21"/>
                    </w:rPr>
                    <w:t>二甲苯</w:t>
                  </w:r>
                </w:p>
              </w:tc>
              <w:tc>
                <w:tcPr>
                  <w:tcW w:w="1606" w:type="dxa"/>
                  <w:vMerge w:val="continue"/>
                  <w:vAlign w:val="center"/>
                </w:tcPr>
                <w:p w14:paraId="7CC07404">
                  <w:pPr>
                    <w:adjustRightInd w:val="0"/>
                    <w:snapToGrid w:val="0"/>
                    <w:spacing w:line="220" w:lineRule="exact"/>
                    <w:jc w:val="center"/>
                    <w:rPr>
                      <w:szCs w:val="21"/>
                    </w:rPr>
                  </w:pPr>
                </w:p>
              </w:tc>
              <w:tc>
                <w:tcPr>
                  <w:tcW w:w="2352" w:type="dxa"/>
                  <w:vMerge w:val="continue"/>
                  <w:vAlign w:val="center"/>
                </w:tcPr>
                <w:p w14:paraId="0668D0D1">
                  <w:pPr>
                    <w:widowControl/>
                    <w:jc w:val="center"/>
                    <w:textAlignment w:val="center"/>
                    <w:rPr>
                      <w:szCs w:val="21"/>
                    </w:rPr>
                  </w:pPr>
                </w:p>
              </w:tc>
              <w:tc>
                <w:tcPr>
                  <w:tcW w:w="1127" w:type="dxa"/>
                  <w:vAlign w:val="center"/>
                </w:tcPr>
                <w:p w14:paraId="7D170F4F">
                  <w:pPr>
                    <w:jc w:val="center"/>
                    <w:rPr>
                      <w:szCs w:val="21"/>
                    </w:rPr>
                  </w:pPr>
                  <w:r>
                    <w:rPr>
                      <w:rFonts w:hint="eastAsia"/>
                      <w:szCs w:val="21"/>
                    </w:rPr>
                    <w:t>200</w:t>
                  </w:r>
                </w:p>
              </w:tc>
              <w:tc>
                <w:tcPr>
                  <w:tcW w:w="1002" w:type="dxa"/>
                  <w:vAlign w:val="center"/>
                </w:tcPr>
                <w:p w14:paraId="3B551935">
                  <w:pPr>
                    <w:jc w:val="center"/>
                    <w:rPr>
                      <w:szCs w:val="21"/>
                    </w:rPr>
                  </w:pPr>
                  <w:r>
                    <w:rPr>
                      <w:rFonts w:hint="eastAsia"/>
                      <w:szCs w:val="21"/>
                    </w:rPr>
                    <w:t>0.014</w:t>
                  </w:r>
                </w:p>
              </w:tc>
            </w:tr>
            <w:tr w14:paraId="43E4726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433" w:hRule="atLeast"/>
                <w:jc w:val="center"/>
              </w:trPr>
              <w:tc>
                <w:tcPr>
                  <w:tcW w:w="390" w:type="dxa"/>
                  <w:vAlign w:val="center"/>
                </w:tcPr>
                <w:p w14:paraId="3EABBBF4">
                  <w:pPr>
                    <w:jc w:val="center"/>
                    <w:rPr>
                      <w:szCs w:val="21"/>
                    </w:rPr>
                  </w:pPr>
                  <w:r>
                    <w:rPr>
                      <w:rFonts w:hint="eastAsia"/>
                      <w:szCs w:val="21"/>
                    </w:rPr>
                    <w:t>3</w:t>
                  </w:r>
                </w:p>
              </w:tc>
              <w:tc>
                <w:tcPr>
                  <w:tcW w:w="684" w:type="dxa"/>
                  <w:vAlign w:val="center"/>
                </w:tcPr>
                <w:p w14:paraId="67E76B95">
                  <w:pPr>
                    <w:jc w:val="center"/>
                    <w:rPr>
                      <w:szCs w:val="21"/>
                    </w:rPr>
                  </w:pPr>
                  <w:r>
                    <w:rPr>
                      <w:rFonts w:hint="eastAsia"/>
                      <w:szCs w:val="21"/>
                    </w:rPr>
                    <w:t>/</w:t>
                  </w:r>
                </w:p>
              </w:tc>
              <w:tc>
                <w:tcPr>
                  <w:tcW w:w="965" w:type="dxa"/>
                  <w:vAlign w:val="center"/>
                </w:tcPr>
                <w:p w14:paraId="0EC7ADB0">
                  <w:pPr>
                    <w:pStyle w:val="41"/>
                    <w:jc w:val="center"/>
                    <w:rPr>
                      <w:color w:val="auto"/>
                      <w:sz w:val="21"/>
                      <w:szCs w:val="21"/>
                    </w:rPr>
                  </w:pPr>
                  <w:r>
                    <w:rPr>
                      <w:rFonts w:hint="eastAsia"/>
                      <w:color w:val="auto"/>
                      <w:sz w:val="21"/>
                      <w:szCs w:val="21"/>
                    </w:rPr>
                    <w:t>抛光工序</w:t>
                  </w:r>
                </w:p>
              </w:tc>
              <w:tc>
                <w:tcPr>
                  <w:tcW w:w="945" w:type="dxa"/>
                  <w:vAlign w:val="center"/>
                </w:tcPr>
                <w:p w14:paraId="0A874099">
                  <w:pPr>
                    <w:adjustRightInd w:val="0"/>
                    <w:snapToGrid w:val="0"/>
                    <w:spacing w:line="220" w:lineRule="exact"/>
                    <w:jc w:val="center"/>
                    <w:rPr>
                      <w:szCs w:val="21"/>
                    </w:rPr>
                  </w:pPr>
                  <w:r>
                    <w:rPr>
                      <w:rFonts w:hint="eastAsia"/>
                      <w:szCs w:val="21"/>
                    </w:rPr>
                    <w:t>颗粒物</w:t>
                  </w:r>
                </w:p>
              </w:tc>
              <w:tc>
                <w:tcPr>
                  <w:tcW w:w="1606" w:type="dxa"/>
                  <w:vAlign w:val="center"/>
                </w:tcPr>
                <w:p w14:paraId="2DFE11C1">
                  <w:pPr>
                    <w:adjustRightInd w:val="0"/>
                    <w:snapToGrid w:val="0"/>
                    <w:spacing w:line="220" w:lineRule="exact"/>
                    <w:jc w:val="center"/>
                    <w:rPr>
                      <w:szCs w:val="21"/>
                    </w:rPr>
                  </w:pPr>
                  <w:r>
                    <w:rPr>
                      <w:rFonts w:hint="eastAsia"/>
                      <w:szCs w:val="21"/>
                    </w:rPr>
                    <w:t>布袋除尘器处理后由1根15m排气筒排放</w:t>
                  </w:r>
                </w:p>
              </w:tc>
              <w:tc>
                <w:tcPr>
                  <w:tcW w:w="2352" w:type="dxa"/>
                  <w:vAlign w:val="center"/>
                </w:tcPr>
                <w:p w14:paraId="625F5A0A">
                  <w:pPr>
                    <w:widowControl/>
                    <w:jc w:val="center"/>
                    <w:textAlignment w:val="center"/>
                    <w:rPr>
                      <w:szCs w:val="21"/>
                    </w:rPr>
                  </w:pPr>
                  <w:r>
                    <w:rPr>
                      <w:rFonts w:hint="eastAsia"/>
                      <w:szCs w:val="21"/>
                    </w:rPr>
                    <w:t>大气污染物综合排放标准》（GB16297-1996）</w:t>
                  </w:r>
                </w:p>
              </w:tc>
              <w:tc>
                <w:tcPr>
                  <w:tcW w:w="1127" w:type="dxa"/>
                  <w:vAlign w:val="center"/>
                </w:tcPr>
                <w:p w14:paraId="5159DF92">
                  <w:pPr>
                    <w:jc w:val="center"/>
                    <w:rPr>
                      <w:szCs w:val="21"/>
                    </w:rPr>
                  </w:pPr>
                  <w:r>
                    <w:rPr>
                      <w:rFonts w:hint="eastAsia"/>
                      <w:szCs w:val="21"/>
                    </w:rPr>
                    <w:t>1000</w:t>
                  </w:r>
                </w:p>
              </w:tc>
              <w:tc>
                <w:tcPr>
                  <w:tcW w:w="1002" w:type="dxa"/>
                  <w:vAlign w:val="center"/>
                </w:tcPr>
                <w:p w14:paraId="21C3177B">
                  <w:pPr>
                    <w:jc w:val="center"/>
                    <w:rPr>
                      <w:szCs w:val="21"/>
                    </w:rPr>
                  </w:pPr>
                  <w:r>
                    <w:rPr>
                      <w:rFonts w:hint="eastAsia"/>
                      <w:szCs w:val="21"/>
                    </w:rPr>
                    <w:t>0.009</w:t>
                  </w:r>
                </w:p>
              </w:tc>
            </w:tr>
            <w:tr w14:paraId="28D4A7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263" w:hRule="atLeast"/>
                <w:jc w:val="center"/>
              </w:trPr>
              <w:tc>
                <w:tcPr>
                  <w:tcW w:w="2984" w:type="dxa"/>
                  <w:gridSpan w:val="4"/>
                  <w:vMerge w:val="restart"/>
                  <w:vAlign w:val="center"/>
                </w:tcPr>
                <w:p w14:paraId="3744D313">
                  <w:pPr>
                    <w:widowControl/>
                    <w:jc w:val="center"/>
                    <w:textAlignment w:val="center"/>
                    <w:rPr>
                      <w:szCs w:val="21"/>
                    </w:rPr>
                  </w:pPr>
                  <w:r>
                    <w:rPr>
                      <w:kern w:val="0"/>
                      <w:szCs w:val="21"/>
                    </w:rPr>
                    <w:t>无组织排放合计</w:t>
                  </w:r>
                </w:p>
              </w:tc>
              <w:tc>
                <w:tcPr>
                  <w:tcW w:w="5085" w:type="dxa"/>
                  <w:gridSpan w:val="3"/>
                  <w:vAlign w:val="center"/>
                </w:tcPr>
                <w:p w14:paraId="23B6BEC9">
                  <w:pPr>
                    <w:adjustRightInd w:val="0"/>
                    <w:snapToGrid w:val="0"/>
                    <w:spacing w:line="220" w:lineRule="exact"/>
                    <w:jc w:val="center"/>
                    <w:rPr>
                      <w:szCs w:val="21"/>
                    </w:rPr>
                  </w:pPr>
                  <w:r>
                    <w:rPr>
                      <w:rFonts w:hint="eastAsia"/>
                      <w:szCs w:val="21"/>
                    </w:rPr>
                    <w:t>VOCs</w:t>
                  </w:r>
                </w:p>
              </w:tc>
              <w:tc>
                <w:tcPr>
                  <w:tcW w:w="1002" w:type="dxa"/>
                  <w:vAlign w:val="center"/>
                </w:tcPr>
                <w:p w14:paraId="3D90877C">
                  <w:pPr>
                    <w:jc w:val="center"/>
                    <w:rPr>
                      <w:szCs w:val="21"/>
                    </w:rPr>
                  </w:pPr>
                  <w:r>
                    <w:rPr>
                      <w:rFonts w:hint="eastAsia"/>
                      <w:szCs w:val="21"/>
                    </w:rPr>
                    <w:t>0.068</w:t>
                  </w:r>
                </w:p>
              </w:tc>
            </w:tr>
            <w:tr w14:paraId="169C34D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263" w:hRule="atLeast"/>
                <w:jc w:val="center"/>
              </w:trPr>
              <w:tc>
                <w:tcPr>
                  <w:tcW w:w="2984" w:type="dxa"/>
                  <w:gridSpan w:val="4"/>
                  <w:vMerge w:val="continue"/>
                  <w:vAlign w:val="center"/>
                </w:tcPr>
                <w:p w14:paraId="36AD42C7">
                  <w:pPr>
                    <w:widowControl/>
                    <w:jc w:val="center"/>
                    <w:textAlignment w:val="center"/>
                    <w:rPr>
                      <w:szCs w:val="21"/>
                    </w:rPr>
                  </w:pPr>
                </w:p>
              </w:tc>
              <w:tc>
                <w:tcPr>
                  <w:tcW w:w="5085" w:type="dxa"/>
                  <w:gridSpan w:val="3"/>
                  <w:vAlign w:val="center"/>
                </w:tcPr>
                <w:p w14:paraId="16AEA9FB">
                  <w:pPr>
                    <w:adjustRightInd w:val="0"/>
                    <w:snapToGrid w:val="0"/>
                    <w:spacing w:line="220" w:lineRule="exact"/>
                    <w:jc w:val="center"/>
                    <w:rPr>
                      <w:szCs w:val="21"/>
                    </w:rPr>
                  </w:pPr>
                  <w:r>
                    <w:rPr>
                      <w:rFonts w:hint="eastAsia"/>
                      <w:szCs w:val="21"/>
                    </w:rPr>
                    <w:t>二甲苯</w:t>
                  </w:r>
                </w:p>
              </w:tc>
              <w:tc>
                <w:tcPr>
                  <w:tcW w:w="1002" w:type="dxa"/>
                  <w:vAlign w:val="center"/>
                </w:tcPr>
                <w:p w14:paraId="560E9539">
                  <w:pPr>
                    <w:jc w:val="center"/>
                    <w:rPr>
                      <w:szCs w:val="21"/>
                    </w:rPr>
                  </w:pPr>
                  <w:r>
                    <w:rPr>
                      <w:rFonts w:hint="eastAsia"/>
                      <w:szCs w:val="21"/>
                    </w:rPr>
                    <w:t>0.014</w:t>
                  </w:r>
                </w:p>
              </w:tc>
            </w:tr>
            <w:tr w14:paraId="15172F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263" w:hRule="atLeast"/>
                <w:jc w:val="center"/>
              </w:trPr>
              <w:tc>
                <w:tcPr>
                  <w:tcW w:w="2984" w:type="dxa"/>
                  <w:gridSpan w:val="4"/>
                  <w:vMerge w:val="continue"/>
                  <w:vAlign w:val="center"/>
                </w:tcPr>
                <w:p w14:paraId="4CAC4447">
                  <w:pPr>
                    <w:widowControl/>
                    <w:jc w:val="center"/>
                    <w:textAlignment w:val="center"/>
                    <w:rPr>
                      <w:szCs w:val="21"/>
                    </w:rPr>
                  </w:pPr>
                </w:p>
              </w:tc>
              <w:tc>
                <w:tcPr>
                  <w:tcW w:w="5085" w:type="dxa"/>
                  <w:gridSpan w:val="3"/>
                  <w:vAlign w:val="center"/>
                </w:tcPr>
                <w:p w14:paraId="6B4183AB">
                  <w:pPr>
                    <w:adjustRightInd w:val="0"/>
                    <w:snapToGrid w:val="0"/>
                    <w:spacing w:line="220" w:lineRule="exact"/>
                    <w:jc w:val="center"/>
                    <w:rPr>
                      <w:szCs w:val="21"/>
                    </w:rPr>
                  </w:pPr>
                  <w:r>
                    <w:rPr>
                      <w:rFonts w:hint="eastAsia"/>
                      <w:szCs w:val="21"/>
                    </w:rPr>
                    <w:t>颗粒物</w:t>
                  </w:r>
                </w:p>
              </w:tc>
              <w:tc>
                <w:tcPr>
                  <w:tcW w:w="1002" w:type="dxa"/>
                  <w:vAlign w:val="center"/>
                </w:tcPr>
                <w:p w14:paraId="39E268A1">
                  <w:pPr>
                    <w:jc w:val="center"/>
                    <w:rPr>
                      <w:szCs w:val="21"/>
                    </w:rPr>
                  </w:pPr>
                  <w:r>
                    <w:rPr>
                      <w:rFonts w:hint="eastAsia"/>
                      <w:szCs w:val="21"/>
                    </w:rPr>
                    <w:t>0.009</w:t>
                  </w:r>
                </w:p>
              </w:tc>
            </w:tr>
          </w:tbl>
          <w:p w14:paraId="536B0998">
            <w:pPr>
              <w:snapToGrid w:val="0"/>
              <w:ind w:firstLine="482" w:firstLineChars="200"/>
              <w:jc w:val="center"/>
              <w:rPr>
                <w:b/>
                <w:bCs/>
                <w:sz w:val="24"/>
                <w:szCs w:val="24"/>
              </w:rPr>
            </w:pPr>
            <w:r>
              <w:rPr>
                <w:b/>
                <w:bCs/>
                <w:sz w:val="24"/>
                <w:szCs w:val="24"/>
              </w:rPr>
              <w:t>表7-</w:t>
            </w:r>
            <w:r>
              <w:rPr>
                <w:rFonts w:hint="eastAsia"/>
                <w:b/>
                <w:bCs/>
                <w:sz w:val="24"/>
                <w:szCs w:val="24"/>
              </w:rPr>
              <w:t>10</w:t>
            </w:r>
            <w:r>
              <w:rPr>
                <w:b/>
                <w:bCs/>
                <w:sz w:val="24"/>
                <w:szCs w:val="24"/>
              </w:rPr>
              <w:t xml:space="preserve">  大气污染物年排放量核算表</w:t>
            </w:r>
          </w:p>
          <w:tbl>
            <w:tblPr>
              <w:tblStyle w:val="27"/>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41"/>
              <w:gridCol w:w="3825"/>
              <w:gridCol w:w="3305"/>
            </w:tblGrid>
            <w:tr w14:paraId="5739838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41" w:type="dxa"/>
                  <w:vAlign w:val="center"/>
                </w:tcPr>
                <w:p w14:paraId="12D8BCD2">
                  <w:pPr>
                    <w:pStyle w:val="19"/>
                    <w:jc w:val="center"/>
                    <w:rPr>
                      <w:sz w:val="21"/>
                      <w:szCs w:val="21"/>
                      <w:lang w:val="zh-CN"/>
                    </w:rPr>
                  </w:pPr>
                  <w:r>
                    <w:rPr>
                      <w:sz w:val="21"/>
                      <w:szCs w:val="21"/>
                      <w:lang w:val="zh-CN"/>
                    </w:rPr>
                    <w:t>序号</w:t>
                  </w:r>
                </w:p>
              </w:tc>
              <w:tc>
                <w:tcPr>
                  <w:tcW w:w="3825" w:type="dxa"/>
                  <w:vAlign w:val="center"/>
                </w:tcPr>
                <w:p w14:paraId="0BCD56C6">
                  <w:pPr>
                    <w:pStyle w:val="19"/>
                    <w:jc w:val="center"/>
                    <w:rPr>
                      <w:sz w:val="21"/>
                      <w:szCs w:val="21"/>
                      <w:lang w:val="zh-CN"/>
                    </w:rPr>
                  </w:pPr>
                  <w:r>
                    <w:rPr>
                      <w:sz w:val="21"/>
                      <w:szCs w:val="21"/>
                      <w:lang w:val="zh-CN"/>
                    </w:rPr>
                    <w:t>污染物</w:t>
                  </w:r>
                </w:p>
              </w:tc>
              <w:tc>
                <w:tcPr>
                  <w:tcW w:w="3305" w:type="dxa"/>
                  <w:vAlign w:val="center"/>
                </w:tcPr>
                <w:p w14:paraId="1E8F1939">
                  <w:pPr>
                    <w:pStyle w:val="19"/>
                    <w:jc w:val="center"/>
                    <w:rPr>
                      <w:sz w:val="21"/>
                      <w:szCs w:val="21"/>
                      <w:lang w:val="zh-CN"/>
                    </w:rPr>
                  </w:pPr>
                  <w:r>
                    <w:rPr>
                      <w:sz w:val="21"/>
                      <w:szCs w:val="21"/>
                      <w:lang w:val="zh-CN"/>
                    </w:rPr>
                    <w:t>年排放量（</w:t>
                  </w:r>
                  <w:r>
                    <w:rPr>
                      <w:rFonts w:hint="eastAsia"/>
                      <w:sz w:val="21"/>
                      <w:szCs w:val="21"/>
                    </w:rPr>
                    <w:t>t</w:t>
                  </w:r>
                  <w:r>
                    <w:rPr>
                      <w:sz w:val="21"/>
                      <w:szCs w:val="21"/>
                      <w:lang w:val="zh-CN"/>
                    </w:rPr>
                    <w:t>/a）</w:t>
                  </w:r>
                </w:p>
              </w:tc>
            </w:tr>
            <w:tr w14:paraId="30CB392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41" w:type="dxa"/>
                  <w:vAlign w:val="center"/>
                </w:tcPr>
                <w:p w14:paraId="63BAAF7E">
                  <w:pPr>
                    <w:pStyle w:val="19"/>
                    <w:jc w:val="center"/>
                    <w:rPr>
                      <w:sz w:val="21"/>
                      <w:szCs w:val="21"/>
                    </w:rPr>
                  </w:pPr>
                  <w:r>
                    <w:rPr>
                      <w:rFonts w:hint="eastAsia"/>
                      <w:sz w:val="21"/>
                      <w:szCs w:val="21"/>
                    </w:rPr>
                    <w:t>1</w:t>
                  </w:r>
                </w:p>
              </w:tc>
              <w:tc>
                <w:tcPr>
                  <w:tcW w:w="3825" w:type="dxa"/>
                  <w:vAlign w:val="center"/>
                </w:tcPr>
                <w:p w14:paraId="6FB0E529">
                  <w:pPr>
                    <w:adjustRightInd w:val="0"/>
                    <w:snapToGrid w:val="0"/>
                    <w:spacing w:line="220" w:lineRule="exact"/>
                    <w:jc w:val="center"/>
                    <w:rPr>
                      <w:szCs w:val="21"/>
                    </w:rPr>
                  </w:pPr>
                  <w:r>
                    <w:rPr>
                      <w:rFonts w:hint="eastAsia"/>
                      <w:szCs w:val="21"/>
                    </w:rPr>
                    <w:t>VOCs</w:t>
                  </w:r>
                </w:p>
              </w:tc>
              <w:tc>
                <w:tcPr>
                  <w:tcW w:w="3305" w:type="dxa"/>
                  <w:vAlign w:val="center"/>
                </w:tcPr>
                <w:p w14:paraId="3F80D111">
                  <w:pPr>
                    <w:pStyle w:val="19"/>
                    <w:jc w:val="center"/>
                    <w:rPr>
                      <w:sz w:val="21"/>
                      <w:szCs w:val="21"/>
                    </w:rPr>
                  </w:pPr>
                  <w:r>
                    <w:rPr>
                      <w:rFonts w:hint="eastAsia"/>
                      <w:sz w:val="21"/>
                      <w:szCs w:val="21"/>
                    </w:rPr>
                    <w:t>0.197</w:t>
                  </w:r>
                </w:p>
              </w:tc>
            </w:tr>
            <w:tr w14:paraId="48F8211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41" w:type="dxa"/>
                  <w:vAlign w:val="center"/>
                </w:tcPr>
                <w:p w14:paraId="7CA45963">
                  <w:pPr>
                    <w:pStyle w:val="19"/>
                    <w:jc w:val="center"/>
                    <w:rPr>
                      <w:sz w:val="21"/>
                      <w:szCs w:val="21"/>
                      <w:lang w:val="zh-CN"/>
                    </w:rPr>
                  </w:pPr>
                  <w:r>
                    <w:rPr>
                      <w:rFonts w:hint="eastAsia"/>
                      <w:sz w:val="21"/>
                      <w:szCs w:val="21"/>
                    </w:rPr>
                    <w:t>2</w:t>
                  </w:r>
                </w:p>
              </w:tc>
              <w:tc>
                <w:tcPr>
                  <w:tcW w:w="3825" w:type="dxa"/>
                  <w:vAlign w:val="center"/>
                </w:tcPr>
                <w:p w14:paraId="1BF58B87">
                  <w:pPr>
                    <w:adjustRightInd w:val="0"/>
                    <w:snapToGrid w:val="0"/>
                    <w:spacing w:line="220" w:lineRule="exact"/>
                    <w:jc w:val="center"/>
                    <w:rPr>
                      <w:szCs w:val="21"/>
                    </w:rPr>
                  </w:pPr>
                  <w:r>
                    <w:rPr>
                      <w:rFonts w:hint="eastAsia"/>
                      <w:szCs w:val="21"/>
                    </w:rPr>
                    <w:t>二甲苯</w:t>
                  </w:r>
                </w:p>
              </w:tc>
              <w:tc>
                <w:tcPr>
                  <w:tcW w:w="3305" w:type="dxa"/>
                  <w:vAlign w:val="center"/>
                </w:tcPr>
                <w:p w14:paraId="2E63D540">
                  <w:pPr>
                    <w:pStyle w:val="19"/>
                    <w:jc w:val="center"/>
                    <w:rPr>
                      <w:sz w:val="21"/>
                      <w:szCs w:val="21"/>
                    </w:rPr>
                  </w:pPr>
                  <w:r>
                    <w:rPr>
                      <w:rFonts w:hint="eastAsia"/>
                      <w:sz w:val="21"/>
                      <w:szCs w:val="21"/>
                    </w:rPr>
                    <w:t>0.041</w:t>
                  </w:r>
                </w:p>
              </w:tc>
            </w:tr>
            <w:tr w14:paraId="782BCCA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41" w:type="dxa"/>
                  <w:vAlign w:val="center"/>
                </w:tcPr>
                <w:p w14:paraId="1B6A9BBA">
                  <w:pPr>
                    <w:pStyle w:val="19"/>
                    <w:jc w:val="center"/>
                    <w:rPr>
                      <w:sz w:val="21"/>
                      <w:szCs w:val="21"/>
                    </w:rPr>
                  </w:pPr>
                  <w:r>
                    <w:rPr>
                      <w:rFonts w:hint="eastAsia"/>
                      <w:sz w:val="21"/>
                      <w:szCs w:val="21"/>
                    </w:rPr>
                    <w:t>3</w:t>
                  </w:r>
                </w:p>
              </w:tc>
              <w:tc>
                <w:tcPr>
                  <w:tcW w:w="3825" w:type="dxa"/>
                  <w:vAlign w:val="center"/>
                </w:tcPr>
                <w:p w14:paraId="0205C29F">
                  <w:pPr>
                    <w:adjustRightInd w:val="0"/>
                    <w:snapToGrid w:val="0"/>
                    <w:spacing w:line="220" w:lineRule="exact"/>
                    <w:jc w:val="center"/>
                    <w:rPr>
                      <w:szCs w:val="21"/>
                    </w:rPr>
                  </w:pPr>
                  <w:r>
                    <w:rPr>
                      <w:rFonts w:hint="eastAsia"/>
                      <w:szCs w:val="21"/>
                    </w:rPr>
                    <w:t>颗粒物</w:t>
                  </w:r>
                </w:p>
              </w:tc>
              <w:tc>
                <w:tcPr>
                  <w:tcW w:w="3305" w:type="dxa"/>
                  <w:vAlign w:val="center"/>
                </w:tcPr>
                <w:p w14:paraId="4FA58DBB">
                  <w:pPr>
                    <w:pStyle w:val="19"/>
                    <w:jc w:val="center"/>
                    <w:rPr>
                      <w:sz w:val="21"/>
                      <w:szCs w:val="21"/>
                    </w:rPr>
                  </w:pPr>
                  <w:r>
                    <w:rPr>
                      <w:rFonts w:hint="eastAsia"/>
                      <w:sz w:val="21"/>
                      <w:szCs w:val="21"/>
                    </w:rPr>
                    <w:t>0.013</w:t>
                  </w:r>
                </w:p>
              </w:tc>
            </w:tr>
          </w:tbl>
          <w:p w14:paraId="29DD2878">
            <w:pPr>
              <w:spacing w:line="360" w:lineRule="auto"/>
              <w:ind w:firstLine="480" w:firstLineChars="200"/>
              <w:rPr>
                <w:rFonts w:eastAsia="黑体"/>
                <w:bCs/>
                <w:sz w:val="24"/>
                <w:szCs w:val="24"/>
              </w:rPr>
            </w:pPr>
            <w:r>
              <w:rPr>
                <w:rFonts w:hint="eastAsia"/>
                <w:sz w:val="24"/>
                <w:szCs w:val="24"/>
              </w:rPr>
              <w:t>6、</w:t>
            </w:r>
            <w:r>
              <w:rPr>
                <w:sz w:val="24"/>
                <w:szCs w:val="24"/>
              </w:rPr>
              <w:t>大气环境防护距离</w:t>
            </w:r>
          </w:p>
          <w:p w14:paraId="4AC11AB1">
            <w:pPr>
              <w:pStyle w:val="17"/>
              <w:ind w:left="0" w:firstLine="480" w:firstLineChars="200"/>
              <w:rPr>
                <w:bCs/>
                <w:szCs w:val="24"/>
              </w:rPr>
            </w:pPr>
            <w:r>
              <w:rPr>
                <w:rFonts w:ascii="Times New Roman"/>
                <w:szCs w:val="24"/>
              </w:rPr>
              <w:t>根据《环境影响评价技术导则 大气环境》（HJ2.2-2018）有关规定，对于项目厂界浓度满足大气污染物厂界浓度限值，但厂界外大气污染物短期贡献浓度超过环境质量浓度限值的，可以自厂界向外设置一定范围的大气环境防护区域，以确保大气环境防护区域外的污染物贡献浓度满足环境质量标准。本项目厂界外最大落地浓度满足厂界浓度限值，且小于相应的环境质量标准，因此无需设置大气环境防护距离</w:t>
            </w:r>
            <w:r>
              <w:rPr>
                <w:rFonts w:hint="eastAsia" w:ascii="Times New Roman"/>
                <w:szCs w:val="24"/>
              </w:rPr>
              <w:t>。</w:t>
            </w:r>
          </w:p>
          <w:p w14:paraId="0482E511">
            <w:pPr>
              <w:spacing w:line="360" w:lineRule="auto"/>
              <w:ind w:firstLine="480" w:firstLineChars="200"/>
              <w:rPr>
                <w:bCs/>
                <w:sz w:val="24"/>
                <w:szCs w:val="24"/>
              </w:rPr>
            </w:pPr>
            <w:r>
              <w:rPr>
                <w:rFonts w:hint="eastAsia"/>
                <w:bCs/>
                <w:sz w:val="24"/>
                <w:szCs w:val="24"/>
              </w:rPr>
              <w:t>7</w:t>
            </w:r>
            <w:r>
              <w:rPr>
                <w:bCs/>
                <w:sz w:val="24"/>
                <w:szCs w:val="24"/>
              </w:rPr>
              <w:t>、自查表</w:t>
            </w:r>
          </w:p>
          <w:p w14:paraId="6D2934AF">
            <w:pPr>
              <w:spacing w:line="360" w:lineRule="auto"/>
              <w:ind w:firstLine="480" w:firstLineChars="200"/>
              <w:rPr>
                <w:bCs/>
                <w:sz w:val="24"/>
                <w:szCs w:val="24"/>
              </w:rPr>
            </w:pPr>
            <w:r>
              <w:rPr>
                <w:bCs/>
                <w:sz w:val="24"/>
                <w:szCs w:val="24"/>
              </w:rPr>
              <w:t>大气环境影响评价完成后，对大气环境影响评价主要内容与结论进行自查，如下表所示。</w:t>
            </w:r>
          </w:p>
          <w:p w14:paraId="2241C31E">
            <w:pPr>
              <w:snapToGrid w:val="0"/>
              <w:ind w:firstLine="482" w:firstLineChars="200"/>
              <w:jc w:val="center"/>
              <w:rPr>
                <w:b/>
                <w:bCs/>
                <w:sz w:val="24"/>
                <w:szCs w:val="24"/>
              </w:rPr>
            </w:pPr>
            <w:r>
              <w:rPr>
                <w:b/>
                <w:bCs/>
                <w:sz w:val="24"/>
                <w:szCs w:val="24"/>
              </w:rPr>
              <w:t>表7-</w:t>
            </w:r>
            <w:r>
              <w:rPr>
                <w:rFonts w:hint="eastAsia"/>
                <w:b/>
                <w:bCs/>
                <w:sz w:val="24"/>
                <w:szCs w:val="24"/>
              </w:rPr>
              <w:t>11</w:t>
            </w:r>
            <w:r>
              <w:rPr>
                <w:b/>
                <w:bCs/>
                <w:sz w:val="24"/>
                <w:szCs w:val="24"/>
              </w:rPr>
              <w:t xml:space="preserve">  建设项目大气环境影响评价自查表</w:t>
            </w:r>
          </w:p>
          <w:tbl>
            <w:tblPr>
              <w:tblStyle w:val="27"/>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10"/>
              <w:gridCol w:w="1393"/>
              <w:gridCol w:w="965"/>
              <w:gridCol w:w="278"/>
              <w:gridCol w:w="145"/>
              <w:gridCol w:w="456"/>
              <w:gridCol w:w="423"/>
              <w:gridCol w:w="517"/>
              <w:gridCol w:w="430"/>
              <w:gridCol w:w="1093"/>
              <w:gridCol w:w="200"/>
              <w:gridCol w:w="334"/>
              <w:gridCol w:w="641"/>
              <w:gridCol w:w="905"/>
              <w:gridCol w:w="581"/>
            </w:tblGrid>
            <w:tr w14:paraId="77A2C30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2103" w:type="dxa"/>
                  <w:gridSpan w:val="2"/>
                  <w:vAlign w:val="center"/>
                </w:tcPr>
                <w:p w14:paraId="36E8D3DA">
                  <w:pPr>
                    <w:jc w:val="center"/>
                    <w:rPr>
                      <w:bCs/>
                      <w:sz w:val="22"/>
                      <w:szCs w:val="22"/>
                    </w:rPr>
                  </w:pPr>
                  <w:r>
                    <w:rPr>
                      <w:bCs/>
                      <w:sz w:val="22"/>
                      <w:szCs w:val="22"/>
                    </w:rPr>
                    <w:t>工作内容</w:t>
                  </w:r>
                </w:p>
              </w:tc>
              <w:tc>
                <w:tcPr>
                  <w:tcW w:w="6968" w:type="dxa"/>
                  <w:gridSpan w:val="13"/>
                  <w:vAlign w:val="center"/>
                </w:tcPr>
                <w:p w14:paraId="3AECA54A">
                  <w:pPr>
                    <w:jc w:val="center"/>
                    <w:rPr>
                      <w:bCs/>
                      <w:sz w:val="22"/>
                      <w:szCs w:val="22"/>
                    </w:rPr>
                  </w:pPr>
                  <w:r>
                    <w:rPr>
                      <w:bCs/>
                      <w:sz w:val="22"/>
                      <w:szCs w:val="22"/>
                    </w:rPr>
                    <w:t>自查项目</w:t>
                  </w:r>
                </w:p>
              </w:tc>
            </w:tr>
            <w:tr w14:paraId="152A8BC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restart"/>
                  <w:vAlign w:val="center"/>
                </w:tcPr>
                <w:p w14:paraId="1D1442E9">
                  <w:pPr>
                    <w:jc w:val="center"/>
                    <w:rPr>
                      <w:bCs/>
                      <w:sz w:val="22"/>
                      <w:szCs w:val="22"/>
                    </w:rPr>
                  </w:pPr>
                  <w:r>
                    <w:rPr>
                      <w:bCs/>
                      <w:sz w:val="22"/>
                      <w:szCs w:val="22"/>
                    </w:rPr>
                    <w:t>评价等级与范围</w:t>
                  </w:r>
                </w:p>
              </w:tc>
              <w:tc>
                <w:tcPr>
                  <w:tcW w:w="1393" w:type="dxa"/>
                  <w:vAlign w:val="center"/>
                </w:tcPr>
                <w:p w14:paraId="551DC7F0">
                  <w:pPr>
                    <w:jc w:val="center"/>
                    <w:rPr>
                      <w:bCs/>
                      <w:sz w:val="22"/>
                      <w:szCs w:val="22"/>
                    </w:rPr>
                  </w:pPr>
                  <w:r>
                    <w:rPr>
                      <w:bCs/>
                      <w:sz w:val="22"/>
                      <w:szCs w:val="22"/>
                    </w:rPr>
                    <w:t>评价等级</w:t>
                  </w:r>
                </w:p>
              </w:tc>
              <w:tc>
                <w:tcPr>
                  <w:tcW w:w="2267" w:type="dxa"/>
                  <w:gridSpan w:val="5"/>
                  <w:vAlign w:val="center"/>
                </w:tcPr>
                <w:p w14:paraId="064AB28E">
                  <w:pPr>
                    <w:jc w:val="center"/>
                    <w:rPr>
                      <w:bCs/>
                      <w:sz w:val="22"/>
                      <w:szCs w:val="22"/>
                    </w:rPr>
                  </w:pPr>
                  <w:r>
                    <w:rPr>
                      <w:bCs/>
                      <w:sz w:val="22"/>
                      <w:szCs w:val="22"/>
                    </w:rPr>
                    <w:t>一级</w:t>
                  </w:r>
                  <w:r>
                    <w:rPr>
                      <w:bCs/>
                      <w:sz w:val="22"/>
                      <w:szCs w:val="22"/>
                    </w:rPr>
                    <w:sym w:font="Wingdings" w:char="00A8"/>
                  </w:r>
                </w:p>
              </w:tc>
              <w:tc>
                <w:tcPr>
                  <w:tcW w:w="3215" w:type="dxa"/>
                  <w:gridSpan w:val="6"/>
                  <w:vAlign w:val="center"/>
                </w:tcPr>
                <w:p w14:paraId="0D8C4592">
                  <w:pPr>
                    <w:jc w:val="center"/>
                    <w:rPr>
                      <w:bCs/>
                      <w:sz w:val="22"/>
                      <w:szCs w:val="22"/>
                    </w:rPr>
                  </w:pPr>
                  <w:r>
                    <w:rPr>
                      <w:bCs/>
                      <w:sz w:val="22"/>
                      <w:szCs w:val="22"/>
                    </w:rPr>
                    <w:t>二级</w:t>
                  </w:r>
                  <w:r>
                    <w:rPr>
                      <w:bCs/>
                      <w:sz w:val="22"/>
                      <w:szCs w:val="22"/>
                    </w:rPr>
                    <w:sym w:font="Wingdings" w:char="00FE"/>
                  </w:r>
                </w:p>
              </w:tc>
              <w:tc>
                <w:tcPr>
                  <w:tcW w:w="1486" w:type="dxa"/>
                  <w:gridSpan w:val="2"/>
                  <w:vAlign w:val="center"/>
                </w:tcPr>
                <w:p w14:paraId="41D583F1">
                  <w:pPr>
                    <w:jc w:val="center"/>
                    <w:rPr>
                      <w:bCs/>
                      <w:sz w:val="22"/>
                      <w:szCs w:val="22"/>
                    </w:rPr>
                  </w:pPr>
                  <w:r>
                    <w:rPr>
                      <w:bCs/>
                      <w:sz w:val="22"/>
                      <w:szCs w:val="22"/>
                    </w:rPr>
                    <w:t>三级</w:t>
                  </w:r>
                  <w:r>
                    <w:rPr>
                      <w:bCs/>
                      <w:sz w:val="22"/>
                      <w:szCs w:val="22"/>
                    </w:rPr>
                    <w:sym w:font="Wingdings" w:char="00A8"/>
                  </w:r>
                </w:p>
              </w:tc>
            </w:tr>
            <w:tr w14:paraId="39004A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1F5E7F4B">
                  <w:pPr>
                    <w:jc w:val="center"/>
                    <w:rPr>
                      <w:bCs/>
                      <w:sz w:val="22"/>
                      <w:szCs w:val="22"/>
                    </w:rPr>
                  </w:pPr>
                </w:p>
              </w:tc>
              <w:tc>
                <w:tcPr>
                  <w:tcW w:w="1393" w:type="dxa"/>
                  <w:vAlign w:val="center"/>
                </w:tcPr>
                <w:p w14:paraId="63A33FDE">
                  <w:pPr>
                    <w:jc w:val="center"/>
                    <w:rPr>
                      <w:bCs/>
                      <w:sz w:val="22"/>
                      <w:szCs w:val="22"/>
                    </w:rPr>
                  </w:pPr>
                  <w:r>
                    <w:rPr>
                      <w:bCs/>
                      <w:sz w:val="22"/>
                      <w:szCs w:val="22"/>
                    </w:rPr>
                    <w:t>评价范围</w:t>
                  </w:r>
                </w:p>
              </w:tc>
              <w:tc>
                <w:tcPr>
                  <w:tcW w:w="2267" w:type="dxa"/>
                  <w:gridSpan w:val="5"/>
                  <w:vAlign w:val="center"/>
                </w:tcPr>
                <w:p w14:paraId="4BF09038">
                  <w:pPr>
                    <w:jc w:val="center"/>
                    <w:rPr>
                      <w:bCs/>
                      <w:sz w:val="22"/>
                      <w:szCs w:val="22"/>
                    </w:rPr>
                  </w:pPr>
                  <w:r>
                    <w:rPr>
                      <w:bCs/>
                      <w:sz w:val="22"/>
                      <w:szCs w:val="22"/>
                    </w:rPr>
                    <w:t>边长=50km</w:t>
                  </w:r>
                  <w:r>
                    <w:rPr>
                      <w:bCs/>
                      <w:sz w:val="22"/>
                      <w:szCs w:val="22"/>
                    </w:rPr>
                    <w:sym w:font="Wingdings" w:char="00A8"/>
                  </w:r>
                </w:p>
              </w:tc>
              <w:tc>
                <w:tcPr>
                  <w:tcW w:w="2040" w:type="dxa"/>
                  <w:gridSpan w:val="3"/>
                  <w:vAlign w:val="center"/>
                </w:tcPr>
                <w:p w14:paraId="0C8D9CB8">
                  <w:pPr>
                    <w:jc w:val="center"/>
                    <w:rPr>
                      <w:bCs/>
                      <w:sz w:val="22"/>
                      <w:szCs w:val="22"/>
                    </w:rPr>
                  </w:pPr>
                  <w:r>
                    <w:rPr>
                      <w:bCs/>
                      <w:sz w:val="22"/>
                      <w:szCs w:val="22"/>
                    </w:rPr>
                    <w:t>边长5～50km</w:t>
                  </w:r>
                  <w:r>
                    <w:rPr>
                      <w:bCs/>
                      <w:sz w:val="22"/>
                      <w:szCs w:val="22"/>
                    </w:rPr>
                    <w:sym w:font="Wingdings" w:char="00A8"/>
                  </w:r>
                </w:p>
              </w:tc>
              <w:tc>
                <w:tcPr>
                  <w:tcW w:w="1175" w:type="dxa"/>
                  <w:gridSpan w:val="3"/>
                  <w:vAlign w:val="center"/>
                </w:tcPr>
                <w:p w14:paraId="01ED08D1">
                  <w:pPr>
                    <w:jc w:val="center"/>
                    <w:rPr>
                      <w:bCs/>
                      <w:sz w:val="22"/>
                      <w:szCs w:val="22"/>
                    </w:rPr>
                  </w:pPr>
                  <w:r>
                    <w:rPr>
                      <w:bCs/>
                      <w:sz w:val="22"/>
                      <w:szCs w:val="22"/>
                    </w:rPr>
                    <w:t>边长=5km</w:t>
                  </w:r>
                  <w:r>
                    <w:rPr>
                      <w:bCs/>
                      <w:sz w:val="22"/>
                      <w:szCs w:val="22"/>
                    </w:rPr>
                    <w:sym w:font="Wingdings" w:char="00FE"/>
                  </w:r>
                </w:p>
              </w:tc>
              <w:tc>
                <w:tcPr>
                  <w:tcW w:w="1486" w:type="dxa"/>
                  <w:gridSpan w:val="2"/>
                  <w:vAlign w:val="center"/>
                </w:tcPr>
                <w:p w14:paraId="7C3FE840">
                  <w:pPr>
                    <w:jc w:val="center"/>
                    <w:rPr>
                      <w:bCs/>
                      <w:sz w:val="22"/>
                      <w:szCs w:val="22"/>
                    </w:rPr>
                  </w:pPr>
                  <w:r>
                    <w:rPr>
                      <w:bCs/>
                      <w:sz w:val="22"/>
                      <w:szCs w:val="22"/>
                    </w:rPr>
                    <w:t>不需设置</w:t>
                  </w:r>
                  <w:r>
                    <w:rPr>
                      <w:bCs/>
                      <w:sz w:val="22"/>
                      <w:szCs w:val="22"/>
                    </w:rPr>
                    <w:sym w:font="Wingdings" w:char="00A8"/>
                  </w:r>
                </w:p>
              </w:tc>
            </w:tr>
            <w:tr w14:paraId="7B8685B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restart"/>
                  <w:vAlign w:val="center"/>
                </w:tcPr>
                <w:p w14:paraId="57640942">
                  <w:pPr>
                    <w:jc w:val="center"/>
                    <w:rPr>
                      <w:bCs/>
                      <w:sz w:val="22"/>
                      <w:szCs w:val="22"/>
                    </w:rPr>
                  </w:pPr>
                  <w:r>
                    <w:rPr>
                      <w:bCs/>
                      <w:sz w:val="22"/>
                      <w:szCs w:val="22"/>
                    </w:rPr>
                    <w:t>评价因子</w:t>
                  </w:r>
                </w:p>
              </w:tc>
              <w:tc>
                <w:tcPr>
                  <w:tcW w:w="1393" w:type="dxa"/>
                  <w:vAlign w:val="center"/>
                </w:tcPr>
                <w:p w14:paraId="685F5A01">
                  <w:pPr>
                    <w:jc w:val="center"/>
                    <w:rPr>
                      <w:bCs/>
                      <w:sz w:val="22"/>
                      <w:szCs w:val="22"/>
                    </w:rPr>
                  </w:pPr>
                  <w:r>
                    <w:rPr>
                      <w:bCs/>
                      <w:sz w:val="22"/>
                      <w:szCs w:val="22"/>
                    </w:rPr>
                    <w:t>SO</w:t>
                  </w:r>
                  <w:r>
                    <w:rPr>
                      <w:bCs/>
                      <w:sz w:val="22"/>
                      <w:szCs w:val="22"/>
                      <w:vertAlign w:val="subscript"/>
                    </w:rPr>
                    <w:t>2</w:t>
                  </w:r>
                  <w:r>
                    <w:rPr>
                      <w:bCs/>
                      <w:sz w:val="22"/>
                      <w:szCs w:val="22"/>
                    </w:rPr>
                    <w:t>+NO</w:t>
                  </w:r>
                  <w:r>
                    <w:rPr>
                      <w:bCs/>
                      <w:sz w:val="22"/>
                      <w:szCs w:val="22"/>
                      <w:vertAlign w:val="subscript"/>
                    </w:rPr>
                    <w:t>X</w:t>
                  </w:r>
                  <w:r>
                    <w:rPr>
                      <w:bCs/>
                      <w:sz w:val="22"/>
                      <w:szCs w:val="22"/>
                    </w:rPr>
                    <w:t>排放量</w:t>
                  </w:r>
                </w:p>
              </w:tc>
              <w:tc>
                <w:tcPr>
                  <w:tcW w:w="2267" w:type="dxa"/>
                  <w:gridSpan w:val="5"/>
                  <w:vAlign w:val="center"/>
                </w:tcPr>
                <w:p w14:paraId="49F77263">
                  <w:pPr>
                    <w:jc w:val="center"/>
                    <w:rPr>
                      <w:bCs/>
                      <w:sz w:val="22"/>
                      <w:szCs w:val="22"/>
                    </w:rPr>
                  </w:pPr>
                  <w:r>
                    <w:rPr>
                      <w:bCs/>
                      <w:sz w:val="22"/>
                      <w:szCs w:val="22"/>
                    </w:rPr>
                    <w:t>≥2000t/a</w:t>
                  </w:r>
                  <w:r>
                    <w:rPr>
                      <w:bCs/>
                      <w:sz w:val="22"/>
                      <w:szCs w:val="22"/>
                    </w:rPr>
                    <w:sym w:font="Wingdings" w:char="00A8"/>
                  </w:r>
                </w:p>
              </w:tc>
              <w:tc>
                <w:tcPr>
                  <w:tcW w:w="3215" w:type="dxa"/>
                  <w:gridSpan w:val="6"/>
                  <w:vAlign w:val="center"/>
                </w:tcPr>
                <w:p w14:paraId="0D573C2B">
                  <w:pPr>
                    <w:jc w:val="center"/>
                    <w:rPr>
                      <w:bCs/>
                      <w:sz w:val="22"/>
                      <w:szCs w:val="22"/>
                    </w:rPr>
                  </w:pPr>
                  <w:r>
                    <w:rPr>
                      <w:bCs/>
                      <w:sz w:val="22"/>
                      <w:szCs w:val="22"/>
                    </w:rPr>
                    <w:t>500~2000t/a</w:t>
                  </w:r>
                  <w:r>
                    <w:rPr>
                      <w:bCs/>
                      <w:sz w:val="22"/>
                      <w:szCs w:val="22"/>
                    </w:rPr>
                    <w:sym w:font="Wingdings" w:char="00A8"/>
                  </w:r>
                </w:p>
              </w:tc>
              <w:tc>
                <w:tcPr>
                  <w:tcW w:w="1486" w:type="dxa"/>
                  <w:gridSpan w:val="2"/>
                  <w:vAlign w:val="center"/>
                </w:tcPr>
                <w:p w14:paraId="54E70BE2">
                  <w:pPr>
                    <w:jc w:val="center"/>
                    <w:rPr>
                      <w:bCs/>
                      <w:sz w:val="22"/>
                      <w:szCs w:val="22"/>
                    </w:rPr>
                  </w:pPr>
                  <w:r>
                    <w:rPr>
                      <w:bCs/>
                      <w:sz w:val="22"/>
                      <w:szCs w:val="22"/>
                    </w:rPr>
                    <w:t>＜500t/a</w:t>
                  </w:r>
                  <w:r>
                    <w:rPr>
                      <w:bCs/>
                      <w:sz w:val="22"/>
                      <w:szCs w:val="22"/>
                    </w:rPr>
                    <w:sym w:font="Wingdings" w:char="00A8"/>
                  </w:r>
                </w:p>
              </w:tc>
            </w:tr>
            <w:tr w14:paraId="31026C7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0EBD543F">
                  <w:pPr>
                    <w:jc w:val="center"/>
                    <w:rPr>
                      <w:bCs/>
                      <w:sz w:val="22"/>
                      <w:szCs w:val="22"/>
                    </w:rPr>
                  </w:pPr>
                </w:p>
              </w:tc>
              <w:tc>
                <w:tcPr>
                  <w:tcW w:w="1393" w:type="dxa"/>
                  <w:vAlign w:val="center"/>
                </w:tcPr>
                <w:p w14:paraId="475965A5">
                  <w:pPr>
                    <w:jc w:val="center"/>
                    <w:rPr>
                      <w:bCs/>
                      <w:sz w:val="22"/>
                      <w:szCs w:val="22"/>
                    </w:rPr>
                  </w:pPr>
                  <w:r>
                    <w:rPr>
                      <w:bCs/>
                      <w:sz w:val="22"/>
                      <w:szCs w:val="22"/>
                    </w:rPr>
                    <w:t>评价因子</w:t>
                  </w:r>
                </w:p>
              </w:tc>
              <w:tc>
                <w:tcPr>
                  <w:tcW w:w="4307" w:type="dxa"/>
                  <w:gridSpan w:val="8"/>
                  <w:vAlign w:val="center"/>
                </w:tcPr>
                <w:p w14:paraId="5D260CDC">
                  <w:pPr>
                    <w:jc w:val="center"/>
                    <w:rPr>
                      <w:bCs/>
                      <w:sz w:val="22"/>
                      <w:szCs w:val="22"/>
                    </w:rPr>
                  </w:pPr>
                  <w:r>
                    <w:rPr>
                      <w:bCs/>
                      <w:sz w:val="22"/>
                      <w:szCs w:val="22"/>
                    </w:rPr>
                    <w:t>基本污染物（）</w:t>
                  </w:r>
                </w:p>
                <w:p w14:paraId="2E94F825">
                  <w:pPr>
                    <w:jc w:val="center"/>
                    <w:rPr>
                      <w:bCs/>
                      <w:sz w:val="22"/>
                      <w:szCs w:val="22"/>
                    </w:rPr>
                  </w:pPr>
                  <w:r>
                    <w:rPr>
                      <w:bCs/>
                      <w:sz w:val="22"/>
                      <w:szCs w:val="22"/>
                    </w:rPr>
                    <w:t>其他污染物（VOCs</w:t>
                  </w:r>
                  <w:r>
                    <w:rPr>
                      <w:rFonts w:hint="eastAsia"/>
                      <w:bCs/>
                      <w:sz w:val="22"/>
                      <w:szCs w:val="22"/>
                    </w:rPr>
                    <w:t>、二甲苯</w:t>
                  </w:r>
                  <w:r>
                    <w:rPr>
                      <w:bCs/>
                      <w:sz w:val="22"/>
                      <w:szCs w:val="22"/>
                    </w:rPr>
                    <w:t>）</w:t>
                  </w:r>
                </w:p>
              </w:tc>
              <w:tc>
                <w:tcPr>
                  <w:tcW w:w="2661" w:type="dxa"/>
                  <w:gridSpan w:val="5"/>
                  <w:vAlign w:val="center"/>
                </w:tcPr>
                <w:p w14:paraId="008ADD81">
                  <w:pPr>
                    <w:jc w:val="center"/>
                    <w:rPr>
                      <w:bCs/>
                      <w:sz w:val="22"/>
                      <w:szCs w:val="22"/>
                    </w:rPr>
                  </w:pPr>
                  <w:r>
                    <w:rPr>
                      <w:bCs/>
                      <w:sz w:val="22"/>
                      <w:szCs w:val="22"/>
                    </w:rPr>
                    <w:t>包括二次 PM</w:t>
                  </w:r>
                  <w:r>
                    <w:rPr>
                      <w:bCs/>
                      <w:sz w:val="22"/>
                      <w:szCs w:val="22"/>
                      <w:vertAlign w:val="subscript"/>
                    </w:rPr>
                    <w:t>2.5</w:t>
                  </w:r>
                  <w:r>
                    <w:rPr>
                      <w:bCs/>
                      <w:sz w:val="22"/>
                      <w:szCs w:val="22"/>
                    </w:rPr>
                    <w:sym w:font="Wingdings" w:char="00A8"/>
                  </w:r>
                </w:p>
                <w:p w14:paraId="4ADBE103">
                  <w:pPr>
                    <w:jc w:val="center"/>
                    <w:rPr>
                      <w:bCs/>
                      <w:sz w:val="22"/>
                      <w:szCs w:val="22"/>
                    </w:rPr>
                  </w:pPr>
                  <w:r>
                    <w:rPr>
                      <w:bCs/>
                      <w:sz w:val="22"/>
                      <w:szCs w:val="22"/>
                    </w:rPr>
                    <w:t>不包括二次 PM</w:t>
                  </w:r>
                  <w:r>
                    <w:rPr>
                      <w:bCs/>
                      <w:sz w:val="22"/>
                      <w:szCs w:val="22"/>
                      <w:vertAlign w:val="subscript"/>
                    </w:rPr>
                    <w:t>2.5</w:t>
                  </w:r>
                  <w:r>
                    <w:rPr>
                      <w:bCs/>
                      <w:sz w:val="22"/>
                      <w:szCs w:val="22"/>
                    </w:rPr>
                    <w:sym w:font="Wingdings" w:char="00FE"/>
                  </w:r>
                </w:p>
              </w:tc>
            </w:tr>
            <w:tr w14:paraId="57224F1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Align w:val="center"/>
                </w:tcPr>
                <w:p w14:paraId="09F55FF5">
                  <w:pPr>
                    <w:jc w:val="center"/>
                    <w:rPr>
                      <w:bCs/>
                      <w:sz w:val="22"/>
                      <w:szCs w:val="22"/>
                    </w:rPr>
                  </w:pPr>
                  <w:r>
                    <w:rPr>
                      <w:bCs/>
                      <w:sz w:val="22"/>
                      <w:szCs w:val="22"/>
                    </w:rPr>
                    <w:t>评价标准</w:t>
                  </w:r>
                </w:p>
              </w:tc>
              <w:tc>
                <w:tcPr>
                  <w:tcW w:w="1393" w:type="dxa"/>
                  <w:vAlign w:val="center"/>
                </w:tcPr>
                <w:p w14:paraId="70BA6A9E">
                  <w:pPr>
                    <w:jc w:val="center"/>
                    <w:rPr>
                      <w:bCs/>
                      <w:sz w:val="22"/>
                      <w:szCs w:val="22"/>
                    </w:rPr>
                  </w:pPr>
                  <w:r>
                    <w:rPr>
                      <w:bCs/>
                      <w:sz w:val="22"/>
                      <w:szCs w:val="22"/>
                    </w:rPr>
                    <w:t>评价标准</w:t>
                  </w:r>
                </w:p>
              </w:tc>
              <w:tc>
                <w:tcPr>
                  <w:tcW w:w="2267" w:type="dxa"/>
                  <w:gridSpan w:val="5"/>
                  <w:vAlign w:val="center"/>
                </w:tcPr>
                <w:p w14:paraId="1B365EA0">
                  <w:pPr>
                    <w:jc w:val="center"/>
                    <w:rPr>
                      <w:bCs/>
                      <w:sz w:val="22"/>
                      <w:szCs w:val="22"/>
                    </w:rPr>
                  </w:pPr>
                  <w:r>
                    <w:rPr>
                      <w:bCs/>
                      <w:sz w:val="22"/>
                      <w:szCs w:val="22"/>
                    </w:rPr>
                    <w:t>国家标准</w:t>
                  </w:r>
                  <w:r>
                    <w:rPr>
                      <w:bCs/>
                      <w:sz w:val="22"/>
                      <w:szCs w:val="22"/>
                    </w:rPr>
                    <w:sym w:font="Wingdings" w:char="00FE"/>
                  </w:r>
                </w:p>
              </w:tc>
              <w:tc>
                <w:tcPr>
                  <w:tcW w:w="2040" w:type="dxa"/>
                  <w:gridSpan w:val="3"/>
                  <w:vAlign w:val="center"/>
                </w:tcPr>
                <w:p w14:paraId="29C01F51">
                  <w:pPr>
                    <w:jc w:val="center"/>
                    <w:rPr>
                      <w:bCs/>
                      <w:sz w:val="22"/>
                      <w:szCs w:val="22"/>
                    </w:rPr>
                  </w:pPr>
                  <w:r>
                    <w:rPr>
                      <w:bCs/>
                      <w:sz w:val="22"/>
                      <w:szCs w:val="22"/>
                    </w:rPr>
                    <w:t>地方标准</w:t>
                  </w:r>
                  <w:r>
                    <w:rPr>
                      <w:bCs/>
                      <w:sz w:val="22"/>
                      <w:szCs w:val="22"/>
                    </w:rPr>
                    <w:sym w:font="Wingdings" w:char="00FE"/>
                  </w:r>
                </w:p>
              </w:tc>
              <w:tc>
                <w:tcPr>
                  <w:tcW w:w="1175" w:type="dxa"/>
                  <w:gridSpan w:val="3"/>
                  <w:vAlign w:val="center"/>
                </w:tcPr>
                <w:p w14:paraId="7F05C984">
                  <w:pPr>
                    <w:jc w:val="center"/>
                    <w:rPr>
                      <w:bCs/>
                      <w:sz w:val="22"/>
                      <w:szCs w:val="22"/>
                    </w:rPr>
                  </w:pPr>
                  <w:r>
                    <w:rPr>
                      <w:bCs/>
                      <w:sz w:val="22"/>
                      <w:szCs w:val="22"/>
                    </w:rPr>
                    <w:t>附录D</w:t>
                  </w:r>
                  <w:r>
                    <w:rPr>
                      <w:bCs/>
                      <w:sz w:val="22"/>
                      <w:szCs w:val="22"/>
                    </w:rPr>
                    <w:sym w:font="Wingdings" w:char="00A8"/>
                  </w:r>
                </w:p>
              </w:tc>
              <w:tc>
                <w:tcPr>
                  <w:tcW w:w="1486" w:type="dxa"/>
                  <w:gridSpan w:val="2"/>
                  <w:vAlign w:val="center"/>
                </w:tcPr>
                <w:p w14:paraId="53FCF02E">
                  <w:pPr>
                    <w:jc w:val="center"/>
                    <w:rPr>
                      <w:bCs/>
                      <w:sz w:val="22"/>
                      <w:szCs w:val="22"/>
                    </w:rPr>
                  </w:pPr>
                  <w:r>
                    <w:rPr>
                      <w:bCs/>
                      <w:sz w:val="22"/>
                      <w:szCs w:val="22"/>
                    </w:rPr>
                    <w:t>其他标准</w:t>
                  </w:r>
                  <w:r>
                    <w:rPr>
                      <w:bCs/>
                      <w:sz w:val="22"/>
                      <w:szCs w:val="22"/>
                    </w:rPr>
                    <w:sym w:font="Wingdings" w:char="00A8"/>
                  </w:r>
                </w:p>
              </w:tc>
            </w:tr>
            <w:tr w14:paraId="06D5899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restart"/>
                  <w:vAlign w:val="center"/>
                </w:tcPr>
                <w:p w14:paraId="0B27C555">
                  <w:pPr>
                    <w:jc w:val="center"/>
                    <w:rPr>
                      <w:bCs/>
                      <w:sz w:val="22"/>
                      <w:szCs w:val="22"/>
                    </w:rPr>
                  </w:pPr>
                  <w:r>
                    <w:rPr>
                      <w:bCs/>
                      <w:sz w:val="22"/>
                      <w:szCs w:val="22"/>
                    </w:rPr>
                    <w:t>现状评价</w:t>
                  </w:r>
                </w:p>
              </w:tc>
              <w:tc>
                <w:tcPr>
                  <w:tcW w:w="1393" w:type="dxa"/>
                  <w:vAlign w:val="center"/>
                </w:tcPr>
                <w:p w14:paraId="55109F3A">
                  <w:pPr>
                    <w:jc w:val="center"/>
                    <w:rPr>
                      <w:bCs/>
                      <w:sz w:val="22"/>
                      <w:szCs w:val="22"/>
                    </w:rPr>
                  </w:pPr>
                  <w:r>
                    <w:rPr>
                      <w:bCs/>
                      <w:sz w:val="22"/>
                      <w:szCs w:val="22"/>
                    </w:rPr>
                    <w:t>环境功能区</w:t>
                  </w:r>
                </w:p>
              </w:tc>
              <w:tc>
                <w:tcPr>
                  <w:tcW w:w="2267" w:type="dxa"/>
                  <w:gridSpan w:val="5"/>
                  <w:vAlign w:val="center"/>
                </w:tcPr>
                <w:p w14:paraId="52976171">
                  <w:pPr>
                    <w:jc w:val="center"/>
                    <w:rPr>
                      <w:bCs/>
                      <w:sz w:val="22"/>
                      <w:szCs w:val="22"/>
                    </w:rPr>
                  </w:pPr>
                  <w:r>
                    <w:rPr>
                      <w:bCs/>
                      <w:sz w:val="22"/>
                      <w:szCs w:val="22"/>
                    </w:rPr>
                    <w:t>一类区</w:t>
                  </w:r>
                  <w:r>
                    <w:rPr>
                      <w:bCs/>
                      <w:sz w:val="22"/>
                      <w:szCs w:val="22"/>
                    </w:rPr>
                    <w:sym w:font="Wingdings" w:char="00A8"/>
                  </w:r>
                </w:p>
              </w:tc>
              <w:tc>
                <w:tcPr>
                  <w:tcW w:w="3215" w:type="dxa"/>
                  <w:gridSpan w:val="6"/>
                  <w:vAlign w:val="center"/>
                </w:tcPr>
                <w:p w14:paraId="103B0E74">
                  <w:pPr>
                    <w:jc w:val="center"/>
                    <w:rPr>
                      <w:bCs/>
                      <w:sz w:val="22"/>
                      <w:szCs w:val="22"/>
                    </w:rPr>
                  </w:pPr>
                  <w:r>
                    <w:rPr>
                      <w:bCs/>
                      <w:sz w:val="22"/>
                      <w:szCs w:val="22"/>
                    </w:rPr>
                    <w:t>二类区</w:t>
                  </w:r>
                  <w:r>
                    <w:rPr>
                      <w:bCs/>
                      <w:sz w:val="22"/>
                      <w:szCs w:val="22"/>
                    </w:rPr>
                    <w:sym w:font="Wingdings" w:char="00FE"/>
                  </w:r>
                </w:p>
              </w:tc>
              <w:tc>
                <w:tcPr>
                  <w:tcW w:w="1486" w:type="dxa"/>
                  <w:gridSpan w:val="2"/>
                  <w:vAlign w:val="center"/>
                </w:tcPr>
                <w:p w14:paraId="233899D1">
                  <w:pPr>
                    <w:jc w:val="center"/>
                    <w:rPr>
                      <w:bCs/>
                      <w:sz w:val="22"/>
                      <w:szCs w:val="22"/>
                    </w:rPr>
                  </w:pPr>
                  <w:r>
                    <w:rPr>
                      <w:bCs/>
                      <w:sz w:val="22"/>
                      <w:szCs w:val="22"/>
                    </w:rPr>
                    <w:t>一类区和二类区</w:t>
                  </w:r>
                  <w:r>
                    <w:rPr>
                      <w:bCs/>
                      <w:sz w:val="22"/>
                      <w:szCs w:val="22"/>
                    </w:rPr>
                    <w:sym w:font="Wingdings" w:char="00A8"/>
                  </w:r>
                </w:p>
              </w:tc>
            </w:tr>
            <w:tr w14:paraId="183E05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7CA71872">
                  <w:pPr>
                    <w:jc w:val="center"/>
                    <w:rPr>
                      <w:bCs/>
                      <w:sz w:val="22"/>
                      <w:szCs w:val="22"/>
                    </w:rPr>
                  </w:pPr>
                </w:p>
              </w:tc>
              <w:tc>
                <w:tcPr>
                  <w:tcW w:w="1393" w:type="dxa"/>
                  <w:vAlign w:val="center"/>
                </w:tcPr>
                <w:p w14:paraId="4CD8A08B">
                  <w:pPr>
                    <w:jc w:val="center"/>
                    <w:rPr>
                      <w:bCs/>
                      <w:sz w:val="22"/>
                      <w:szCs w:val="22"/>
                    </w:rPr>
                  </w:pPr>
                  <w:r>
                    <w:rPr>
                      <w:bCs/>
                      <w:sz w:val="22"/>
                      <w:szCs w:val="22"/>
                    </w:rPr>
                    <w:t>评价基准年</w:t>
                  </w:r>
                </w:p>
              </w:tc>
              <w:tc>
                <w:tcPr>
                  <w:tcW w:w="6968" w:type="dxa"/>
                  <w:gridSpan w:val="13"/>
                  <w:vAlign w:val="center"/>
                </w:tcPr>
                <w:p w14:paraId="0052DCD9">
                  <w:pPr>
                    <w:jc w:val="center"/>
                    <w:rPr>
                      <w:bCs/>
                      <w:sz w:val="22"/>
                      <w:szCs w:val="22"/>
                    </w:rPr>
                  </w:pPr>
                  <w:r>
                    <w:rPr>
                      <w:bCs/>
                      <w:sz w:val="22"/>
                      <w:szCs w:val="22"/>
                    </w:rPr>
                    <w:t>20</w:t>
                  </w:r>
                  <w:r>
                    <w:rPr>
                      <w:rFonts w:hint="eastAsia"/>
                      <w:bCs/>
                      <w:sz w:val="22"/>
                      <w:szCs w:val="22"/>
                    </w:rPr>
                    <w:t>20</w:t>
                  </w:r>
                  <w:r>
                    <w:rPr>
                      <w:bCs/>
                      <w:sz w:val="22"/>
                      <w:szCs w:val="22"/>
                    </w:rPr>
                    <w:t>年</w:t>
                  </w:r>
                </w:p>
              </w:tc>
            </w:tr>
            <w:tr w14:paraId="631D033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31C6E96C">
                  <w:pPr>
                    <w:jc w:val="center"/>
                    <w:rPr>
                      <w:bCs/>
                      <w:sz w:val="22"/>
                      <w:szCs w:val="22"/>
                    </w:rPr>
                  </w:pPr>
                </w:p>
              </w:tc>
              <w:tc>
                <w:tcPr>
                  <w:tcW w:w="1393" w:type="dxa"/>
                  <w:vAlign w:val="center"/>
                </w:tcPr>
                <w:p w14:paraId="7C7B080E">
                  <w:pPr>
                    <w:jc w:val="center"/>
                    <w:rPr>
                      <w:bCs/>
                      <w:sz w:val="22"/>
                      <w:szCs w:val="22"/>
                    </w:rPr>
                  </w:pPr>
                  <w:r>
                    <w:rPr>
                      <w:bCs/>
                      <w:sz w:val="22"/>
                      <w:szCs w:val="22"/>
                    </w:rPr>
                    <w:t>环境空气质量现状调查数据来源</w:t>
                  </w:r>
                </w:p>
              </w:tc>
              <w:tc>
                <w:tcPr>
                  <w:tcW w:w="2267" w:type="dxa"/>
                  <w:gridSpan w:val="5"/>
                  <w:vAlign w:val="center"/>
                </w:tcPr>
                <w:p w14:paraId="1A8E36A1">
                  <w:pPr>
                    <w:jc w:val="center"/>
                    <w:rPr>
                      <w:bCs/>
                      <w:sz w:val="22"/>
                      <w:szCs w:val="22"/>
                    </w:rPr>
                  </w:pPr>
                  <w:r>
                    <w:rPr>
                      <w:bCs/>
                      <w:sz w:val="22"/>
                      <w:szCs w:val="22"/>
                    </w:rPr>
                    <w:t>长期例行监测数据</w:t>
                  </w:r>
                  <w:r>
                    <w:rPr>
                      <w:bCs/>
                      <w:sz w:val="22"/>
                      <w:szCs w:val="22"/>
                    </w:rPr>
                    <w:sym w:font="Wingdings" w:char="00A8"/>
                  </w:r>
                </w:p>
              </w:tc>
              <w:tc>
                <w:tcPr>
                  <w:tcW w:w="3215" w:type="dxa"/>
                  <w:gridSpan w:val="6"/>
                  <w:vAlign w:val="center"/>
                </w:tcPr>
                <w:p w14:paraId="78CAACEF">
                  <w:pPr>
                    <w:jc w:val="center"/>
                    <w:rPr>
                      <w:bCs/>
                      <w:sz w:val="22"/>
                      <w:szCs w:val="22"/>
                    </w:rPr>
                  </w:pPr>
                  <w:r>
                    <w:rPr>
                      <w:bCs/>
                      <w:sz w:val="22"/>
                      <w:szCs w:val="22"/>
                    </w:rPr>
                    <w:t>主管部门发布的数据</w:t>
                  </w:r>
                  <w:r>
                    <w:rPr>
                      <w:bCs/>
                      <w:sz w:val="22"/>
                      <w:szCs w:val="22"/>
                    </w:rPr>
                    <w:sym w:font="Wingdings" w:char="00FE"/>
                  </w:r>
                </w:p>
              </w:tc>
              <w:tc>
                <w:tcPr>
                  <w:tcW w:w="1486" w:type="dxa"/>
                  <w:gridSpan w:val="2"/>
                  <w:vAlign w:val="center"/>
                </w:tcPr>
                <w:p w14:paraId="45488AC8">
                  <w:pPr>
                    <w:jc w:val="center"/>
                    <w:rPr>
                      <w:bCs/>
                      <w:sz w:val="22"/>
                      <w:szCs w:val="22"/>
                    </w:rPr>
                  </w:pPr>
                  <w:r>
                    <w:rPr>
                      <w:bCs/>
                      <w:sz w:val="22"/>
                      <w:szCs w:val="22"/>
                    </w:rPr>
                    <w:t>现状补充监测</w:t>
                  </w:r>
                  <w:r>
                    <w:rPr>
                      <w:bCs/>
                      <w:sz w:val="22"/>
                      <w:szCs w:val="22"/>
                    </w:rPr>
                    <w:sym w:font="Wingdings" w:char="00A8"/>
                  </w:r>
                </w:p>
              </w:tc>
            </w:tr>
            <w:tr w14:paraId="77C9AA8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428E2790">
                  <w:pPr>
                    <w:jc w:val="center"/>
                    <w:rPr>
                      <w:bCs/>
                      <w:sz w:val="22"/>
                      <w:szCs w:val="22"/>
                    </w:rPr>
                  </w:pPr>
                </w:p>
              </w:tc>
              <w:tc>
                <w:tcPr>
                  <w:tcW w:w="1393" w:type="dxa"/>
                  <w:vAlign w:val="center"/>
                </w:tcPr>
                <w:p w14:paraId="4AD2EF61">
                  <w:pPr>
                    <w:jc w:val="center"/>
                    <w:rPr>
                      <w:bCs/>
                      <w:sz w:val="22"/>
                      <w:szCs w:val="22"/>
                    </w:rPr>
                  </w:pPr>
                  <w:r>
                    <w:rPr>
                      <w:bCs/>
                      <w:sz w:val="22"/>
                      <w:szCs w:val="22"/>
                    </w:rPr>
                    <w:t>现状评价</w:t>
                  </w:r>
                </w:p>
              </w:tc>
              <w:tc>
                <w:tcPr>
                  <w:tcW w:w="4307" w:type="dxa"/>
                  <w:gridSpan w:val="8"/>
                  <w:vAlign w:val="center"/>
                </w:tcPr>
                <w:p w14:paraId="2DD8FBE1">
                  <w:pPr>
                    <w:jc w:val="center"/>
                    <w:rPr>
                      <w:bCs/>
                      <w:sz w:val="22"/>
                      <w:szCs w:val="22"/>
                    </w:rPr>
                  </w:pPr>
                  <w:r>
                    <w:rPr>
                      <w:bCs/>
                      <w:sz w:val="22"/>
                      <w:szCs w:val="22"/>
                    </w:rPr>
                    <w:t>达标区</w:t>
                  </w:r>
                  <w:r>
                    <w:rPr>
                      <w:bCs/>
                      <w:sz w:val="22"/>
                      <w:szCs w:val="22"/>
                    </w:rPr>
                    <w:sym w:font="Wingdings" w:char="00FE"/>
                  </w:r>
                </w:p>
              </w:tc>
              <w:tc>
                <w:tcPr>
                  <w:tcW w:w="2661" w:type="dxa"/>
                  <w:gridSpan w:val="5"/>
                  <w:vAlign w:val="center"/>
                </w:tcPr>
                <w:p w14:paraId="7FA2EC3D">
                  <w:pPr>
                    <w:jc w:val="center"/>
                    <w:rPr>
                      <w:bCs/>
                      <w:sz w:val="22"/>
                      <w:szCs w:val="22"/>
                    </w:rPr>
                  </w:pPr>
                  <w:r>
                    <w:rPr>
                      <w:bCs/>
                      <w:sz w:val="22"/>
                      <w:szCs w:val="22"/>
                    </w:rPr>
                    <w:t>不达标区</w:t>
                  </w:r>
                  <w:r>
                    <w:rPr>
                      <w:bCs/>
                      <w:sz w:val="22"/>
                      <w:szCs w:val="22"/>
                    </w:rPr>
                    <w:sym w:font="Wingdings" w:char="00A8"/>
                  </w:r>
                </w:p>
              </w:tc>
            </w:tr>
            <w:tr w14:paraId="5F1B516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Align w:val="center"/>
                </w:tcPr>
                <w:p w14:paraId="43BC8BC3">
                  <w:pPr>
                    <w:jc w:val="center"/>
                    <w:rPr>
                      <w:bCs/>
                      <w:sz w:val="22"/>
                      <w:szCs w:val="22"/>
                    </w:rPr>
                  </w:pPr>
                  <w:r>
                    <w:rPr>
                      <w:bCs/>
                      <w:sz w:val="22"/>
                      <w:szCs w:val="22"/>
                    </w:rPr>
                    <w:t>污染源调查</w:t>
                  </w:r>
                </w:p>
              </w:tc>
              <w:tc>
                <w:tcPr>
                  <w:tcW w:w="1393" w:type="dxa"/>
                  <w:vAlign w:val="center"/>
                </w:tcPr>
                <w:p w14:paraId="05FB674B">
                  <w:pPr>
                    <w:jc w:val="center"/>
                    <w:rPr>
                      <w:bCs/>
                      <w:sz w:val="22"/>
                      <w:szCs w:val="22"/>
                    </w:rPr>
                  </w:pPr>
                  <w:r>
                    <w:rPr>
                      <w:bCs/>
                      <w:sz w:val="22"/>
                      <w:szCs w:val="22"/>
                    </w:rPr>
                    <w:t>调查内容</w:t>
                  </w:r>
                </w:p>
              </w:tc>
              <w:tc>
                <w:tcPr>
                  <w:tcW w:w="2267" w:type="dxa"/>
                  <w:gridSpan w:val="5"/>
                  <w:vAlign w:val="center"/>
                </w:tcPr>
                <w:p w14:paraId="2B39BC00">
                  <w:pPr>
                    <w:jc w:val="center"/>
                    <w:rPr>
                      <w:bCs/>
                      <w:sz w:val="22"/>
                      <w:szCs w:val="22"/>
                    </w:rPr>
                  </w:pPr>
                  <w:r>
                    <w:rPr>
                      <w:bCs/>
                      <w:sz w:val="22"/>
                      <w:szCs w:val="22"/>
                    </w:rPr>
                    <w:t>本项目正常排放源</w:t>
                  </w:r>
                  <w:r>
                    <w:rPr>
                      <w:bCs/>
                      <w:sz w:val="22"/>
                      <w:szCs w:val="22"/>
                    </w:rPr>
                    <w:sym w:font="Wingdings" w:char="00A8"/>
                  </w:r>
                </w:p>
                <w:p w14:paraId="34869D4E">
                  <w:pPr>
                    <w:jc w:val="center"/>
                    <w:rPr>
                      <w:bCs/>
                      <w:sz w:val="22"/>
                      <w:szCs w:val="22"/>
                    </w:rPr>
                  </w:pPr>
                  <w:r>
                    <w:rPr>
                      <w:bCs/>
                      <w:sz w:val="22"/>
                      <w:szCs w:val="22"/>
                    </w:rPr>
                    <w:t>本项目非正常排放源</w:t>
                  </w:r>
                  <w:r>
                    <w:rPr>
                      <w:bCs/>
                      <w:sz w:val="22"/>
                      <w:szCs w:val="22"/>
                    </w:rPr>
                    <w:sym w:font="Wingdings" w:char="00A8"/>
                  </w:r>
                </w:p>
                <w:p w14:paraId="2597FF15">
                  <w:pPr>
                    <w:jc w:val="center"/>
                    <w:rPr>
                      <w:bCs/>
                      <w:sz w:val="22"/>
                      <w:szCs w:val="22"/>
                    </w:rPr>
                  </w:pPr>
                  <w:r>
                    <w:rPr>
                      <w:bCs/>
                      <w:sz w:val="22"/>
                      <w:szCs w:val="22"/>
                    </w:rPr>
                    <w:t>现有污染源</w:t>
                  </w:r>
                  <w:r>
                    <w:rPr>
                      <w:bCs/>
                      <w:sz w:val="22"/>
                      <w:szCs w:val="22"/>
                    </w:rPr>
                    <w:sym w:font="Wingdings" w:char="00A8"/>
                  </w:r>
                </w:p>
              </w:tc>
              <w:tc>
                <w:tcPr>
                  <w:tcW w:w="2040" w:type="dxa"/>
                  <w:gridSpan w:val="3"/>
                  <w:vAlign w:val="center"/>
                </w:tcPr>
                <w:p w14:paraId="51120F5E">
                  <w:pPr>
                    <w:jc w:val="center"/>
                    <w:rPr>
                      <w:bCs/>
                      <w:sz w:val="22"/>
                      <w:szCs w:val="22"/>
                    </w:rPr>
                  </w:pPr>
                  <w:r>
                    <w:rPr>
                      <w:bCs/>
                      <w:sz w:val="22"/>
                      <w:szCs w:val="22"/>
                    </w:rPr>
                    <w:t>拟替代的污染源</w:t>
                  </w:r>
                  <w:r>
                    <w:rPr>
                      <w:bCs/>
                      <w:sz w:val="22"/>
                      <w:szCs w:val="22"/>
                    </w:rPr>
                    <w:sym w:font="Wingdings" w:char="00A8"/>
                  </w:r>
                </w:p>
              </w:tc>
              <w:tc>
                <w:tcPr>
                  <w:tcW w:w="1175" w:type="dxa"/>
                  <w:gridSpan w:val="3"/>
                  <w:vAlign w:val="center"/>
                </w:tcPr>
                <w:p w14:paraId="5580CD13">
                  <w:pPr>
                    <w:jc w:val="center"/>
                    <w:rPr>
                      <w:bCs/>
                      <w:sz w:val="22"/>
                      <w:szCs w:val="22"/>
                    </w:rPr>
                  </w:pPr>
                  <w:r>
                    <w:rPr>
                      <w:bCs/>
                      <w:sz w:val="22"/>
                      <w:szCs w:val="22"/>
                    </w:rPr>
                    <w:t>其他在建、本项目污染源</w:t>
                  </w:r>
                  <w:r>
                    <w:rPr>
                      <w:bCs/>
                      <w:sz w:val="22"/>
                      <w:szCs w:val="22"/>
                    </w:rPr>
                    <w:sym w:font="Wingdings" w:char="00A8"/>
                  </w:r>
                </w:p>
              </w:tc>
              <w:tc>
                <w:tcPr>
                  <w:tcW w:w="1486" w:type="dxa"/>
                  <w:gridSpan w:val="2"/>
                  <w:vAlign w:val="center"/>
                </w:tcPr>
                <w:p w14:paraId="60F408C5">
                  <w:pPr>
                    <w:jc w:val="center"/>
                    <w:rPr>
                      <w:bCs/>
                      <w:sz w:val="22"/>
                      <w:szCs w:val="22"/>
                    </w:rPr>
                  </w:pPr>
                  <w:r>
                    <w:rPr>
                      <w:bCs/>
                      <w:sz w:val="22"/>
                      <w:szCs w:val="22"/>
                    </w:rPr>
                    <w:t>区域污染源</w:t>
                  </w:r>
                  <w:r>
                    <w:rPr>
                      <w:bCs/>
                      <w:sz w:val="22"/>
                      <w:szCs w:val="22"/>
                    </w:rPr>
                    <w:sym w:font="Wingdings" w:char="00A8"/>
                  </w:r>
                </w:p>
              </w:tc>
            </w:tr>
            <w:tr w14:paraId="0A879B4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restart"/>
                  <w:vAlign w:val="center"/>
                </w:tcPr>
                <w:p w14:paraId="05C73A1B">
                  <w:pPr>
                    <w:jc w:val="center"/>
                    <w:rPr>
                      <w:bCs/>
                      <w:sz w:val="22"/>
                      <w:szCs w:val="22"/>
                    </w:rPr>
                  </w:pPr>
                  <w:r>
                    <w:rPr>
                      <w:bCs/>
                      <w:sz w:val="22"/>
                      <w:szCs w:val="22"/>
                    </w:rPr>
                    <w:t>大气环境影响预测与 评价</w:t>
                  </w:r>
                </w:p>
              </w:tc>
              <w:tc>
                <w:tcPr>
                  <w:tcW w:w="5700" w:type="dxa"/>
                  <w:gridSpan w:val="9"/>
                  <w:vAlign w:val="center"/>
                </w:tcPr>
                <w:p w14:paraId="4474420A">
                  <w:pPr>
                    <w:jc w:val="center"/>
                    <w:rPr>
                      <w:bCs/>
                      <w:sz w:val="22"/>
                      <w:szCs w:val="22"/>
                    </w:rPr>
                  </w:pPr>
                  <w:r>
                    <w:rPr>
                      <w:bCs/>
                      <w:sz w:val="22"/>
                      <w:szCs w:val="22"/>
                    </w:rPr>
                    <w:t>是否进行进一步预测与评价</w:t>
                  </w:r>
                </w:p>
              </w:tc>
              <w:tc>
                <w:tcPr>
                  <w:tcW w:w="1175" w:type="dxa"/>
                  <w:gridSpan w:val="3"/>
                  <w:vAlign w:val="center"/>
                </w:tcPr>
                <w:p w14:paraId="27F23C58">
                  <w:pPr>
                    <w:jc w:val="center"/>
                    <w:rPr>
                      <w:bCs/>
                      <w:sz w:val="22"/>
                      <w:szCs w:val="22"/>
                    </w:rPr>
                  </w:pPr>
                  <w:r>
                    <w:rPr>
                      <w:bCs/>
                      <w:sz w:val="22"/>
                      <w:szCs w:val="22"/>
                    </w:rPr>
                    <w:t>是</w:t>
                  </w:r>
                  <w:r>
                    <w:rPr>
                      <w:bCs/>
                      <w:sz w:val="22"/>
                      <w:szCs w:val="22"/>
                    </w:rPr>
                    <w:sym w:font="Wingdings" w:char="00A8"/>
                  </w:r>
                </w:p>
              </w:tc>
              <w:tc>
                <w:tcPr>
                  <w:tcW w:w="1486" w:type="dxa"/>
                  <w:gridSpan w:val="2"/>
                  <w:vAlign w:val="center"/>
                </w:tcPr>
                <w:p w14:paraId="04FD22B4">
                  <w:pPr>
                    <w:jc w:val="center"/>
                    <w:rPr>
                      <w:bCs/>
                      <w:sz w:val="22"/>
                      <w:szCs w:val="22"/>
                    </w:rPr>
                  </w:pPr>
                  <w:r>
                    <w:rPr>
                      <w:bCs/>
                      <w:sz w:val="22"/>
                      <w:szCs w:val="22"/>
                    </w:rPr>
                    <w:t>否</w:t>
                  </w:r>
                  <w:r>
                    <w:rPr>
                      <w:bCs/>
                      <w:sz w:val="22"/>
                      <w:szCs w:val="22"/>
                    </w:rPr>
                    <w:sym w:font="Wingdings" w:char="00FE"/>
                  </w:r>
                </w:p>
              </w:tc>
            </w:tr>
            <w:tr w14:paraId="3A78F38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79799149">
                  <w:pPr>
                    <w:jc w:val="center"/>
                    <w:rPr>
                      <w:bCs/>
                      <w:sz w:val="22"/>
                      <w:szCs w:val="22"/>
                    </w:rPr>
                  </w:pPr>
                </w:p>
              </w:tc>
              <w:tc>
                <w:tcPr>
                  <w:tcW w:w="1393" w:type="dxa"/>
                  <w:vAlign w:val="center"/>
                </w:tcPr>
                <w:p w14:paraId="5EC2FAC4">
                  <w:pPr>
                    <w:jc w:val="center"/>
                    <w:rPr>
                      <w:bCs/>
                      <w:sz w:val="22"/>
                      <w:szCs w:val="22"/>
                    </w:rPr>
                  </w:pPr>
                  <w:r>
                    <w:rPr>
                      <w:bCs/>
                      <w:sz w:val="22"/>
                      <w:szCs w:val="22"/>
                    </w:rPr>
                    <w:t>预测模型</w:t>
                  </w:r>
                </w:p>
              </w:tc>
              <w:tc>
                <w:tcPr>
                  <w:tcW w:w="965" w:type="dxa"/>
                  <w:vAlign w:val="center"/>
                </w:tcPr>
                <w:p w14:paraId="2692E3DD">
                  <w:pPr>
                    <w:jc w:val="center"/>
                    <w:rPr>
                      <w:bCs/>
                      <w:sz w:val="22"/>
                      <w:szCs w:val="22"/>
                    </w:rPr>
                  </w:pPr>
                  <w:r>
                    <w:rPr>
                      <w:bCs/>
                      <w:sz w:val="22"/>
                      <w:szCs w:val="22"/>
                    </w:rPr>
                    <w:t>AERMOD</w:t>
                  </w:r>
                  <w:r>
                    <w:rPr>
                      <w:bCs/>
                      <w:sz w:val="22"/>
                      <w:szCs w:val="22"/>
                    </w:rPr>
                    <w:sym w:font="Wingdings" w:char="00A8"/>
                  </w:r>
                </w:p>
              </w:tc>
              <w:tc>
                <w:tcPr>
                  <w:tcW w:w="879" w:type="dxa"/>
                  <w:gridSpan w:val="3"/>
                  <w:vAlign w:val="center"/>
                </w:tcPr>
                <w:p w14:paraId="3CACE286">
                  <w:pPr>
                    <w:jc w:val="center"/>
                    <w:rPr>
                      <w:bCs/>
                      <w:sz w:val="22"/>
                      <w:szCs w:val="22"/>
                    </w:rPr>
                  </w:pPr>
                  <w:r>
                    <w:rPr>
                      <w:bCs/>
                      <w:sz w:val="22"/>
                      <w:szCs w:val="22"/>
                    </w:rPr>
                    <w:t>ADMS</w:t>
                  </w:r>
                  <w:r>
                    <w:rPr>
                      <w:bCs/>
                      <w:sz w:val="22"/>
                      <w:szCs w:val="22"/>
                    </w:rPr>
                    <w:sym w:font="Wingdings" w:char="00A8"/>
                  </w:r>
                </w:p>
              </w:tc>
              <w:tc>
                <w:tcPr>
                  <w:tcW w:w="1370" w:type="dxa"/>
                  <w:gridSpan w:val="3"/>
                  <w:vAlign w:val="center"/>
                </w:tcPr>
                <w:p w14:paraId="232EC129">
                  <w:pPr>
                    <w:jc w:val="center"/>
                    <w:rPr>
                      <w:bCs/>
                      <w:sz w:val="22"/>
                      <w:szCs w:val="22"/>
                    </w:rPr>
                  </w:pPr>
                  <w:r>
                    <w:rPr>
                      <w:bCs/>
                      <w:sz w:val="22"/>
                      <w:szCs w:val="22"/>
                    </w:rPr>
                    <w:t>AUSTAL2000</w:t>
                  </w:r>
                  <w:r>
                    <w:rPr>
                      <w:bCs/>
                      <w:sz w:val="22"/>
                      <w:szCs w:val="22"/>
                    </w:rPr>
                    <w:sym w:font="Wingdings" w:char="00A8"/>
                  </w:r>
                </w:p>
              </w:tc>
              <w:tc>
                <w:tcPr>
                  <w:tcW w:w="1293" w:type="dxa"/>
                  <w:gridSpan w:val="2"/>
                  <w:vAlign w:val="center"/>
                </w:tcPr>
                <w:p w14:paraId="77F15ACC">
                  <w:pPr>
                    <w:jc w:val="center"/>
                    <w:rPr>
                      <w:bCs/>
                      <w:sz w:val="22"/>
                      <w:szCs w:val="22"/>
                    </w:rPr>
                  </w:pPr>
                  <w:r>
                    <w:rPr>
                      <w:bCs/>
                      <w:sz w:val="22"/>
                      <w:szCs w:val="22"/>
                    </w:rPr>
                    <w:t>EDMS/AEDT</w:t>
                  </w:r>
                  <w:r>
                    <w:rPr>
                      <w:bCs/>
                      <w:sz w:val="22"/>
                      <w:szCs w:val="22"/>
                    </w:rPr>
                    <w:sym w:font="Wingdings" w:char="00A8"/>
                  </w:r>
                </w:p>
              </w:tc>
              <w:tc>
                <w:tcPr>
                  <w:tcW w:w="975" w:type="dxa"/>
                  <w:gridSpan w:val="2"/>
                  <w:vAlign w:val="center"/>
                </w:tcPr>
                <w:p w14:paraId="0B051F2D">
                  <w:pPr>
                    <w:jc w:val="center"/>
                    <w:rPr>
                      <w:bCs/>
                      <w:sz w:val="22"/>
                      <w:szCs w:val="22"/>
                    </w:rPr>
                  </w:pPr>
                  <w:r>
                    <w:rPr>
                      <w:bCs/>
                      <w:sz w:val="22"/>
                      <w:szCs w:val="22"/>
                    </w:rPr>
                    <w:t>CALPUFF</w:t>
                  </w:r>
                  <w:r>
                    <w:rPr>
                      <w:bCs/>
                      <w:sz w:val="22"/>
                      <w:szCs w:val="22"/>
                    </w:rPr>
                    <w:sym w:font="Wingdings" w:char="00A8"/>
                  </w:r>
                </w:p>
              </w:tc>
              <w:tc>
                <w:tcPr>
                  <w:tcW w:w="905" w:type="dxa"/>
                  <w:vAlign w:val="center"/>
                </w:tcPr>
                <w:p w14:paraId="0E33A35A">
                  <w:pPr>
                    <w:jc w:val="center"/>
                    <w:rPr>
                      <w:bCs/>
                      <w:sz w:val="22"/>
                      <w:szCs w:val="22"/>
                    </w:rPr>
                  </w:pPr>
                  <w:r>
                    <w:rPr>
                      <w:bCs/>
                      <w:sz w:val="22"/>
                      <w:szCs w:val="22"/>
                    </w:rPr>
                    <w:t>网格模型□</w:t>
                  </w:r>
                </w:p>
              </w:tc>
              <w:tc>
                <w:tcPr>
                  <w:tcW w:w="581" w:type="dxa"/>
                  <w:vAlign w:val="center"/>
                </w:tcPr>
                <w:p w14:paraId="4DEE720C">
                  <w:pPr>
                    <w:jc w:val="center"/>
                    <w:rPr>
                      <w:bCs/>
                      <w:sz w:val="22"/>
                      <w:szCs w:val="22"/>
                    </w:rPr>
                  </w:pPr>
                  <w:r>
                    <w:rPr>
                      <w:bCs/>
                      <w:sz w:val="22"/>
                      <w:szCs w:val="22"/>
                    </w:rPr>
                    <w:t>其他</w:t>
                  </w:r>
                  <w:r>
                    <w:rPr>
                      <w:bCs/>
                      <w:sz w:val="22"/>
                      <w:szCs w:val="22"/>
                    </w:rPr>
                    <w:sym w:font="Wingdings" w:char="00A8"/>
                  </w:r>
                </w:p>
              </w:tc>
            </w:tr>
            <w:tr w14:paraId="4616E2E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3481CAD9">
                  <w:pPr>
                    <w:jc w:val="center"/>
                    <w:rPr>
                      <w:bCs/>
                      <w:sz w:val="22"/>
                      <w:szCs w:val="22"/>
                    </w:rPr>
                  </w:pPr>
                </w:p>
              </w:tc>
              <w:tc>
                <w:tcPr>
                  <w:tcW w:w="1393" w:type="dxa"/>
                  <w:vAlign w:val="center"/>
                </w:tcPr>
                <w:p w14:paraId="2BD119EC">
                  <w:pPr>
                    <w:jc w:val="center"/>
                    <w:rPr>
                      <w:bCs/>
                      <w:sz w:val="22"/>
                      <w:szCs w:val="22"/>
                    </w:rPr>
                  </w:pPr>
                  <w:r>
                    <w:rPr>
                      <w:bCs/>
                      <w:sz w:val="22"/>
                      <w:szCs w:val="22"/>
                    </w:rPr>
                    <w:t>预测范围</w:t>
                  </w:r>
                </w:p>
              </w:tc>
              <w:tc>
                <w:tcPr>
                  <w:tcW w:w="1844" w:type="dxa"/>
                  <w:gridSpan w:val="4"/>
                  <w:vAlign w:val="center"/>
                </w:tcPr>
                <w:p w14:paraId="0ADE9F7E">
                  <w:pPr>
                    <w:jc w:val="center"/>
                    <w:rPr>
                      <w:bCs/>
                      <w:sz w:val="22"/>
                      <w:szCs w:val="22"/>
                    </w:rPr>
                  </w:pPr>
                  <w:r>
                    <w:rPr>
                      <w:bCs/>
                      <w:sz w:val="22"/>
                      <w:szCs w:val="22"/>
                    </w:rPr>
                    <w:t>边长≥50km</w:t>
                  </w:r>
                  <w:r>
                    <w:rPr>
                      <w:bCs/>
                      <w:sz w:val="22"/>
                      <w:szCs w:val="22"/>
                    </w:rPr>
                    <w:sym w:font="Wingdings" w:char="00A8"/>
                  </w:r>
                </w:p>
              </w:tc>
              <w:tc>
                <w:tcPr>
                  <w:tcW w:w="3638" w:type="dxa"/>
                  <w:gridSpan w:val="7"/>
                  <w:vAlign w:val="center"/>
                </w:tcPr>
                <w:p w14:paraId="60AFA204">
                  <w:pPr>
                    <w:jc w:val="center"/>
                    <w:rPr>
                      <w:bCs/>
                      <w:sz w:val="22"/>
                      <w:szCs w:val="22"/>
                    </w:rPr>
                  </w:pPr>
                  <w:r>
                    <w:rPr>
                      <w:bCs/>
                      <w:sz w:val="22"/>
                      <w:szCs w:val="22"/>
                    </w:rPr>
                    <w:t>边长 5～50km</w:t>
                  </w:r>
                  <w:r>
                    <w:rPr>
                      <w:bCs/>
                      <w:sz w:val="22"/>
                      <w:szCs w:val="22"/>
                    </w:rPr>
                    <w:sym w:font="Wingdings" w:char="00A8"/>
                  </w:r>
                </w:p>
              </w:tc>
              <w:tc>
                <w:tcPr>
                  <w:tcW w:w="1486" w:type="dxa"/>
                  <w:gridSpan w:val="2"/>
                  <w:vAlign w:val="center"/>
                </w:tcPr>
                <w:p w14:paraId="39326EE9">
                  <w:pPr>
                    <w:jc w:val="center"/>
                    <w:rPr>
                      <w:bCs/>
                      <w:sz w:val="22"/>
                      <w:szCs w:val="22"/>
                    </w:rPr>
                  </w:pPr>
                  <w:r>
                    <w:rPr>
                      <w:bCs/>
                      <w:sz w:val="22"/>
                      <w:szCs w:val="22"/>
                    </w:rPr>
                    <w:t>边长= 5km</w:t>
                  </w:r>
                  <w:r>
                    <w:rPr>
                      <w:bCs/>
                      <w:sz w:val="22"/>
                      <w:szCs w:val="22"/>
                    </w:rPr>
                    <w:sym w:font="Wingdings" w:char="00A8"/>
                  </w:r>
                </w:p>
              </w:tc>
            </w:tr>
            <w:tr w14:paraId="02FA3E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4C8A4F02">
                  <w:pPr>
                    <w:jc w:val="center"/>
                    <w:rPr>
                      <w:bCs/>
                      <w:sz w:val="22"/>
                      <w:szCs w:val="22"/>
                    </w:rPr>
                  </w:pPr>
                </w:p>
              </w:tc>
              <w:tc>
                <w:tcPr>
                  <w:tcW w:w="1393" w:type="dxa"/>
                  <w:vMerge w:val="restart"/>
                  <w:vAlign w:val="center"/>
                </w:tcPr>
                <w:p w14:paraId="7992A2C6">
                  <w:pPr>
                    <w:jc w:val="center"/>
                    <w:rPr>
                      <w:bCs/>
                      <w:sz w:val="22"/>
                      <w:szCs w:val="22"/>
                    </w:rPr>
                  </w:pPr>
                  <w:r>
                    <w:rPr>
                      <w:bCs/>
                      <w:sz w:val="22"/>
                      <w:szCs w:val="22"/>
                    </w:rPr>
                    <w:t>预测因子</w:t>
                  </w:r>
                </w:p>
              </w:tc>
              <w:tc>
                <w:tcPr>
                  <w:tcW w:w="4307" w:type="dxa"/>
                  <w:gridSpan w:val="8"/>
                  <w:vMerge w:val="restart"/>
                  <w:vAlign w:val="center"/>
                </w:tcPr>
                <w:p w14:paraId="77BD2C5D">
                  <w:pPr>
                    <w:jc w:val="center"/>
                    <w:rPr>
                      <w:bCs/>
                      <w:sz w:val="22"/>
                      <w:szCs w:val="22"/>
                    </w:rPr>
                  </w:pPr>
                  <w:r>
                    <w:rPr>
                      <w:bCs/>
                      <w:sz w:val="22"/>
                      <w:szCs w:val="22"/>
                    </w:rPr>
                    <w:t>预测因子（）</w:t>
                  </w:r>
                </w:p>
              </w:tc>
              <w:tc>
                <w:tcPr>
                  <w:tcW w:w="2661" w:type="dxa"/>
                  <w:gridSpan w:val="5"/>
                  <w:vAlign w:val="center"/>
                </w:tcPr>
                <w:p w14:paraId="1790D4AD">
                  <w:pPr>
                    <w:jc w:val="center"/>
                    <w:rPr>
                      <w:bCs/>
                      <w:sz w:val="22"/>
                      <w:szCs w:val="22"/>
                    </w:rPr>
                  </w:pPr>
                  <w:r>
                    <w:rPr>
                      <w:bCs/>
                      <w:sz w:val="22"/>
                      <w:szCs w:val="22"/>
                    </w:rPr>
                    <w:t>包括二次PM2.5</w:t>
                  </w:r>
                  <w:r>
                    <w:rPr>
                      <w:bCs/>
                      <w:sz w:val="22"/>
                      <w:szCs w:val="22"/>
                    </w:rPr>
                    <w:sym w:font="Wingdings" w:char="00A8"/>
                  </w:r>
                </w:p>
              </w:tc>
            </w:tr>
            <w:tr w14:paraId="616607E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41FB8D04">
                  <w:pPr>
                    <w:jc w:val="center"/>
                    <w:rPr>
                      <w:bCs/>
                      <w:sz w:val="22"/>
                      <w:szCs w:val="22"/>
                    </w:rPr>
                  </w:pPr>
                </w:p>
              </w:tc>
              <w:tc>
                <w:tcPr>
                  <w:tcW w:w="1393" w:type="dxa"/>
                  <w:vMerge w:val="continue"/>
                  <w:vAlign w:val="center"/>
                </w:tcPr>
                <w:p w14:paraId="72C6D170">
                  <w:pPr>
                    <w:jc w:val="center"/>
                    <w:rPr>
                      <w:bCs/>
                      <w:sz w:val="22"/>
                      <w:szCs w:val="22"/>
                    </w:rPr>
                  </w:pPr>
                </w:p>
              </w:tc>
              <w:tc>
                <w:tcPr>
                  <w:tcW w:w="4307" w:type="dxa"/>
                  <w:gridSpan w:val="8"/>
                  <w:vMerge w:val="continue"/>
                  <w:vAlign w:val="center"/>
                </w:tcPr>
                <w:p w14:paraId="67AEC0FE">
                  <w:pPr>
                    <w:jc w:val="center"/>
                    <w:rPr>
                      <w:bCs/>
                      <w:sz w:val="22"/>
                      <w:szCs w:val="22"/>
                    </w:rPr>
                  </w:pPr>
                </w:p>
              </w:tc>
              <w:tc>
                <w:tcPr>
                  <w:tcW w:w="2661" w:type="dxa"/>
                  <w:gridSpan w:val="5"/>
                  <w:vAlign w:val="center"/>
                </w:tcPr>
                <w:p w14:paraId="7DFE1E5F">
                  <w:pPr>
                    <w:jc w:val="center"/>
                    <w:rPr>
                      <w:bCs/>
                      <w:sz w:val="22"/>
                      <w:szCs w:val="22"/>
                    </w:rPr>
                  </w:pPr>
                  <w:r>
                    <w:rPr>
                      <w:bCs/>
                      <w:sz w:val="22"/>
                      <w:szCs w:val="22"/>
                    </w:rPr>
                    <w:t>不包括二次PM2.5</w:t>
                  </w:r>
                  <w:r>
                    <w:rPr>
                      <w:bCs/>
                      <w:sz w:val="22"/>
                      <w:szCs w:val="22"/>
                    </w:rPr>
                    <w:sym w:font="Wingdings" w:char="00A8"/>
                  </w:r>
                </w:p>
              </w:tc>
            </w:tr>
            <w:tr w14:paraId="0E905EF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3FED0246">
                  <w:pPr>
                    <w:jc w:val="center"/>
                    <w:rPr>
                      <w:bCs/>
                      <w:sz w:val="22"/>
                      <w:szCs w:val="22"/>
                    </w:rPr>
                  </w:pPr>
                </w:p>
              </w:tc>
              <w:tc>
                <w:tcPr>
                  <w:tcW w:w="1393" w:type="dxa"/>
                  <w:vAlign w:val="center"/>
                </w:tcPr>
                <w:p w14:paraId="64CEB338">
                  <w:pPr>
                    <w:jc w:val="center"/>
                    <w:rPr>
                      <w:bCs/>
                      <w:sz w:val="22"/>
                      <w:szCs w:val="22"/>
                    </w:rPr>
                  </w:pPr>
                  <w:r>
                    <w:rPr>
                      <w:bCs/>
                      <w:sz w:val="22"/>
                      <w:szCs w:val="22"/>
                    </w:rPr>
                    <w:t>正常排放短期浓度贡献值</w:t>
                  </w:r>
                </w:p>
              </w:tc>
              <w:tc>
                <w:tcPr>
                  <w:tcW w:w="4307" w:type="dxa"/>
                  <w:gridSpan w:val="8"/>
                  <w:vAlign w:val="center"/>
                </w:tcPr>
                <w:p w14:paraId="2506FD05">
                  <w:pPr>
                    <w:jc w:val="center"/>
                    <w:rPr>
                      <w:bCs/>
                      <w:sz w:val="22"/>
                      <w:szCs w:val="22"/>
                    </w:rPr>
                  </w:pPr>
                  <w:r>
                    <w:rPr>
                      <w:bCs/>
                      <w:i/>
                      <w:sz w:val="22"/>
                      <w:szCs w:val="22"/>
                    </w:rPr>
                    <w:t>C</w:t>
                  </w:r>
                  <w:r>
                    <w:rPr>
                      <w:bCs/>
                      <w:i/>
                      <w:sz w:val="22"/>
                      <w:szCs w:val="22"/>
                      <w:vertAlign w:val="subscript"/>
                    </w:rPr>
                    <w:t>本项目</w:t>
                  </w:r>
                  <w:r>
                    <w:rPr>
                      <w:bCs/>
                      <w:sz w:val="22"/>
                      <w:szCs w:val="22"/>
                    </w:rPr>
                    <w:t>最大占标率≤100%</w:t>
                  </w:r>
                  <w:r>
                    <w:rPr>
                      <w:bCs/>
                      <w:sz w:val="22"/>
                      <w:szCs w:val="22"/>
                    </w:rPr>
                    <w:sym w:font="Wingdings" w:char="00A8"/>
                  </w:r>
                </w:p>
              </w:tc>
              <w:tc>
                <w:tcPr>
                  <w:tcW w:w="2661" w:type="dxa"/>
                  <w:gridSpan w:val="5"/>
                  <w:vAlign w:val="center"/>
                </w:tcPr>
                <w:p w14:paraId="001E6DDF">
                  <w:pPr>
                    <w:jc w:val="center"/>
                    <w:rPr>
                      <w:bCs/>
                      <w:sz w:val="22"/>
                      <w:szCs w:val="22"/>
                    </w:rPr>
                  </w:pPr>
                  <w:r>
                    <w:rPr>
                      <w:bCs/>
                      <w:i/>
                      <w:sz w:val="22"/>
                      <w:szCs w:val="22"/>
                    </w:rPr>
                    <w:t>C</w:t>
                  </w:r>
                  <w:r>
                    <w:rPr>
                      <w:bCs/>
                      <w:i/>
                      <w:sz w:val="22"/>
                      <w:szCs w:val="22"/>
                      <w:vertAlign w:val="subscript"/>
                    </w:rPr>
                    <w:t>本项目</w:t>
                  </w:r>
                  <w:r>
                    <w:rPr>
                      <w:bCs/>
                      <w:sz w:val="22"/>
                      <w:szCs w:val="22"/>
                    </w:rPr>
                    <w:t>最大占标率＞100%</w:t>
                  </w:r>
                  <w:r>
                    <w:rPr>
                      <w:bCs/>
                      <w:sz w:val="22"/>
                      <w:szCs w:val="22"/>
                    </w:rPr>
                    <w:sym w:font="Wingdings" w:char="00A8"/>
                  </w:r>
                </w:p>
              </w:tc>
            </w:tr>
            <w:tr w14:paraId="5725EF6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49170F22">
                  <w:pPr>
                    <w:jc w:val="center"/>
                    <w:rPr>
                      <w:bCs/>
                      <w:sz w:val="22"/>
                      <w:szCs w:val="22"/>
                    </w:rPr>
                  </w:pPr>
                </w:p>
              </w:tc>
              <w:tc>
                <w:tcPr>
                  <w:tcW w:w="1393" w:type="dxa"/>
                  <w:vMerge w:val="restart"/>
                  <w:vAlign w:val="center"/>
                </w:tcPr>
                <w:p w14:paraId="6BADB047">
                  <w:pPr>
                    <w:jc w:val="center"/>
                    <w:rPr>
                      <w:bCs/>
                      <w:sz w:val="22"/>
                      <w:szCs w:val="22"/>
                    </w:rPr>
                  </w:pPr>
                  <w:r>
                    <w:rPr>
                      <w:bCs/>
                      <w:sz w:val="22"/>
                      <w:szCs w:val="22"/>
                    </w:rPr>
                    <w:t>正常排放年均浓度贡献值</w:t>
                  </w:r>
                </w:p>
              </w:tc>
              <w:tc>
                <w:tcPr>
                  <w:tcW w:w="1243" w:type="dxa"/>
                  <w:gridSpan w:val="2"/>
                  <w:vAlign w:val="center"/>
                </w:tcPr>
                <w:p w14:paraId="405738C1">
                  <w:pPr>
                    <w:jc w:val="center"/>
                    <w:rPr>
                      <w:bCs/>
                      <w:sz w:val="22"/>
                      <w:szCs w:val="22"/>
                    </w:rPr>
                  </w:pPr>
                  <w:r>
                    <w:rPr>
                      <w:bCs/>
                      <w:sz w:val="22"/>
                      <w:szCs w:val="22"/>
                    </w:rPr>
                    <w:t>一类区</w:t>
                  </w:r>
                </w:p>
              </w:tc>
              <w:tc>
                <w:tcPr>
                  <w:tcW w:w="3064" w:type="dxa"/>
                  <w:gridSpan w:val="6"/>
                  <w:vAlign w:val="center"/>
                </w:tcPr>
                <w:p w14:paraId="6AA70535">
                  <w:pPr>
                    <w:jc w:val="center"/>
                    <w:rPr>
                      <w:bCs/>
                      <w:sz w:val="22"/>
                      <w:szCs w:val="22"/>
                    </w:rPr>
                  </w:pPr>
                  <w:r>
                    <w:rPr>
                      <w:bCs/>
                      <w:i/>
                      <w:sz w:val="22"/>
                      <w:szCs w:val="22"/>
                    </w:rPr>
                    <w:t>C</w:t>
                  </w:r>
                  <w:r>
                    <w:rPr>
                      <w:bCs/>
                      <w:i/>
                      <w:sz w:val="22"/>
                      <w:szCs w:val="22"/>
                      <w:vertAlign w:val="subscript"/>
                    </w:rPr>
                    <w:t>本项目</w:t>
                  </w:r>
                  <w:r>
                    <w:rPr>
                      <w:bCs/>
                      <w:sz w:val="22"/>
                      <w:szCs w:val="22"/>
                    </w:rPr>
                    <w:t>本项目最大占标率≤10%</w:t>
                  </w:r>
                  <w:r>
                    <w:rPr>
                      <w:bCs/>
                      <w:sz w:val="22"/>
                      <w:szCs w:val="22"/>
                    </w:rPr>
                    <w:sym w:font="Wingdings" w:char="00A8"/>
                  </w:r>
                </w:p>
              </w:tc>
              <w:tc>
                <w:tcPr>
                  <w:tcW w:w="2661" w:type="dxa"/>
                  <w:gridSpan w:val="5"/>
                  <w:vAlign w:val="center"/>
                </w:tcPr>
                <w:p w14:paraId="7DB0C5CA">
                  <w:pPr>
                    <w:jc w:val="center"/>
                    <w:rPr>
                      <w:bCs/>
                      <w:sz w:val="22"/>
                      <w:szCs w:val="22"/>
                    </w:rPr>
                  </w:pPr>
                  <w:r>
                    <w:rPr>
                      <w:bCs/>
                      <w:i/>
                      <w:sz w:val="22"/>
                      <w:szCs w:val="22"/>
                    </w:rPr>
                    <w:t>C</w:t>
                  </w:r>
                  <w:r>
                    <w:rPr>
                      <w:bCs/>
                      <w:i/>
                      <w:sz w:val="22"/>
                      <w:szCs w:val="22"/>
                      <w:vertAlign w:val="subscript"/>
                    </w:rPr>
                    <w:t>本项目</w:t>
                  </w:r>
                  <w:r>
                    <w:rPr>
                      <w:bCs/>
                      <w:sz w:val="22"/>
                      <w:szCs w:val="22"/>
                    </w:rPr>
                    <w:t>本项目最大标率＞10%</w:t>
                  </w:r>
                  <w:r>
                    <w:rPr>
                      <w:bCs/>
                      <w:sz w:val="22"/>
                      <w:szCs w:val="22"/>
                    </w:rPr>
                    <w:sym w:font="Wingdings" w:char="00A8"/>
                  </w:r>
                </w:p>
              </w:tc>
            </w:tr>
            <w:tr w14:paraId="10EEB4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3A0D1AA5">
                  <w:pPr>
                    <w:jc w:val="center"/>
                    <w:rPr>
                      <w:bCs/>
                      <w:sz w:val="22"/>
                      <w:szCs w:val="22"/>
                    </w:rPr>
                  </w:pPr>
                </w:p>
              </w:tc>
              <w:tc>
                <w:tcPr>
                  <w:tcW w:w="1393" w:type="dxa"/>
                  <w:vMerge w:val="continue"/>
                  <w:vAlign w:val="center"/>
                </w:tcPr>
                <w:p w14:paraId="37A7096A">
                  <w:pPr>
                    <w:jc w:val="center"/>
                    <w:rPr>
                      <w:bCs/>
                      <w:sz w:val="22"/>
                      <w:szCs w:val="22"/>
                    </w:rPr>
                  </w:pPr>
                </w:p>
              </w:tc>
              <w:tc>
                <w:tcPr>
                  <w:tcW w:w="1243" w:type="dxa"/>
                  <w:gridSpan w:val="2"/>
                  <w:vAlign w:val="center"/>
                </w:tcPr>
                <w:p w14:paraId="18D61687">
                  <w:pPr>
                    <w:jc w:val="center"/>
                    <w:rPr>
                      <w:bCs/>
                      <w:sz w:val="22"/>
                      <w:szCs w:val="22"/>
                    </w:rPr>
                  </w:pPr>
                  <w:r>
                    <w:rPr>
                      <w:bCs/>
                      <w:sz w:val="22"/>
                      <w:szCs w:val="22"/>
                    </w:rPr>
                    <w:t>二类区</w:t>
                  </w:r>
                </w:p>
              </w:tc>
              <w:tc>
                <w:tcPr>
                  <w:tcW w:w="3064" w:type="dxa"/>
                  <w:gridSpan w:val="6"/>
                  <w:vAlign w:val="center"/>
                </w:tcPr>
                <w:p w14:paraId="0525B963">
                  <w:pPr>
                    <w:jc w:val="center"/>
                    <w:rPr>
                      <w:bCs/>
                      <w:sz w:val="22"/>
                      <w:szCs w:val="22"/>
                    </w:rPr>
                  </w:pPr>
                  <w:r>
                    <w:rPr>
                      <w:bCs/>
                      <w:i/>
                      <w:sz w:val="22"/>
                      <w:szCs w:val="22"/>
                    </w:rPr>
                    <w:t>C</w:t>
                  </w:r>
                  <w:r>
                    <w:rPr>
                      <w:bCs/>
                      <w:i/>
                      <w:sz w:val="22"/>
                      <w:szCs w:val="22"/>
                      <w:vertAlign w:val="subscript"/>
                    </w:rPr>
                    <w:t>本项目</w:t>
                  </w:r>
                  <w:r>
                    <w:rPr>
                      <w:bCs/>
                      <w:sz w:val="22"/>
                      <w:szCs w:val="22"/>
                    </w:rPr>
                    <w:t>最大占标率≤30%</w:t>
                  </w:r>
                  <w:r>
                    <w:rPr>
                      <w:bCs/>
                      <w:sz w:val="22"/>
                      <w:szCs w:val="22"/>
                    </w:rPr>
                    <w:sym w:font="Wingdings" w:char="00A8"/>
                  </w:r>
                </w:p>
              </w:tc>
              <w:tc>
                <w:tcPr>
                  <w:tcW w:w="2661" w:type="dxa"/>
                  <w:gridSpan w:val="5"/>
                  <w:vAlign w:val="center"/>
                </w:tcPr>
                <w:p w14:paraId="3A0ABE28">
                  <w:pPr>
                    <w:jc w:val="center"/>
                    <w:rPr>
                      <w:bCs/>
                      <w:sz w:val="22"/>
                      <w:szCs w:val="22"/>
                    </w:rPr>
                  </w:pPr>
                  <w:r>
                    <w:rPr>
                      <w:bCs/>
                      <w:i/>
                      <w:sz w:val="22"/>
                      <w:szCs w:val="22"/>
                    </w:rPr>
                    <w:t>C</w:t>
                  </w:r>
                  <w:r>
                    <w:rPr>
                      <w:bCs/>
                      <w:i/>
                      <w:sz w:val="22"/>
                      <w:szCs w:val="22"/>
                      <w:vertAlign w:val="subscript"/>
                    </w:rPr>
                    <w:t>本项目</w:t>
                  </w:r>
                  <w:r>
                    <w:rPr>
                      <w:bCs/>
                      <w:sz w:val="22"/>
                      <w:szCs w:val="22"/>
                    </w:rPr>
                    <w:t>最大标率＞30%</w:t>
                  </w:r>
                  <w:r>
                    <w:rPr>
                      <w:bCs/>
                      <w:sz w:val="22"/>
                      <w:szCs w:val="22"/>
                    </w:rPr>
                    <w:sym w:font="Wingdings" w:char="00A8"/>
                  </w:r>
                </w:p>
              </w:tc>
            </w:tr>
            <w:tr w14:paraId="3A64DF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59338233">
                  <w:pPr>
                    <w:jc w:val="center"/>
                    <w:rPr>
                      <w:bCs/>
                      <w:sz w:val="22"/>
                      <w:szCs w:val="22"/>
                    </w:rPr>
                  </w:pPr>
                </w:p>
              </w:tc>
              <w:tc>
                <w:tcPr>
                  <w:tcW w:w="1393" w:type="dxa"/>
                  <w:vMerge w:val="restart"/>
                  <w:vAlign w:val="center"/>
                </w:tcPr>
                <w:p w14:paraId="26411B87">
                  <w:pPr>
                    <w:jc w:val="center"/>
                    <w:rPr>
                      <w:bCs/>
                      <w:sz w:val="22"/>
                      <w:szCs w:val="22"/>
                    </w:rPr>
                  </w:pPr>
                  <w:r>
                    <w:rPr>
                      <w:bCs/>
                      <w:sz w:val="22"/>
                      <w:szCs w:val="22"/>
                    </w:rPr>
                    <w:t>非正常排放 1h浓度贡献值</w:t>
                  </w:r>
                </w:p>
              </w:tc>
              <w:tc>
                <w:tcPr>
                  <w:tcW w:w="1243" w:type="dxa"/>
                  <w:gridSpan w:val="2"/>
                  <w:vAlign w:val="center"/>
                </w:tcPr>
                <w:p w14:paraId="225A3174">
                  <w:pPr>
                    <w:jc w:val="center"/>
                    <w:rPr>
                      <w:bCs/>
                      <w:sz w:val="22"/>
                      <w:szCs w:val="22"/>
                    </w:rPr>
                  </w:pPr>
                  <w:r>
                    <w:rPr>
                      <w:bCs/>
                      <w:sz w:val="22"/>
                      <w:szCs w:val="22"/>
                    </w:rPr>
                    <w:t>非正常持续时长</w:t>
                  </w:r>
                </w:p>
              </w:tc>
              <w:tc>
                <w:tcPr>
                  <w:tcW w:w="3064" w:type="dxa"/>
                  <w:gridSpan w:val="6"/>
                  <w:vMerge w:val="restart"/>
                  <w:vAlign w:val="center"/>
                </w:tcPr>
                <w:p w14:paraId="3AF1DAAE">
                  <w:pPr>
                    <w:jc w:val="center"/>
                    <w:rPr>
                      <w:bCs/>
                      <w:sz w:val="22"/>
                      <w:szCs w:val="22"/>
                    </w:rPr>
                  </w:pPr>
                  <w:r>
                    <w:rPr>
                      <w:bCs/>
                      <w:i/>
                      <w:sz w:val="22"/>
                      <w:szCs w:val="22"/>
                    </w:rPr>
                    <w:t>C</w:t>
                  </w:r>
                  <w:r>
                    <w:rPr>
                      <w:bCs/>
                      <w:i/>
                      <w:sz w:val="22"/>
                      <w:szCs w:val="22"/>
                      <w:vertAlign w:val="subscript"/>
                    </w:rPr>
                    <w:t>本项目</w:t>
                  </w:r>
                  <w:r>
                    <w:rPr>
                      <w:bCs/>
                      <w:sz w:val="22"/>
                      <w:szCs w:val="22"/>
                    </w:rPr>
                    <w:t xml:space="preserve">占标率≤100% </w:t>
                  </w:r>
                  <w:r>
                    <w:rPr>
                      <w:bCs/>
                      <w:sz w:val="22"/>
                      <w:szCs w:val="22"/>
                    </w:rPr>
                    <w:sym w:font="Wingdings" w:char="00A8"/>
                  </w:r>
                </w:p>
              </w:tc>
              <w:tc>
                <w:tcPr>
                  <w:tcW w:w="2661" w:type="dxa"/>
                  <w:gridSpan w:val="5"/>
                  <w:vMerge w:val="restart"/>
                  <w:vAlign w:val="center"/>
                </w:tcPr>
                <w:p w14:paraId="665E77E2">
                  <w:pPr>
                    <w:jc w:val="center"/>
                    <w:rPr>
                      <w:bCs/>
                      <w:sz w:val="22"/>
                      <w:szCs w:val="22"/>
                    </w:rPr>
                  </w:pPr>
                  <w:r>
                    <w:rPr>
                      <w:bCs/>
                      <w:i/>
                      <w:sz w:val="22"/>
                      <w:szCs w:val="22"/>
                    </w:rPr>
                    <w:t>C</w:t>
                  </w:r>
                  <w:r>
                    <w:rPr>
                      <w:bCs/>
                      <w:i/>
                      <w:sz w:val="22"/>
                      <w:szCs w:val="22"/>
                      <w:vertAlign w:val="subscript"/>
                    </w:rPr>
                    <w:t>本项目</w:t>
                  </w:r>
                  <w:r>
                    <w:rPr>
                      <w:bCs/>
                      <w:sz w:val="22"/>
                      <w:szCs w:val="22"/>
                    </w:rPr>
                    <w:t>占标率＞100%</w:t>
                  </w:r>
                  <w:r>
                    <w:rPr>
                      <w:bCs/>
                      <w:sz w:val="22"/>
                      <w:szCs w:val="22"/>
                    </w:rPr>
                    <w:sym w:font="Wingdings" w:char="00A8"/>
                  </w:r>
                </w:p>
              </w:tc>
            </w:tr>
            <w:tr w14:paraId="71E26B3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3393E300">
                  <w:pPr>
                    <w:jc w:val="center"/>
                    <w:rPr>
                      <w:bCs/>
                      <w:sz w:val="22"/>
                      <w:szCs w:val="22"/>
                    </w:rPr>
                  </w:pPr>
                </w:p>
              </w:tc>
              <w:tc>
                <w:tcPr>
                  <w:tcW w:w="1393" w:type="dxa"/>
                  <w:vMerge w:val="continue"/>
                  <w:vAlign w:val="center"/>
                </w:tcPr>
                <w:p w14:paraId="19B4DE12">
                  <w:pPr>
                    <w:jc w:val="center"/>
                    <w:rPr>
                      <w:bCs/>
                      <w:sz w:val="22"/>
                      <w:szCs w:val="22"/>
                    </w:rPr>
                  </w:pPr>
                </w:p>
              </w:tc>
              <w:tc>
                <w:tcPr>
                  <w:tcW w:w="1243" w:type="dxa"/>
                  <w:gridSpan w:val="2"/>
                  <w:vAlign w:val="center"/>
                </w:tcPr>
                <w:p w14:paraId="1D3F51D0">
                  <w:pPr>
                    <w:jc w:val="center"/>
                    <w:rPr>
                      <w:bCs/>
                      <w:sz w:val="22"/>
                      <w:szCs w:val="22"/>
                    </w:rPr>
                  </w:pPr>
                  <w:r>
                    <w:rPr>
                      <w:bCs/>
                      <w:sz w:val="22"/>
                      <w:szCs w:val="22"/>
                    </w:rPr>
                    <w:t>（  ）h</w:t>
                  </w:r>
                </w:p>
              </w:tc>
              <w:tc>
                <w:tcPr>
                  <w:tcW w:w="3064" w:type="dxa"/>
                  <w:gridSpan w:val="6"/>
                  <w:vMerge w:val="continue"/>
                  <w:vAlign w:val="center"/>
                </w:tcPr>
                <w:p w14:paraId="72924407">
                  <w:pPr>
                    <w:jc w:val="center"/>
                    <w:rPr>
                      <w:bCs/>
                      <w:sz w:val="22"/>
                      <w:szCs w:val="22"/>
                    </w:rPr>
                  </w:pPr>
                </w:p>
              </w:tc>
              <w:tc>
                <w:tcPr>
                  <w:tcW w:w="2661" w:type="dxa"/>
                  <w:gridSpan w:val="5"/>
                  <w:vMerge w:val="continue"/>
                  <w:vAlign w:val="center"/>
                </w:tcPr>
                <w:p w14:paraId="0AF53AB8">
                  <w:pPr>
                    <w:jc w:val="center"/>
                    <w:rPr>
                      <w:bCs/>
                      <w:sz w:val="22"/>
                      <w:szCs w:val="22"/>
                    </w:rPr>
                  </w:pPr>
                </w:p>
              </w:tc>
            </w:tr>
            <w:tr w14:paraId="15F50E0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6A8DC8C0">
                  <w:pPr>
                    <w:jc w:val="center"/>
                    <w:rPr>
                      <w:bCs/>
                      <w:sz w:val="22"/>
                      <w:szCs w:val="22"/>
                    </w:rPr>
                  </w:pPr>
                </w:p>
              </w:tc>
              <w:tc>
                <w:tcPr>
                  <w:tcW w:w="1393" w:type="dxa"/>
                  <w:vAlign w:val="center"/>
                </w:tcPr>
                <w:p w14:paraId="1EA79433">
                  <w:pPr>
                    <w:jc w:val="center"/>
                    <w:rPr>
                      <w:bCs/>
                      <w:sz w:val="22"/>
                      <w:szCs w:val="22"/>
                    </w:rPr>
                  </w:pPr>
                  <w:r>
                    <w:rPr>
                      <w:bCs/>
                      <w:sz w:val="22"/>
                      <w:szCs w:val="22"/>
                    </w:rPr>
                    <w:t>保证率日平均浓度和年平均浓度叠加值</w:t>
                  </w:r>
                </w:p>
              </w:tc>
              <w:tc>
                <w:tcPr>
                  <w:tcW w:w="3214" w:type="dxa"/>
                  <w:gridSpan w:val="7"/>
                  <w:vAlign w:val="center"/>
                </w:tcPr>
                <w:p w14:paraId="556C7D4D">
                  <w:pPr>
                    <w:jc w:val="center"/>
                    <w:rPr>
                      <w:bCs/>
                      <w:sz w:val="22"/>
                      <w:szCs w:val="22"/>
                    </w:rPr>
                  </w:pPr>
                  <w:r>
                    <w:rPr>
                      <w:bCs/>
                      <w:i/>
                      <w:sz w:val="22"/>
                      <w:szCs w:val="22"/>
                    </w:rPr>
                    <w:t>C</w:t>
                  </w:r>
                  <w:r>
                    <w:rPr>
                      <w:bCs/>
                      <w:i/>
                      <w:sz w:val="22"/>
                      <w:szCs w:val="22"/>
                      <w:vertAlign w:val="subscript"/>
                    </w:rPr>
                    <w:t>本项目</w:t>
                  </w:r>
                  <w:r>
                    <w:rPr>
                      <w:bCs/>
                      <w:sz w:val="22"/>
                      <w:szCs w:val="22"/>
                    </w:rPr>
                    <w:t>达标</w:t>
                  </w:r>
                  <w:r>
                    <w:rPr>
                      <w:bCs/>
                      <w:sz w:val="22"/>
                      <w:szCs w:val="22"/>
                    </w:rPr>
                    <w:sym w:font="Wingdings" w:char="00A8"/>
                  </w:r>
                </w:p>
              </w:tc>
              <w:tc>
                <w:tcPr>
                  <w:tcW w:w="3754" w:type="dxa"/>
                  <w:gridSpan w:val="6"/>
                  <w:vAlign w:val="center"/>
                </w:tcPr>
                <w:p w14:paraId="2B2689B7">
                  <w:pPr>
                    <w:jc w:val="center"/>
                    <w:rPr>
                      <w:bCs/>
                      <w:sz w:val="22"/>
                      <w:szCs w:val="22"/>
                    </w:rPr>
                  </w:pPr>
                  <w:r>
                    <w:rPr>
                      <w:bCs/>
                      <w:i/>
                      <w:sz w:val="22"/>
                      <w:szCs w:val="22"/>
                    </w:rPr>
                    <w:t>C</w:t>
                  </w:r>
                  <w:r>
                    <w:rPr>
                      <w:bCs/>
                      <w:i/>
                      <w:sz w:val="22"/>
                      <w:szCs w:val="22"/>
                      <w:vertAlign w:val="subscript"/>
                    </w:rPr>
                    <w:t>本项目</w:t>
                  </w:r>
                  <w:r>
                    <w:rPr>
                      <w:bCs/>
                      <w:sz w:val="22"/>
                      <w:szCs w:val="22"/>
                    </w:rPr>
                    <w:t>不达标</w:t>
                  </w:r>
                  <w:r>
                    <w:rPr>
                      <w:bCs/>
                      <w:sz w:val="22"/>
                      <w:szCs w:val="22"/>
                    </w:rPr>
                    <w:sym w:font="Wingdings" w:char="00A8"/>
                  </w:r>
                </w:p>
              </w:tc>
            </w:tr>
            <w:tr w14:paraId="7D06556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26392BAF">
                  <w:pPr>
                    <w:jc w:val="center"/>
                    <w:rPr>
                      <w:bCs/>
                      <w:sz w:val="22"/>
                      <w:szCs w:val="22"/>
                    </w:rPr>
                  </w:pPr>
                </w:p>
              </w:tc>
              <w:tc>
                <w:tcPr>
                  <w:tcW w:w="1393" w:type="dxa"/>
                  <w:vAlign w:val="center"/>
                </w:tcPr>
                <w:p w14:paraId="3FC9D451">
                  <w:pPr>
                    <w:jc w:val="center"/>
                    <w:rPr>
                      <w:bCs/>
                      <w:sz w:val="22"/>
                      <w:szCs w:val="22"/>
                    </w:rPr>
                  </w:pPr>
                  <w:r>
                    <w:rPr>
                      <w:bCs/>
                      <w:sz w:val="22"/>
                      <w:szCs w:val="22"/>
                    </w:rPr>
                    <w:t>区域环境质量的整体变化情况</w:t>
                  </w:r>
                </w:p>
              </w:tc>
              <w:tc>
                <w:tcPr>
                  <w:tcW w:w="3214" w:type="dxa"/>
                  <w:gridSpan w:val="7"/>
                  <w:vAlign w:val="center"/>
                </w:tcPr>
                <w:p w14:paraId="6839B215">
                  <w:pPr>
                    <w:jc w:val="center"/>
                    <w:rPr>
                      <w:bCs/>
                      <w:sz w:val="22"/>
                      <w:szCs w:val="22"/>
                    </w:rPr>
                  </w:pPr>
                  <w:r>
                    <w:rPr>
                      <w:bCs/>
                      <w:sz w:val="22"/>
                      <w:szCs w:val="22"/>
                    </w:rPr>
                    <w:t>k≤-20%</w:t>
                  </w:r>
                  <w:r>
                    <w:rPr>
                      <w:bCs/>
                      <w:sz w:val="22"/>
                      <w:szCs w:val="22"/>
                    </w:rPr>
                    <w:sym w:font="Wingdings" w:char="00A8"/>
                  </w:r>
                </w:p>
              </w:tc>
              <w:tc>
                <w:tcPr>
                  <w:tcW w:w="3754" w:type="dxa"/>
                  <w:gridSpan w:val="6"/>
                  <w:vAlign w:val="center"/>
                </w:tcPr>
                <w:p w14:paraId="1F124CA3">
                  <w:pPr>
                    <w:jc w:val="center"/>
                    <w:rPr>
                      <w:bCs/>
                      <w:sz w:val="22"/>
                      <w:szCs w:val="22"/>
                    </w:rPr>
                  </w:pPr>
                  <w:r>
                    <w:rPr>
                      <w:bCs/>
                      <w:sz w:val="22"/>
                      <w:szCs w:val="22"/>
                    </w:rPr>
                    <w:t>k＞-20%</w:t>
                  </w:r>
                  <w:r>
                    <w:rPr>
                      <w:bCs/>
                      <w:sz w:val="22"/>
                      <w:szCs w:val="22"/>
                    </w:rPr>
                    <w:sym w:font="Wingdings" w:char="00A8"/>
                  </w:r>
                </w:p>
              </w:tc>
            </w:tr>
            <w:tr w14:paraId="1BE7115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restart"/>
                  <w:vAlign w:val="center"/>
                </w:tcPr>
                <w:p w14:paraId="3540D91E">
                  <w:pPr>
                    <w:jc w:val="center"/>
                    <w:rPr>
                      <w:bCs/>
                      <w:sz w:val="22"/>
                      <w:szCs w:val="22"/>
                    </w:rPr>
                  </w:pPr>
                  <w:r>
                    <w:rPr>
                      <w:bCs/>
                      <w:sz w:val="22"/>
                      <w:szCs w:val="22"/>
                    </w:rPr>
                    <w:t>环境监测计划</w:t>
                  </w:r>
                </w:p>
              </w:tc>
              <w:tc>
                <w:tcPr>
                  <w:tcW w:w="1393" w:type="dxa"/>
                  <w:vMerge w:val="restart"/>
                  <w:vAlign w:val="center"/>
                </w:tcPr>
                <w:p w14:paraId="25879855">
                  <w:pPr>
                    <w:jc w:val="center"/>
                    <w:rPr>
                      <w:bCs/>
                      <w:sz w:val="22"/>
                      <w:szCs w:val="22"/>
                    </w:rPr>
                  </w:pPr>
                  <w:r>
                    <w:rPr>
                      <w:bCs/>
                      <w:sz w:val="22"/>
                      <w:szCs w:val="22"/>
                    </w:rPr>
                    <w:t>污染源监测</w:t>
                  </w:r>
                </w:p>
              </w:tc>
              <w:tc>
                <w:tcPr>
                  <w:tcW w:w="2267" w:type="dxa"/>
                  <w:gridSpan w:val="5"/>
                  <w:vMerge w:val="restart"/>
                  <w:vAlign w:val="center"/>
                </w:tcPr>
                <w:p w14:paraId="407E83F7">
                  <w:pPr>
                    <w:jc w:val="center"/>
                    <w:rPr>
                      <w:bCs/>
                      <w:sz w:val="22"/>
                      <w:szCs w:val="22"/>
                    </w:rPr>
                  </w:pPr>
                  <w:r>
                    <w:rPr>
                      <w:bCs/>
                      <w:sz w:val="22"/>
                      <w:szCs w:val="22"/>
                    </w:rPr>
                    <w:t>监测因子：（VOCs</w:t>
                  </w:r>
                  <w:r>
                    <w:rPr>
                      <w:rFonts w:hint="eastAsia"/>
                      <w:bCs/>
                      <w:sz w:val="22"/>
                      <w:szCs w:val="22"/>
                    </w:rPr>
                    <w:t>、二甲苯、TSP</w:t>
                  </w:r>
                  <w:r>
                    <w:rPr>
                      <w:bCs/>
                      <w:sz w:val="22"/>
                      <w:szCs w:val="22"/>
                    </w:rPr>
                    <w:t>）</w:t>
                  </w:r>
                </w:p>
              </w:tc>
              <w:tc>
                <w:tcPr>
                  <w:tcW w:w="3215" w:type="dxa"/>
                  <w:gridSpan w:val="6"/>
                  <w:vAlign w:val="center"/>
                </w:tcPr>
                <w:p w14:paraId="622E033A">
                  <w:pPr>
                    <w:jc w:val="center"/>
                    <w:rPr>
                      <w:bCs/>
                      <w:sz w:val="22"/>
                      <w:szCs w:val="22"/>
                    </w:rPr>
                  </w:pPr>
                  <w:r>
                    <w:rPr>
                      <w:bCs/>
                      <w:sz w:val="22"/>
                      <w:szCs w:val="22"/>
                    </w:rPr>
                    <w:t>有组织废气监测</w:t>
                  </w:r>
                  <w:r>
                    <w:rPr>
                      <w:bCs/>
                      <w:sz w:val="22"/>
                      <w:szCs w:val="22"/>
                    </w:rPr>
                    <w:sym w:font="Wingdings" w:char="00FE"/>
                  </w:r>
                </w:p>
              </w:tc>
              <w:tc>
                <w:tcPr>
                  <w:tcW w:w="1486" w:type="dxa"/>
                  <w:gridSpan w:val="2"/>
                  <w:vMerge w:val="restart"/>
                  <w:vAlign w:val="center"/>
                </w:tcPr>
                <w:p w14:paraId="1246B234">
                  <w:pPr>
                    <w:jc w:val="center"/>
                    <w:rPr>
                      <w:bCs/>
                      <w:sz w:val="22"/>
                      <w:szCs w:val="22"/>
                    </w:rPr>
                  </w:pPr>
                  <w:r>
                    <w:rPr>
                      <w:bCs/>
                      <w:sz w:val="22"/>
                      <w:szCs w:val="22"/>
                    </w:rPr>
                    <w:t>无监测</w:t>
                  </w:r>
                  <w:r>
                    <w:rPr>
                      <w:bCs/>
                      <w:sz w:val="22"/>
                      <w:szCs w:val="22"/>
                    </w:rPr>
                    <w:sym w:font="Wingdings" w:char="00A8"/>
                  </w:r>
                </w:p>
              </w:tc>
            </w:tr>
            <w:tr w14:paraId="40DF160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31FBAC60">
                  <w:pPr>
                    <w:jc w:val="center"/>
                    <w:rPr>
                      <w:bCs/>
                      <w:sz w:val="22"/>
                      <w:szCs w:val="22"/>
                    </w:rPr>
                  </w:pPr>
                </w:p>
              </w:tc>
              <w:tc>
                <w:tcPr>
                  <w:tcW w:w="1393" w:type="dxa"/>
                  <w:vMerge w:val="continue"/>
                  <w:vAlign w:val="center"/>
                </w:tcPr>
                <w:p w14:paraId="6C5DB66A">
                  <w:pPr>
                    <w:jc w:val="center"/>
                    <w:rPr>
                      <w:bCs/>
                      <w:sz w:val="22"/>
                      <w:szCs w:val="22"/>
                    </w:rPr>
                  </w:pPr>
                </w:p>
              </w:tc>
              <w:tc>
                <w:tcPr>
                  <w:tcW w:w="2267" w:type="dxa"/>
                  <w:gridSpan w:val="5"/>
                  <w:vMerge w:val="continue"/>
                  <w:vAlign w:val="center"/>
                </w:tcPr>
                <w:p w14:paraId="20833A08">
                  <w:pPr>
                    <w:jc w:val="center"/>
                    <w:rPr>
                      <w:bCs/>
                      <w:sz w:val="22"/>
                      <w:szCs w:val="22"/>
                    </w:rPr>
                  </w:pPr>
                </w:p>
              </w:tc>
              <w:tc>
                <w:tcPr>
                  <w:tcW w:w="3215" w:type="dxa"/>
                  <w:gridSpan w:val="6"/>
                  <w:vAlign w:val="center"/>
                </w:tcPr>
                <w:p w14:paraId="536CF318">
                  <w:pPr>
                    <w:jc w:val="center"/>
                    <w:rPr>
                      <w:bCs/>
                      <w:sz w:val="22"/>
                      <w:szCs w:val="22"/>
                    </w:rPr>
                  </w:pPr>
                  <w:r>
                    <w:rPr>
                      <w:bCs/>
                      <w:sz w:val="22"/>
                      <w:szCs w:val="22"/>
                    </w:rPr>
                    <w:t>无组织废气监测</w:t>
                  </w:r>
                  <w:r>
                    <w:rPr>
                      <w:bCs/>
                      <w:sz w:val="22"/>
                      <w:szCs w:val="22"/>
                    </w:rPr>
                    <w:sym w:font="Wingdings" w:char="00FE"/>
                  </w:r>
                </w:p>
              </w:tc>
              <w:tc>
                <w:tcPr>
                  <w:tcW w:w="1486" w:type="dxa"/>
                  <w:gridSpan w:val="2"/>
                  <w:vMerge w:val="continue"/>
                  <w:vAlign w:val="center"/>
                </w:tcPr>
                <w:p w14:paraId="4F934215">
                  <w:pPr>
                    <w:jc w:val="center"/>
                    <w:rPr>
                      <w:bCs/>
                      <w:sz w:val="22"/>
                      <w:szCs w:val="22"/>
                    </w:rPr>
                  </w:pPr>
                </w:p>
              </w:tc>
            </w:tr>
            <w:tr w14:paraId="0FB3F36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131BC324">
                  <w:pPr>
                    <w:jc w:val="center"/>
                    <w:rPr>
                      <w:bCs/>
                      <w:sz w:val="22"/>
                      <w:szCs w:val="22"/>
                    </w:rPr>
                  </w:pPr>
                </w:p>
              </w:tc>
              <w:tc>
                <w:tcPr>
                  <w:tcW w:w="1393" w:type="dxa"/>
                  <w:vAlign w:val="center"/>
                </w:tcPr>
                <w:p w14:paraId="1AD6397B">
                  <w:pPr>
                    <w:jc w:val="center"/>
                    <w:rPr>
                      <w:bCs/>
                      <w:sz w:val="22"/>
                      <w:szCs w:val="22"/>
                    </w:rPr>
                  </w:pPr>
                  <w:r>
                    <w:rPr>
                      <w:bCs/>
                      <w:sz w:val="22"/>
                      <w:szCs w:val="22"/>
                    </w:rPr>
                    <w:t>环境质量监测</w:t>
                  </w:r>
                </w:p>
              </w:tc>
              <w:tc>
                <w:tcPr>
                  <w:tcW w:w="2267" w:type="dxa"/>
                  <w:gridSpan w:val="5"/>
                  <w:vAlign w:val="center"/>
                </w:tcPr>
                <w:p w14:paraId="21134C98">
                  <w:pPr>
                    <w:jc w:val="center"/>
                    <w:rPr>
                      <w:bCs/>
                      <w:sz w:val="22"/>
                      <w:szCs w:val="22"/>
                    </w:rPr>
                  </w:pPr>
                  <w:r>
                    <w:rPr>
                      <w:bCs/>
                      <w:sz w:val="22"/>
                      <w:szCs w:val="22"/>
                    </w:rPr>
                    <w:t>监测因子：（）</w:t>
                  </w:r>
                </w:p>
              </w:tc>
              <w:tc>
                <w:tcPr>
                  <w:tcW w:w="3215" w:type="dxa"/>
                  <w:gridSpan w:val="6"/>
                  <w:vAlign w:val="center"/>
                </w:tcPr>
                <w:p w14:paraId="22260851">
                  <w:pPr>
                    <w:jc w:val="center"/>
                    <w:rPr>
                      <w:bCs/>
                      <w:sz w:val="22"/>
                      <w:szCs w:val="22"/>
                    </w:rPr>
                  </w:pPr>
                  <w:r>
                    <w:rPr>
                      <w:bCs/>
                      <w:sz w:val="22"/>
                      <w:szCs w:val="22"/>
                    </w:rPr>
                    <w:t>监测点位数（ ）</w:t>
                  </w:r>
                </w:p>
              </w:tc>
              <w:tc>
                <w:tcPr>
                  <w:tcW w:w="1486" w:type="dxa"/>
                  <w:gridSpan w:val="2"/>
                  <w:vAlign w:val="center"/>
                </w:tcPr>
                <w:p w14:paraId="6FC62F34">
                  <w:pPr>
                    <w:jc w:val="center"/>
                    <w:rPr>
                      <w:bCs/>
                      <w:sz w:val="22"/>
                      <w:szCs w:val="22"/>
                    </w:rPr>
                  </w:pPr>
                  <w:r>
                    <w:rPr>
                      <w:bCs/>
                      <w:sz w:val="22"/>
                      <w:szCs w:val="22"/>
                    </w:rPr>
                    <w:t>无监测</w:t>
                  </w:r>
                  <w:r>
                    <w:rPr>
                      <w:bCs/>
                      <w:sz w:val="22"/>
                      <w:szCs w:val="22"/>
                    </w:rPr>
                    <w:sym w:font="Wingdings" w:char="00FE"/>
                  </w:r>
                </w:p>
              </w:tc>
            </w:tr>
            <w:tr w14:paraId="15CB4F4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restart"/>
                  <w:vAlign w:val="center"/>
                </w:tcPr>
                <w:p w14:paraId="24E91889">
                  <w:pPr>
                    <w:jc w:val="center"/>
                    <w:rPr>
                      <w:bCs/>
                      <w:sz w:val="22"/>
                      <w:szCs w:val="22"/>
                    </w:rPr>
                  </w:pPr>
                  <w:r>
                    <w:rPr>
                      <w:bCs/>
                      <w:sz w:val="22"/>
                      <w:szCs w:val="22"/>
                    </w:rPr>
                    <w:t>评价结论</w:t>
                  </w:r>
                </w:p>
              </w:tc>
              <w:tc>
                <w:tcPr>
                  <w:tcW w:w="1393" w:type="dxa"/>
                  <w:vAlign w:val="center"/>
                </w:tcPr>
                <w:p w14:paraId="3622AE2B">
                  <w:pPr>
                    <w:jc w:val="center"/>
                    <w:rPr>
                      <w:bCs/>
                      <w:sz w:val="22"/>
                      <w:szCs w:val="22"/>
                    </w:rPr>
                  </w:pPr>
                  <w:r>
                    <w:rPr>
                      <w:bCs/>
                      <w:sz w:val="22"/>
                      <w:szCs w:val="22"/>
                    </w:rPr>
                    <w:t>环境影响</w:t>
                  </w:r>
                </w:p>
              </w:tc>
              <w:tc>
                <w:tcPr>
                  <w:tcW w:w="6968" w:type="dxa"/>
                  <w:gridSpan w:val="13"/>
                  <w:vAlign w:val="center"/>
                </w:tcPr>
                <w:p w14:paraId="6C3E1474">
                  <w:pPr>
                    <w:jc w:val="center"/>
                    <w:rPr>
                      <w:bCs/>
                      <w:sz w:val="22"/>
                      <w:szCs w:val="22"/>
                    </w:rPr>
                  </w:pPr>
                  <w:r>
                    <w:rPr>
                      <w:bCs/>
                      <w:sz w:val="22"/>
                      <w:szCs w:val="22"/>
                    </w:rPr>
                    <w:t>可以接受</w:t>
                  </w:r>
                  <w:r>
                    <w:rPr>
                      <w:bCs/>
                      <w:sz w:val="22"/>
                      <w:szCs w:val="22"/>
                    </w:rPr>
                    <w:sym w:font="Wingdings" w:char="00FE"/>
                  </w:r>
                  <w:r>
                    <w:rPr>
                      <w:bCs/>
                      <w:sz w:val="22"/>
                      <w:szCs w:val="22"/>
                    </w:rPr>
                    <w:t xml:space="preserve">  不可以接受</w:t>
                  </w:r>
                  <w:r>
                    <w:rPr>
                      <w:bCs/>
                      <w:sz w:val="22"/>
                      <w:szCs w:val="22"/>
                    </w:rPr>
                    <w:sym w:font="Wingdings" w:char="00A8"/>
                  </w:r>
                </w:p>
              </w:tc>
            </w:tr>
            <w:tr w14:paraId="0717CF5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333AF7A4">
                  <w:pPr>
                    <w:jc w:val="center"/>
                    <w:rPr>
                      <w:bCs/>
                      <w:sz w:val="22"/>
                      <w:szCs w:val="22"/>
                    </w:rPr>
                  </w:pPr>
                </w:p>
              </w:tc>
              <w:tc>
                <w:tcPr>
                  <w:tcW w:w="1393" w:type="dxa"/>
                  <w:vAlign w:val="center"/>
                </w:tcPr>
                <w:p w14:paraId="6F6DE696">
                  <w:pPr>
                    <w:jc w:val="center"/>
                    <w:rPr>
                      <w:bCs/>
                      <w:sz w:val="22"/>
                      <w:szCs w:val="22"/>
                    </w:rPr>
                  </w:pPr>
                  <w:r>
                    <w:rPr>
                      <w:bCs/>
                      <w:sz w:val="22"/>
                      <w:szCs w:val="22"/>
                    </w:rPr>
                    <w:t>大气环境防护距离</w:t>
                  </w:r>
                </w:p>
              </w:tc>
              <w:tc>
                <w:tcPr>
                  <w:tcW w:w="6968" w:type="dxa"/>
                  <w:gridSpan w:val="13"/>
                  <w:vAlign w:val="center"/>
                </w:tcPr>
                <w:p w14:paraId="50F15660">
                  <w:pPr>
                    <w:jc w:val="center"/>
                    <w:rPr>
                      <w:bCs/>
                      <w:sz w:val="22"/>
                      <w:szCs w:val="22"/>
                    </w:rPr>
                  </w:pPr>
                  <w:r>
                    <w:rPr>
                      <w:bCs/>
                      <w:sz w:val="22"/>
                      <w:szCs w:val="22"/>
                    </w:rPr>
                    <w:t>可不设置大气环境防护距离</w:t>
                  </w:r>
                </w:p>
              </w:tc>
            </w:tr>
            <w:tr w14:paraId="68628EA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0" w:type="dxa"/>
                  <w:vMerge w:val="continue"/>
                  <w:vAlign w:val="center"/>
                </w:tcPr>
                <w:p w14:paraId="553B9A4F">
                  <w:pPr>
                    <w:jc w:val="center"/>
                    <w:rPr>
                      <w:bCs/>
                      <w:sz w:val="22"/>
                      <w:szCs w:val="22"/>
                    </w:rPr>
                  </w:pPr>
                </w:p>
              </w:tc>
              <w:tc>
                <w:tcPr>
                  <w:tcW w:w="1393" w:type="dxa"/>
                  <w:vAlign w:val="center"/>
                </w:tcPr>
                <w:p w14:paraId="2802F993">
                  <w:pPr>
                    <w:jc w:val="center"/>
                    <w:rPr>
                      <w:bCs/>
                      <w:sz w:val="22"/>
                      <w:szCs w:val="22"/>
                    </w:rPr>
                  </w:pPr>
                  <w:r>
                    <w:rPr>
                      <w:bCs/>
                      <w:sz w:val="22"/>
                      <w:szCs w:val="22"/>
                    </w:rPr>
                    <w:t>污染源年排放量</w:t>
                  </w:r>
                </w:p>
              </w:tc>
              <w:tc>
                <w:tcPr>
                  <w:tcW w:w="1388" w:type="dxa"/>
                  <w:gridSpan w:val="3"/>
                  <w:vAlign w:val="center"/>
                </w:tcPr>
                <w:p w14:paraId="3DEBEEEA">
                  <w:pPr>
                    <w:jc w:val="center"/>
                    <w:rPr>
                      <w:bCs/>
                      <w:sz w:val="22"/>
                      <w:szCs w:val="22"/>
                    </w:rPr>
                  </w:pPr>
                  <w:r>
                    <w:rPr>
                      <w:bCs/>
                      <w:sz w:val="22"/>
                      <w:szCs w:val="22"/>
                    </w:rPr>
                    <w:t>SO</w:t>
                  </w:r>
                  <w:r>
                    <w:rPr>
                      <w:bCs/>
                      <w:sz w:val="22"/>
                      <w:szCs w:val="22"/>
                      <w:vertAlign w:val="subscript"/>
                    </w:rPr>
                    <w:t>2</w:t>
                  </w:r>
                  <w:r>
                    <w:rPr>
                      <w:bCs/>
                      <w:sz w:val="22"/>
                      <w:szCs w:val="22"/>
                    </w:rPr>
                    <w:t>：</w:t>
                  </w:r>
                </w:p>
                <w:p w14:paraId="0E50862F">
                  <w:pPr>
                    <w:jc w:val="center"/>
                    <w:rPr>
                      <w:bCs/>
                      <w:sz w:val="22"/>
                      <w:szCs w:val="22"/>
                    </w:rPr>
                  </w:pPr>
                  <w:r>
                    <w:rPr>
                      <w:bCs/>
                      <w:sz w:val="22"/>
                      <w:szCs w:val="22"/>
                    </w:rPr>
                    <w:t>（）t/a</w:t>
                  </w:r>
                </w:p>
              </w:tc>
              <w:tc>
                <w:tcPr>
                  <w:tcW w:w="1396" w:type="dxa"/>
                  <w:gridSpan w:val="3"/>
                  <w:vAlign w:val="center"/>
                </w:tcPr>
                <w:p w14:paraId="3869B8B3">
                  <w:pPr>
                    <w:jc w:val="center"/>
                    <w:rPr>
                      <w:bCs/>
                      <w:sz w:val="22"/>
                      <w:szCs w:val="22"/>
                    </w:rPr>
                  </w:pPr>
                  <w:r>
                    <w:rPr>
                      <w:bCs/>
                      <w:sz w:val="22"/>
                      <w:szCs w:val="22"/>
                    </w:rPr>
                    <w:t>NO</w:t>
                  </w:r>
                  <w:r>
                    <w:rPr>
                      <w:bCs/>
                      <w:sz w:val="22"/>
                      <w:szCs w:val="22"/>
                      <w:vertAlign w:val="subscript"/>
                    </w:rPr>
                    <w:t>X</w:t>
                  </w:r>
                  <w:r>
                    <w:rPr>
                      <w:bCs/>
                      <w:sz w:val="22"/>
                      <w:szCs w:val="22"/>
                    </w:rPr>
                    <w:t>：</w:t>
                  </w:r>
                </w:p>
                <w:p w14:paraId="7DBC393E">
                  <w:pPr>
                    <w:jc w:val="center"/>
                    <w:rPr>
                      <w:bCs/>
                      <w:sz w:val="22"/>
                      <w:szCs w:val="22"/>
                    </w:rPr>
                  </w:pPr>
                  <w:r>
                    <w:rPr>
                      <w:bCs/>
                      <w:sz w:val="22"/>
                      <w:szCs w:val="22"/>
                    </w:rPr>
                    <w:t>（）t/a</w:t>
                  </w:r>
                </w:p>
              </w:tc>
              <w:tc>
                <w:tcPr>
                  <w:tcW w:w="2057" w:type="dxa"/>
                  <w:gridSpan w:val="4"/>
                  <w:vAlign w:val="center"/>
                </w:tcPr>
                <w:p w14:paraId="5FEF5855">
                  <w:pPr>
                    <w:jc w:val="center"/>
                    <w:rPr>
                      <w:bCs/>
                      <w:sz w:val="22"/>
                      <w:szCs w:val="22"/>
                    </w:rPr>
                  </w:pPr>
                  <w:r>
                    <w:rPr>
                      <w:bCs/>
                      <w:sz w:val="22"/>
                      <w:szCs w:val="22"/>
                    </w:rPr>
                    <w:t>颗粒物：</w:t>
                  </w:r>
                </w:p>
                <w:p w14:paraId="4FDCD31D">
                  <w:pPr>
                    <w:jc w:val="center"/>
                    <w:rPr>
                      <w:bCs/>
                      <w:sz w:val="22"/>
                      <w:szCs w:val="22"/>
                    </w:rPr>
                  </w:pPr>
                  <w:r>
                    <w:rPr>
                      <w:bCs/>
                      <w:sz w:val="22"/>
                      <w:szCs w:val="22"/>
                    </w:rPr>
                    <w:t>（</w:t>
                  </w:r>
                  <w:r>
                    <w:rPr>
                      <w:rFonts w:hint="eastAsia"/>
                      <w:bCs/>
                      <w:sz w:val="22"/>
                      <w:szCs w:val="22"/>
                    </w:rPr>
                    <w:t>0.013</w:t>
                  </w:r>
                  <w:r>
                    <w:rPr>
                      <w:bCs/>
                      <w:sz w:val="22"/>
                      <w:szCs w:val="22"/>
                    </w:rPr>
                    <w:t>）t/a</w:t>
                  </w:r>
                </w:p>
              </w:tc>
              <w:tc>
                <w:tcPr>
                  <w:tcW w:w="2127" w:type="dxa"/>
                  <w:gridSpan w:val="3"/>
                  <w:vAlign w:val="center"/>
                </w:tcPr>
                <w:p w14:paraId="3A8AE68A">
                  <w:pPr>
                    <w:jc w:val="center"/>
                    <w:rPr>
                      <w:bCs/>
                      <w:sz w:val="22"/>
                      <w:szCs w:val="22"/>
                    </w:rPr>
                  </w:pPr>
                  <w:r>
                    <w:rPr>
                      <w:bCs/>
                      <w:sz w:val="22"/>
                      <w:szCs w:val="22"/>
                    </w:rPr>
                    <w:t xml:space="preserve">总VOCs: </w:t>
                  </w:r>
                </w:p>
                <w:p w14:paraId="0236B8B4">
                  <w:pPr>
                    <w:jc w:val="center"/>
                    <w:rPr>
                      <w:bCs/>
                      <w:sz w:val="22"/>
                      <w:szCs w:val="22"/>
                    </w:rPr>
                  </w:pPr>
                  <w:r>
                    <w:rPr>
                      <w:bCs/>
                      <w:sz w:val="22"/>
                      <w:szCs w:val="22"/>
                    </w:rPr>
                    <w:t>（</w:t>
                  </w:r>
                  <w:r>
                    <w:rPr>
                      <w:rFonts w:hint="eastAsia"/>
                      <w:bCs/>
                      <w:sz w:val="22"/>
                      <w:szCs w:val="22"/>
                    </w:rPr>
                    <w:t>0.197</w:t>
                  </w:r>
                  <w:r>
                    <w:rPr>
                      <w:bCs/>
                      <w:sz w:val="22"/>
                      <w:szCs w:val="22"/>
                    </w:rPr>
                    <w:t>）t/a</w:t>
                  </w:r>
                </w:p>
              </w:tc>
            </w:tr>
            <w:tr w14:paraId="24AE56F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71" w:type="dxa"/>
                  <w:gridSpan w:val="15"/>
                  <w:vAlign w:val="center"/>
                </w:tcPr>
                <w:p w14:paraId="7E046233">
                  <w:pPr>
                    <w:rPr>
                      <w:bCs/>
                      <w:sz w:val="22"/>
                      <w:szCs w:val="22"/>
                    </w:rPr>
                  </w:pPr>
                  <w:r>
                    <w:rPr>
                      <w:bCs/>
                      <w:sz w:val="22"/>
                      <w:szCs w:val="22"/>
                    </w:rPr>
                    <w:t>注：“□”，填“√”；“（  ）”为内容填写项</w:t>
                  </w:r>
                </w:p>
              </w:tc>
            </w:tr>
          </w:tbl>
          <w:p w14:paraId="289499FD">
            <w:pPr>
              <w:pStyle w:val="17"/>
              <w:ind w:left="0" w:firstLine="480" w:firstLineChars="200"/>
              <w:rPr>
                <w:rFonts w:ascii="Times New Roman"/>
                <w:bCs/>
              </w:rPr>
            </w:pPr>
            <w:r>
              <w:rPr>
                <w:rFonts w:hint="eastAsia" w:ascii="Times New Roman"/>
                <w:bCs/>
              </w:rPr>
              <w:t>7</w:t>
            </w:r>
            <w:r>
              <w:rPr>
                <w:rFonts w:ascii="Times New Roman"/>
                <w:bCs/>
              </w:rPr>
              <w:t>、项目废气处理措施可行性</w:t>
            </w:r>
          </w:p>
          <w:p w14:paraId="0946671F">
            <w:pPr>
              <w:pStyle w:val="17"/>
              <w:ind w:left="0" w:firstLine="480" w:firstLineChars="200"/>
              <w:rPr>
                <w:rFonts w:ascii="Times New Roman"/>
                <w:szCs w:val="24"/>
                <w:lang w:val="zh-CN"/>
              </w:rPr>
            </w:pPr>
            <w:r>
              <w:rPr>
                <w:rFonts w:ascii="Times New Roman"/>
                <w:szCs w:val="24"/>
              </w:rPr>
              <w:t>目前对有机废气的去除方法可分为UV光氧、活性炭吸附法、低温等离子法、催化燃烧法、水吸收法等几类，</w:t>
            </w:r>
            <w:r>
              <w:rPr>
                <w:rFonts w:hint="eastAsia"/>
              </w:rPr>
              <w:t>本</w:t>
            </w:r>
            <w:r>
              <w:t>项目</w:t>
            </w:r>
            <w:r>
              <w:rPr>
                <w:rFonts w:hint="eastAsia"/>
              </w:rPr>
              <w:t>有机废气</w:t>
            </w:r>
            <w:r>
              <w:t>采用的是</w:t>
            </w:r>
            <w:r>
              <w:rPr>
                <w:rFonts w:hint="eastAsia"/>
              </w:rPr>
              <w:t>催化燃烧法</w:t>
            </w:r>
            <w:r>
              <w:rPr>
                <w:lang w:val="zh-CN"/>
              </w:rPr>
              <w:t>。</w:t>
            </w:r>
          </w:p>
          <w:p w14:paraId="5BB9DE9E">
            <w:pPr>
              <w:snapToGrid w:val="0"/>
              <w:spacing w:line="360" w:lineRule="auto"/>
              <w:ind w:right="6" w:firstLine="472" w:firstLineChars="196"/>
              <w:rPr>
                <w:rFonts w:eastAsiaTheme="minorEastAsia"/>
                <w:sz w:val="24"/>
                <w:szCs w:val="24"/>
              </w:rPr>
            </w:pPr>
            <w:r>
              <w:rPr>
                <w:rFonts w:hint="eastAsia" w:eastAsiaTheme="minorEastAsia"/>
                <w:b/>
                <w:bCs/>
                <w:sz w:val="24"/>
                <w:szCs w:val="24"/>
              </w:rPr>
              <w:t>催化燃烧废气处理装置</w:t>
            </w:r>
            <w:r>
              <w:rPr>
                <w:rFonts w:eastAsiaTheme="minorEastAsia"/>
                <w:b/>
                <w:bCs/>
                <w:sz w:val="24"/>
                <w:szCs w:val="24"/>
              </w:rPr>
              <w:t>工作原理：</w:t>
            </w:r>
          </w:p>
          <w:p w14:paraId="1ABA6448">
            <w:pPr>
              <w:snapToGrid w:val="0"/>
              <w:spacing w:line="360" w:lineRule="auto"/>
              <w:ind w:right="6" w:firstLine="470" w:firstLineChars="196"/>
              <w:rPr>
                <w:rFonts w:eastAsiaTheme="minorEastAsia"/>
                <w:sz w:val="24"/>
                <w:szCs w:val="24"/>
              </w:rPr>
            </w:pPr>
            <w:r>
              <w:rPr>
                <w:rFonts w:eastAsiaTheme="minorEastAsia"/>
                <w:sz w:val="24"/>
                <w:szCs w:val="24"/>
              </w:rPr>
              <w:t>本项目采用</w:t>
            </w:r>
            <w:r>
              <w:rPr>
                <w:rFonts w:hint="eastAsia" w:eastAsiaTheme="minorEastAsia"/>
                <w:sz w:val="24"/>
                <w:szCs w:val="24"/>
              </w:rPr>
              <w:t>催化燃烧废气处理装置</w:t>
            </w:r>
            <w:r>
              <w:rPr>
                <w:rFonts w:eastAsiaTheme="minorEastAsia"/>
                <w:sz w:val="24"/>
                <w:szCs w:val="24"/>
                <w:lang w:val="zh-CN"/>
              </w:rPr>
              <w:t>处理有机废气，</w:t>
            </w:r>
            <w:r>
              <w:rPr>
                <w:rFonts w:hint="eastAsia" w:eastAsiaTheme="minorEastAsia"/>
                <w:sz w:val="24"/>
                <w:szCs w:val="24"/>
                <w:lang w:val="zh-CN"/>
              </w:rPr>
              <w:t>该装置内置过滤吸附材料（主要为过滤棉、活性炭）。</w:t>
            </w:r>
            <w:r>
              <w:rPr>
                <w:rFonts w:hint="eastAsia" w:eastAsiaTheme="minorEastAsia"/>
                <w:sz w:val="24"/>
                <w:szCs w:val="24"/>
              </w:rPr>
              <w:t>有机</w:t>
            </w:r>
            <w:r>
              <w:rPr>
                <w:rFonts w:eastAsiaTheme="minorEastAsia"/>
                <w:sz w:val="24"/>
                <w:szCs w:val="24"/>
              </w:rPr>
              <w:t>废气首先经过</w:t>
            </w:r>
            <w:r>
              <w:rPr>
                <w:rFonts w:hint="eastAsia" w:eastAsiaTheme="minorEastAsia"/>
                <w:sz w:val="24"/>
                <w:szCs w:val="24"/>
              </w:rPr>
              <w:t>废气处理装置中内置过滤材料（过滤棉）</w:t>
            </w:r>
            <w:r>
              <w:rPr>
                <w:rFonts w:eastAsiaTheme="minorEastAsia"/>
                <w:sz w:val="24"/>
                <w:szCs w:val="24"/>
              </w:rPr>
              <w:t>，将废气中的漆雾颗粒</w:t>
            </w:r>
            <w:r>
              <w:rPr>
                <w:rFonts w:hint="eastAsia" w:eastAsiaTheme="minorEastAsia"/>
                <w:sz w:val="24"/>
                <w:szCs w:val="24"/>
              </w:rPr>
              <w:t>过滤</w:t>
            </w:r>
            <w:r>
              <w:rPr>
                <w:rFonts w:eastAsiaTheme="minorEastAsia"/>
                <w:sz w:val="24"/>
                <w:szCs w:val="24"/>
              </w:rPr>
              <w:t>沉降下来，经过滤后的废气进入</w:t>
            </w:r>
            <w:r>
              <w:rPr>
                <w:rFonts w:hint="eastAsia" w:eastAsiaTheme="minorEastAsia"/>
                <w:sz w:val="24"/>
                <w:szCs w:val="24"/>
              </w:rPr>
              <w:t>内置</w:t>
            </w:r>
            <w:r>
              <w:rPr>
                <w:rFonts w:eastAsiaTheme="minorEastAsia"/>
                <w:sz w:val="24"/>
                <w:szCs w:val="24"/>
              </w:rPr>
              <w:t>活性炭吸附箱，通过活性炭吸附废气中的有机成分使废气得以净化，净化的气体在离心风机作用下经排气筒排入大气。</w:t>
            </w:r>
          </w:p>
          <w:p w14:paraId="13F4F700">
            <w:pPr>
              <w:spacing w:line="360" w:lineRule="auto"/>
              <w:ind w:firstLine="480" w:firstLineChars="200"/>
              <w:rPr>
                <w:rFonts w:eastAsiaTheme="minorEastAsia"/>
                <w:sz w:val="24"/>
                <w:szCs w:val="24"/>
              </w:rPr>
            </w:pPr>
            <w:r>
              <w:rPr>
                <w:rFonts w:eastAsiaTheme="minorEastAsia"/>
                <w:sz w:val="24"/>
                <w:szCs w:val="24"/>
              </w:rPr>
              <w:t>活性炭经吸附运行一段时间后达到饱和前，启动系统的脱附-催化燃烧过程，通过热气流将原来已经吸附在活性炭表面的有机溶剂脱附出来。脱附气体在脱附风机作用下先进入换热器进行换热，实现对余热的回收，换热后进入催化燃烧炉通过燃烧器加热对废气进一步升温（300℃），升温后的有机废气达到废气在催化剂（钯、铊等贵金属）作用下的起燃温度。废气进入催化燃烧床，在催化剂的作用下，经过催化燃烧反应转化生成CO</w:t>
            </w:r>
            <w:r>
              <w:rPr>
                <w:rFonts w:eastAsiaTheme="minorEastAsia"/>
                <w:sz w:val="24"/>
                <w:szCs w:val="24"/>
                <w:vertAlign w:val="subscript"/>
              </w:rPr>
              <w:t>2</w:t>
            </w:r>
            <w:r>
              <w:rPr>
                <w:rFonts w:eastAsiaTheme="minorEastAsia"/>
                <w:sz w:val="24"/>
                <w:szCs w:val="24"/>
              </w:rPr>
              <w:t>和水蒸气等无害物质，并放出热量，燃烧后的尾气一部分直接排到大气，大部分热气流被再次循环送往吸附床，用于对活性炭的脱附再生。这样既能满足燃烧和脱附所需热能，又能达到节能的目的，再生后的活性炭可用于下次吸附。当废气浓度达到一定程度时反应放热跟脱附加热达到平衡，系统在不外加热量的情况下完成脱附再生过程。</w:t>
            </w:r>
            <w:r>
              <w:rPr>
                <w:rFonts w:hint="eastAsia" w:eastAsiaTheme="minorEastAsia"/>
                <w:sz w:val="24"/>
                <w:szCs w:val="24"/>
              </w:rPr>
              <w:t>催化燃烧废气处理装置每个浓缩室带有消防装置，燃烧设施设阻火器，脱附管道加保温隔热材料，催化剂高度不低于30cm，采用错位叠加方式。</w:t>
            </w:r>
          </w:p>
          <w:p w14:paraId="6D7DE34D">
            <w:pPr>
              <w:spacing w:line="360" w:lineRule="auto"/>
              <w:ind w:firstLine="480" w:firstLineChars="200"/>
              <w:rPr>
                <w:rFonts w:eastAsiaTheme="minorEastAsia"/>
                <w:bCs/>
                <w:sz w:val="24"/>
                <w:szCs w:val="24"/>
              </w:rPr>
            </w:pPr>
            <w:r>
              <w:rPr>
                <w:rFonts w:hint="eastAsia" w:eastAsiaTheme="minorEastAsia"/>
                <w:sz w:val="24"/>
                <w:szCs w:val="24"/>
              </w:rPr>
              <w:t>按照山东省生态环境厅关于印发《山东省涉挥发性有机物企业分行业治理指导意见》的通知（鲁环发[2019]146号）要求，</w:t>
            </w:r>
            <w:r>
              <w:rPr>
                <w:rFonts w:hint="eastAsia"/>
                <w:sz w:val="24"/>
                <w:szCs w:val="24"/>
              </w:rPr>
              <w:t>遵循“应收尽收、分质收集”的原则，</w:t>
            </w:r>
            <w:r>
              <w:rPr>
                <w:sz w:val="24"/>
                <w:szCs w:val="24"/>
                <w:lang w:val="zh-CN"/>
              </w:rPr>
              <w:t>项目</w:t>
            </w:r>
            <w:r>
              <w:rPr>
                <w:rFonts w:hint="eastAsia"/>
                <w:sz w:val="24"/>
                <w:szCs w:val="24"/>
              </w:rPr>
              <w:t>含VOCs物料均采用密封存储，使用过程在密闭空间中操作，</w:t>
            </w:r>
            <w:r>
              <w:rPr>
                <w:rFonts w:hint="eastAsia" w:eastAsiaTheme="minorEastAsia"/>
                <w:sz w:val="24"/>
                <w:szCs w:val="24"/>
                <w:shd w:val="clear" w:color="auto" w:fill="FFFFFF"/>
              </w:rPr>
              <w:t>固化、</w:t>
            </w:r>
            <w:r>
              <w:rPr>
                <w:rFonts w:eastAsiaTheme="minorEastAsia"/>
                <w:sz w:val="24"/>
                <w:szCs w:val="24"/>
                <w:shd w:val="clear" w:color="auto" w:fill="FFFFFF"/>
              </w:rPr>
              <w:t>调漆、</w:t>
            </w:r>
            <w:r>
              <w:rPr>
                <w:rFonts w:hint="eastAsia" w:eastAsiaTheme="minorEastAsia"/>
                <w:sz w:val="24"/>
                <w:szCs w:val="24"/>
                <w:shd w:val="clear" w:color="auto" w:fill="FFFFFF"/>
              </w:rPr>
              <w:t>拉漆、</w:t>
            </w:r>
            <w:r>
              <w:rPr>
                <w:rFonts w:eastAsiaTheme="minorEastAsia"/>
                <w:sz w:val="24"/>
                <w:szCs w:val="24"/>
                <w:shd w:val="clear" w:color="auto" w:fill="FFFFFF"/>
              </w:rPr>
              <w:t>喷漆</w:t>
            </w:r>
            <w:r>
              <w:rPr>
                <w:rFonts w:hint="eastAsia" w:eastAsiaTheme="minorEastAsia"/>
                <w:sz w:val="24"/>
                <w:szCs w:val="24"/>
                <w:shd w:val="clear" w:color="auto" w:fill="FFFFFF"/>
              </w:rPr>
              <w:t>、</w:t>
            </w:r>
            <w:r>
              <w:rPr>
                <w:rFonts w:eastAsiaTheme="minorEastAsia"/>
                <w:sz w:val="24"/>
                <w:szCs w:val="24"/>
                <w:shd w:val="clear" w:color="auto" w:fill="FFFFFF"/>
              </w:rPr>
              <w:t>烘干、</w:t>
            </w:r>
            <w:r>
              <w:rPr>
                <w:rFonts w:hint="eastAsia" w:eastAsiaTheme="minorEastAsia"/>
                <w:sz w:val="24"/>
                <w:szCs w:val="24"/>
                <w:shd w:val="clear" w:color="auto" w:fill="FFFFFF"/>
              </w:rPr>
              <w:t>环氧等工序均</w:t>
            </w:r>
            <w:r>
              <w:rPr>
                <w:rFonts w:hint="eastAsia" w:ascii="宋体" w:hAnsi="宋体" w:cs="宋体"/>
                <w:sz w:val="24"/>
                <w:szCs w:val="24"/>
                <w:shd w:val="clear" w:color="auto" w:fill="FFFFFF"/>
              </w:rPr>
              <w:t>设置在</w:t>
            </w:r>
            <w:r>
              <w:rPr>
                <w:rFonts w:hint="eastAsia"/>
                <w:sz w:val="24"/>
                <w:szCs w:val="24"/>
              </w:rPr>
              <w:t>密闭空间，保持微负压状态，采用下吸风方式进行有效收集。通风管路设计应符合《通风管道技术规程》（JGJ/T141）等相关规范要求。本项目正常作业</w:t>
            </w:r>
            <w:r>
              <w:rPr>
                <w:sz w:val="24"/>
                <w:szCs w:val="24"/>
              </w:rPr>
              <w:t>废气基本</w:t>
            </w:r>
            <w:r>
              <w:rPr>
                <w:rFonts w:hint="eastAsia"/>
                <w:sz w:val="24"/>
                <w:szCs w:val="24"/>
              </w:rPr>
              <w:t>可以</w:t>
            </w:r>
            <w:r>
              <w:rPr>
                <w:sz w:val="24"/>
                <w:szCs w:val="24"/>
              </w:rPr>
              <w:t>全收集，考虑到开关门运输物料</w:t>
            </w:r>
            <w:r>
              <w:rPr>
                <w:rFonts w:hint="eastAsia"/>
                <w:sz w:val="24"/>
                <w:szCs w:val="24"/>
              </w:rPr>
              <w:t>、</w:t>
            </w:r>
            <w:r>
              <w:rPr>
                <w:rFonts w:hint="eastAsia"/>
                <w:bCs/>
                <w:sz w:val="24"/>
                <w:szCs w:val="24"/>
              </w:rPr>
              <w:t>废气收集处理设施发生故障或检修时</w:t>
            </w:r>
            <w:r>
              <w:rPr>
                <w:sz w:val="24"/>
                <w:szCs w:val="24"/>
              </w:rPr>
              <w:t>少量逸散，本项目有机废气收集效率取9</w:t>
            </w:r>
            <w:r>
              <w:rPr>
                <w:rFonts w:hint="eastAsia"/>
                <w:sz w:val="24"/>
                <w:szCs w:val="24"/>
              </w:rPr>
              <w:t>5</w:t>
            </w:r>
            <w:r>
              <w:rPr>
                <w:sz w:val="24"/>
                <w:szCs w:val="24"/>
              </w:rPr>
              <w:t>%</w:t>
            </w:r>
            <w:r>
              <w:rPr>
                <w:rFonts w:hint="eastAsia"/>
                <w:sz w:val="24"/>
                <w:szCs w:val="24"/>
              </w:rPr>
              <w:t>。</w:t>
            </w:r>
          </w:p>
          <w:p w14:paraId="46ED572D">
            <w:pPr>
              <w:spacing w:line="360" w:lineRule="auto"/>
              <w:ind w:right="84" w:rightChars="40" w:firstLine="480" w:firstLineChars="200"/>
              <w:rPr>
                <w:rFonts w:eastAsiaTheme="minorEastAsia"/>
                <w:sz w:val="24"/>
                <w:szCs w:val="24"/>
              </w:rPr>
            </w:pPr>
            <w:r>
              <w:rPr>
                <w:rFonts w:eastAsiaTheme="minorEastAsia"/>
                <w:sz w:val="24"/>
                <w:szCs w:val="24"/>
              </w:rPr>
              <w:t>本项目</w:t>
            </w:r>
            <w:r>
              <w:rPr>
                <w:rFonts w:hint="eastAsia" w:eastAsiaTheme="minorEastAsia"/>
                <w:sz w:val="24"/>
                <w:szCs w:val="24"/>
              </w:rPr>
              <w:t>内置</w:t>
            </w:r>
            <w:r>
              <w:rPr>
                <w:rFonts w:hint="eastAsia" w:eastAsiaTheme="minorEastAsia"/>
                <w:sz w:val="24"/>
                <w:szCs w:val="24"/>
                <w:lang w:val="zh-CN"/>
              </w:rPr>
              <w:t>活性炭为蜂窝状活性炭箱，</w:t>
            </w:r>
            <w:r>
              <w:rPr>
                <w:rFonts w:eastAsiaTheme="minorEastAsia"/>
                <w:sz w:val="24"/>
                <w:szCs w:val="24"/>
              </w:rPr>
              <w:t>活性炭碘值不低于800毫克/克活性炭，并按设计要求足量添加</w:t>
            </w:r>
            <w:r>
              <w:rPr>
                <w:rFonts w:hint="eastAsia" w:eastAsiaTheme="minorEastAsia"/>
                <w:sz w:val="24"/>
                <w:szCs w:val="24"/>
              </w:rPr>
              <w:t>。</w:t>
            </w:r>
            <w:r>
              <w:rPr>
                <w:rFonts w:eastAsiaTheme="minorEastAsia"/>
                <w:sz w:val="24"/>
                <w:szCs w:val="24"/>
              </w:rPr>
              <w:t>根据环保设备厂家提供资料，</w:t>
            </w:r>
            <w:r>
              <w:rPr>
                <w:rFonts w:hint="eastAsia" w:eastAsiaTheme="minorEastAsia"/>
                <w:sz w:val="24"/>
                <w:szCs w:val="24"/>
              </w:rPr>
              <w:t>催化燃烧废气处理装置</w:t>
            </w:r>
            <w:r>
              <w:rPr>
                <w:rFonts w:eastAsiaTheme="minorEastAsia"/>
                <w:sz w:val="24"/>
                <w:szCs w:val="24"/>
              </w:rPr>
              <w:t>处理效率大于95%，为保险起见，本次评价按90%计</w:t>
            </w:r>
            <w:r>
              <w:rPr>
                <w:rFonts w:hint="eastAsia" w:eastAsiaTheme="minorEastAsia"/>
                <w:sz w:val="24"/>
                <w:szCs w:val="24"/>
              </w:rPr>
              <w:t>。</w:t>
            </w:r>
            <w:r>
              <w:rPr>
                <w:rFonts w:eastAsiaTheme="minorEastAsia"/>
                <w:sz w:val="24"/>
                <w:szCs w:val="24"/>
              </w:rPr>
              <w:t>本项目活性炭吸附箱配套在线检测系统及压差显示器，</w:t>
            </w:r>
            <w:r>
              <w:rPr>
                <w:rFonts w:eastAsiaTheme="minorEastAsia"/>
                <w:bCs/>
                <w:sz w:val="24"/>
                <w:szCs w:val="24"/>
              </w:rPr>
              <w:t>可随时查看设备运行状况，</w:t>
            </w:r>
            <w:r>
              <w:rPr>
                <w:rFonts w:eastAsiaTheme="minorEastAsia"/>
                <w:sz w:val="24"/>
                <w:szCs w:val="24"/>
              </w:rPr>
              <w:t>随着吸附工况持续，积聚在活性炭颗粒上的有机废气分子将越积越多，相应就会增加设备的运行阻力，通过压差显示器监控吸附段的阻力变化，将吸附段阻力上限维持在1000~1200Pa范围内，当超过此限定范围，由自动控制器通过定阻发出指令，</w:t>
            </w:r>
            <w:r>
              <w:rPr>
                <w:rFonts w:eastAsiaTheme="minorEastAsia"/>
                <w:bCs/>
                <w:sz w:val="24"/>
                <w:szCs w:val="24"/>
              </w:rPr>
              <w:t>启动催化燃烧装置</w:t>
            </w:r>
            <w:r>
              <w:rPr>
                <w:rFonts w:eastAsiaTheme="minorEastAsia"/>
                <w:sz w:val="24"/>
                <w:szCs w:val="24"/>
              </w:rPr>
              <w:t>对活性炭脱附再生处理。</w:t>
            </w:r>
          </w:p>
          <w:p w14:paraId="21D544BF">
            <w:pPr>
              <w:spacing w:line="360" w:lineRule="auto"/>
              <w:ind w:right="84" w:rightChars="40" w:firstLine="480" w:firstLineChars="200"/>
              <w:rPr>
                <w:rFonts w:eastAsiaTheme="minorEastAsia"/>
                <w:color w:val="auto"/>
                <w:sz w:val="24"/>
                <w:szCs w:val="24"/>
              </w:rPr>
            </w:pPr>
            <w:r>
              <w:rPr>
                <w:rFonts w:eastAsiaTheme="minorEastAsia"/>
                <w:sz w:val="24"/>
                <w:szCs w:val="24"/>
              </w:rPr>
              <w:t>项目</w:t>
            </w:r>
            <w:r>
              <w:rPr>
                <w:rFonts w:eastAsiaTheme="minorEastAsia"/>
                <w:spacing w:val="-2"/>
                <w:sz w:val="24"/>
                <w:szCs w:val="24"/>
              </w:rPr>
              <w:t>废气收集处理系统与生产设备自动同步启动</w:t>
            </w:r>
            <w:r>
              <w:rPr>
                <w:rFonts w:hint="eastAsia" w:eastAsiaTheme="minorEastAsia"/>
                <w:spacing w:val="-2"/>
                <w:sz w:val="24"/>
                <w:szCs w:val="24"/>
              </w:rPr>
              <w:t>，</w:t>
            </w:r>
            <w:r>
              <w:rPr>
                <w:rFonts w:eastAsiaTheme="minorEastAsia"/>
                <w:sz w:val="24"/>
                <w:szCs w:val="24"/>
              </w:rPr>
              <w:t>安装企业电量智能管控系统，并能与市生态环境局联网</w:t>
            </w:r>
            <w:r>
              <w:rPr>
                <w:rFonts w:eastAsiaTheme="minorEastAsia"/>
                <w:spacing w:val="-2"/>
                <w:sz w:val="24"/>
                <w:szCs w:val="24"/>
              </w:rPr>
              <w:t>，</w:t>
            </w:r>
            <w:r>
              <w:rPr>
                <w:rFonts w:hint="eastAsia" w:eastAsiaTheme="minorEastAsia"/>
                <w:spacing w:val="-2"/>
                <w:sz w:val="24"/>
                <w:szCs w:val="24"/>
              </w:rPr>
              <w:t>企业电量智能管控系统主要采集全厂</w:t>
            </w:r>
            <w:r>
              <w:rPr>
                <w:rFonts w:eastAsiaTheme="minorEastAsia"/>
                <w:spacing w:val="-4"/>
                <w:sz w:val="24"/>
                <w:szCs w:val="24"/>
              </w:rPr>
              <w:t>及废气收集处理设施用电</w:t>
            </w:r>
            <w:r>
              <w:rPr>
                <w:rFonts w:hint="eastAsia" w:eastAsiaTheme="minorEastAsia"/>
                <w:spacing w:val="-4"/>
                <w:sz w:val="24"/>
                <w:szCs w:val="24"/>
              </w:rPr>
              <w:t>情况</w:t>
            </w:r>
            <w:r>
              <w:rPr>
                <w:rFonts w:eastAsiaTheme="minorEastAsia"/>
                <w:sz w:val="24"/>
                <w:szCs w:val="24"/>
              </w:rPr>
              <w:t>。活</w:t>
            </w:r>
            <w:r>
              <w:rPr>
                <w:rFonts w:eastAsiaTheme="minorEastAsia"/>
                <w:color w:val="auto"/>
                <w:sz w:val="24"/>
                <w:szCs w:val="24"/>
              </w:rPr>
              <w:t>性炭吸附装置采用PLC控制方式，实时监测装置系统及活性炭饱和自动报警装置，用电脑或手机APP可随时得到设备运行情况。另外，采用PLC控制的方式，将生产设备的控制电源与污染防治设施的控制电源连成一体，并由生产设备的电源控制按钮同时控制生产设备、污染防治设施的开启、关闭。</w:t>
            </w:r>
          </w:p>
          <w:p w14:paraId="43ED7C58">
            <w:pPr>
              <w:snapToGrid w:val="0"/>
              <w:spacing w:line="360" w:lineRule="auto"/>
              <w:ind w:right="6" w:firstLine="472" w:firstLineChars="196"/>
              <w:rPr>
                <w:rFonts w:eastAsiaTheme="minorEastAsia"/>
                <w:b/>
                <w:bCs/>
                <w:color w:val="auto"/>
                <w:sz w:val="24"/>
                <w:szCs w:val="24"/>
              </w:rPr>
            </w:pPr>
            <w:r>
              <w:rPr>
                <w:rFonts w:eastAsiaTheme="minorEastAsia"/>
                <w:b/>
                <w:bCs/>
                <w:color w:val="auto"/>
                <w:sz w:val="24"/>
                <w:szCs w:val="24"/>
              </w:rPr>
              <w:t>负压工作原理：</w:t>
            </w:r>
          </w:p>
          <w:p w14:paraId="1C03E3DB">
            <w:pPr>
              <w:spacing w:line="360" w:lineRule="auto"/>
              <w:ind w:firstLine="480" w:firstLineChars="200"/>
              <w:rPr>
                <w:rFonts w:eastAsiaTheme="minorEastAsia"/>
                <w:bCs/>
                <w:color w:val="auto"/>
                <w:sz w:val="24"/>
                <w:szCs w:val="24"/>
              </w:rPr>
            </w:pPr>
            <w:r>
              <w:rPr>
                <w:rFonts w:eastAsiaTheme="minorEastAsia"/>
                <w:color w:val="auto"/>
                <w:sz w:val="24"/>
                <w:szCs w:val="24"/>
              </w:rPr>
              <w:t>负压风机向外排出空气使室内气压下降，室内空气变稀薄，形成一个负压区，空气由于气压差补偿流入室内。在实际应用中，负压风机集中安装于厂房一侧，进气口于厂房另外一侧，空气由进出口到负压风机形成对流吹风。在这个过程中，靠近负压风机附近的门窗保持关闭，强迫空气由进气口一侧门窗补偿流入车间，空气排着队，有秩序的由进气口流入车间，从车间流过，由负压风机排出车间</w:t>
            </w:r>
            <w:r>
              <w:rPr>
                <w:rFonts w:hint="eastAsia" w:eastAsiaTheme="minorEastAsia"/>
                <w:color w:val="auto"/>
                <w:sz w:val="24"/>
                <w:szCs w:val="24"/>
              </w:rPr>
              <w:t>。</w:t>
            </w:r>
          </w:p>
          <w:p w14:paraId="35490012">
            <w:pPr>
              <w:pStyle w:val="17"/>
              <w:ind w:left="0" w:firstLine="480" w:firstLineChars="200"/>
              <w:rPr>
                <w:rFonts w:ascii="Times New Roman"/>
                <w:color w:val="auto"/>
                <w:szCs w:val="24"/>
              </w:rPr>
            </w:pPr>
            <w:r>
              <w:rPr>
                <w:rFonts w:ascii="Times New Roman"/>
                <w:color w:val="auto"/>
                <w:szCs w:val="24"/>
              </w:rPr>
              <w:t>综合上述分析内容，</w:t>
            </w:r>
            <w:r>
              <w:rPr>
                <w:rFonts w:hint="eastAsia" w:ascii="Times New Roman"/>
                <w:color w:val="auto"/>
                <w:szCs w:val="24"/>
              </w:rPr>
              <w:t>本项目有机废气</w:t>
            </w:r>
            <w:r>
              <w:rPr>
                <w:rFonts w:ascii="Times New Roman"/>
                <w:color w:val="auto"/>
                <w:szCs w:val="24"/>
              </w:rPr>
              <w:t>采取</w:t>
            </w:r>
            <w:r>
              <w:rPr>
                <w:rFonts w:hint="eastAsia" w:ascii="Times New Roman"/>
                <w:color w:val="auto"/>
                <w:szCs w:val="24"/>
              </w:rPr>
              <w:t>催化燃烧处理</w:t>
            </w:r>
            <w:r>
              <w:rPr>
                <w:rFonts w:ascii="Times New Roman"/>
                <w:color w:val="auto"/>
                <w:szCs w:val="24"/>
              </w:rPr>
              <w:t>方式可行</w:t>
            </w:r>
            <w:r>
              <w:rPr>
                <w:rFonts w:hint="eastAsia" w:ascii="Times New Roman"/>
                <w:color w:val="auto"/>
                <w:szCs w:val="24"/>
              </w:rPr>
              <w:t>。</w:t>
            </w:r>
          </w:p>
          <w:p w14:paraId="01E2BDD7">
            <w:pPr>
              <w:pStyle w:val="17"/>
              <w:ind w:left="0" w:firstLine="482" w:firstLineChars="200"/>
              <w:rPr>
                <w:rFonts w:ascii="Times New Roman"/>
                <w:b/>
                <w:color w:val="auto"/>
              </w:rPr>
            </w:pPr>
            <w:r>
              <w:rPr>
                <w:rFonts w:ascii="Times New Roman"/>
                <w:b/>
                <w:color w:val="auto"/>
              </w:rPr>
              <w:t>二、水环境影响分析</w:t>
            </w:r>
          </w:p>
          <w:p w14:paraId="021B9D9B">
            <w:pPr>
              <w:adjustRightInd w:val="0"/>
              <w:spacing w:line="360" w:lineRule="auto"/>
              <w:ind w:firstLine="480" w:firstLineChars="200"/>
              <w:textAlignment w:val="baseline"/>
              <w:rPr>
                <w:color w:val="auto"/>
                <w:sz w:val="24"/>
                <w:szCs w:val="24"/>
              </w:rPr>
            </w:pPr>
            <w:r>
              <w:rPr>
                <w:color w:val="auto"/>
                <w:sz w:val="24"/>
                <w:szCs w:val="24"/>
              </w:rPr>
              <w:t>1、地表水环境影响分析</w:t>
            </w:r>
          </w:p>
          <w:p w14:paraId="59FBC33D">
            <w:pPr>
              <w:spacing w:line="360" w:lineRule="auto"/>
              <w:ind w:firstLine="480" w:firstLineChars="200"/>
              <w:jc w:val="left"/>
              <w:rPr>
                <w:sz w:val="24"/>
              </w:rPr>
            </w:pPr>
            <w:r>
              <w:rPr>
                <w:color w:val="auto"/>
                <w:sz w:val="24"/>
                <w:szCs w:val="24"/>
              </w:rPr>
              <w:t>项目运营期间</w:t>
            </w:r>
            <w:r>
              <w:rPr>
                <w:rFonts w:hint="eastAsia"/>
                <w:color w:val="auto"/>
                <w:sz w:val="24"/>
                <w:szCs w:val="24"/>
                <w:lang w:eastAsia="zh-CN"/>
              </w:rPr>
              <w:t>喷漆工序</w:t>
            </w:r>
            <w:r>
              <w:rPr>
                <w:rFonts w:hint="eastAsia"/>
                <w:color w:val="auto"/>
                <w:sz w:val="24"/>
                <w:lang w:eastAsia="zh-CN"/>
              </w:rPr>
              <w:t>使用</w:t>
            </w:r>
            <w:r>
              <w:rPr>
                <w:rFonts w:eastAsia="新宋体"/>
                <w:color w:val="auto"/>
                <w:sz w:val="24"/>
                <w:szCs w:val="24"/>
              </w:rPr>
              <w:t>水喷淋装置</w:t>
            </w:r>
            <w:r>
              <w:rPr>
                <w:rFonts w:hint="eastAsia" w:eastAsia="新宋体"/>
                <w:color w:val="auto"/>
                <w:sz w:val="24"/>
                <w:szCs w:val="24"/>
                <w:lang w:eastAsia="zh-CN"/>
              </w:rPr>
              <w:t>除漆雾，产生的</w:t>
            </w:r>
            <w:r>
              <w:rPr>
                <w:color w:val="auto"/>
                <w:sz w:val="24"/>
                <w:szCs w:val="24"/>
              </w:rPr>
              <w:t>废水经沉淀分离漆渣后循环使用，</w:t>
            </w:r>
            <w:r>
              <w:rPr>
                <w:rFonts w:hint="eastAsia"/>
                <w:color w:val="auto"/>
                <w:sz w:val="24"/>
                <w:szCs w:val="24"/>
              </w:rPr>
              <w:t>定期补充</w:t>
            </w:r>
            <w:r>
              <w:rPr>
                <w:color w:val="auto"/>
                <w:sz w:val="24"/>
                <w:szCs w:val="24"/>
              </w:rPr>
              <w:t>，</w:t>
            </w:r>
            <w:r>
              <w:rPr>
                <w:rFonts w:hint="eastAsia"/>
                <w:color w:val="auto"/>
                <w:sz w:val="24"/>
                <w:szCs w:val="24"/>
              </w:rPr>
              <w:t>产生少量废液</w:t>
            </w:r>
            <w:r>
              <w:rPr>
                <w:rFonts w:hint="eastAsia"/>
                <w:color w:val="auto"/>
                <w:sz w:val="24"/>
                <w:szCs w:val="24"/>
                <w:lang w:eastAsia="zh-CN"/>
              </w:rPr>
              <w:t>，产生量为</w:t>
            </w:r>
            <w:r>
              <w:rPr>
                <w:rFonts w:hint="eastAsia"/>
                <w:color w:val="auto"/>
                <w:sz w:val="24"/>
                <w:szCs w:val="24"/>
                <w:lang w:val="en-US" w:eastAsia="zh-CN"/>
              </w:rPr>
              <w:t>2t/a，</w:t>
            </w:r>
            <w:r>
              <w:rPr>
                <w:rFonts w:hint="eastAsia"/>
                <w:color w:val="auto"/>
                <w:sz w:val="24"/>
                <w:szCs w:val="24"/>
              </w:rPr>
              <w:t>委托有危废处置资质的单位处置</w:t>
            </w:r>
            <w:r>
              <w:rPr>
                <w:color w:val="auto"/>
                <w:sz w:val="24"/>
                <w:szCs w:val="24"/>
              </w:rPr>
              <w:t>；磨杆工序废水经沉淀后循环使用，</w:t>
            </w:r>
            <w:r>
              <w:rPr>
                <w:rFonts w:hint="eastAsia"/>
                <w:color w:val="auto"/>
                <w:sz w:val="24"/>
                <w:szCs w:val="24"/>
              </w:rPr>
              <w:t>定期补充</w:t>
            </w:r>
            <w:r>
              <w:rPr>
                <w:color w:val="auto"/>
                <w:sz w:val="24"/>
                <w:szCs w:val="24"/>
              </w:rPr>
              <w:t>，不外排</w:t>
            </w:r>
            <w:r>
              <w:rPr>
                <w:rFonts w:hint="eastAsia"/>
                <w:bCs/>
                <w:color w:val="auto"/>
                <w:sz w:val="24"/>
                <w:szCs w:val="24"/>
              </w:rPr>
              <w:t>。</w:t>
            </w:r>
            <w:r>
              <w:rPr>
                <w:bCs/>
                <w:color w:val="auto"/>
                <w:sz w:val="24"/>
                <w:szCs w:val="24"/>
              </w:rPr>
              <w:t>因此，本项目废水主要为生活</w:t>
            </w:r>
            <w:r>
              <w:rPr>
                <w:bCs/>
                <w:sz w:val="24"/>
                <w:szCs w:val="24"/>
              </w:rPr>
              <w:t>污水</w:t>
            </w:r>
            <w:r>
              <w:rPr>
                <w:rFonts w:hint="eastAsia"/>
                <w:bCs/>
                <w:sz w:val="24"/>
                <w:szCs w:val="24"/>
              </w:rPr>
              <w:t>，产生量约为960t/a，主要污染物为CODcr、氨氮等</w:t>
            </w:r>
            <w:r>
              <w:rPr>
                <w:rFonts w:hint="eastAsia"/>
                <w:sz w:val="24"/>
                <w:szCs w:val="24"/>
              </w:rPr>
              <w:t>。</w:t>
            </w:r>
            <w:r>
              <w:rPr>
                <w:sz w:val="24"/>
                <w:szCs w:val="24"/>
              </w:rPr>
              <w:t>参照</w:t>
            </w:r>
            <w:r>
              <w:rPr>
                <w:rFonts w:hint="eastAsia"/>
                <w:sz w:val="24"/>
                <w:szCs w:val="24"/>
              </w:rPr>
              <w:t>当地</w:t>
            </w:r>
            <w:r>
              <w:rPr>
                <w:sz w:val="24"/>
                <w:szCs w:val="24"/>
              </w:rPr>
              <w:t>生活污水水质，</w:t>
            </w:r>
            <w:r>
              <w:rPr>
                <w:rFonts w:hint="eastAsia"/>
                <w:sz w:val="24"/>
                <w:szCs w:val="24"/>
              </w:rPr>
              <w:t>本项目</w:t>
            </w:r>
            <w:r>
              <w:rPr>
                <w:sz w:val="24"/>
                <w:szCs w:val="24"/>
              </w:rPr>
              <w:t>生活污水中</w:t>
            </w:r>
            <w:r>
              <w:rPr>
                <w:rFonts w:hint="eastAsia"/>
                <w:sz w:val="24"/>
                <w:szCs w:val="24"/>
              </w:rPr>
              <w:t>CODcr</w:t>
            </w:r>
            <w:r>
              <w:rPr>
                <w:sz w:val="24"/>
                <w:szCs w:val="24"/>
              </w:rPr>
              <w:t>、氨氮产生浓度分别为</w:t>
            </w:r>
            <w:r>
              <w:rPr>
                <w:rFonts w:hint="eastAsia"/>
                <w:sz w:val="24"/>
                <w:szCs w:val="24"/>
              </w:rPr>
              <w:t>450</w:t>
            </w:r>
            <w:r>
              <w:rPr>
                <w:sz w:val="24"/>
                <w:szCs w:val="24"/>
              </w:rPr>
              <w:t>mg/L、</w:t>
            </w:r>
            <w:r>
              <w:rPr>
                <w:rFonts w:hint="eastAsia"/>
                <w:sz w:val="24"/>
                <w:szCs w:val="24"/>
              </w:rPr>
              <w:t>40</w:t>
            </w:r>
            <w:r>
              <w:rPr>
                <w:sz w:val="24"/>
                <w:szCs w:val="24"/>
              </w:rPr>
              <w:t>mg/L，</w:t>
            </w:r>
            <w:r>
              <w:rPr>
                <w:rFonts w:hint="eastAsia"/>
                <w:sz w:val="24"/>
                <w:szCs w:val="24"/>
              </w:rPr>
              <w:t>CODcr</w:t>
            </w:r>
            <w:r>
              <w:rPr>
                <w:sz w:val="24"/>
                <w:szCs w:val="24"/>
              </w:rPr>
              <w:t>产生量为</w:t>
            </w:r>
            <w:r>
              <w:rPr>
                <w:rFonts w:hint="eastAsia"/>
                <w:sz w:val="24"/>
                <w:szCs w:val="24"/>
              </w:rPr>
              <w:t>0.432</w:t>
            </w:r>
            <w:r>
              <w:rPr>
                <w:sz w:val="24"/>
                <w:szCs w:val="24"/>
              </w:rPr>
              <w:t>t/a，氨氮产生量为</w:t>
            </w:r>
            <w:r>
              <w:rPr>
                <w:rFonts w:hint="eastAsia"/>
                <w:sz w:val="24"/>
                <w:szCs w:val="24"/>
              </w:rPr>
              <w:t>0.038</w:t>
            </w:r>
            <w:r>
              <w:rPr>
                <w:sz w:val="24"/>
                <w:szCs w:val="24"/>
              </w:rPr>
              <w:t>t/a。经</w:t>
            </w:r>
            <w:r>
              <w:rPr>
                <w:rFonts w:hint="eastAsia"/>
                <w:sz w:val="24"/>
                <w:szCs w:val="24"/>
                <w:lang w:val="en-US" w:eastAsia="zh-CN"/>
              </w:rPr>
              <w:t>三级沉淀池</w:t>
            </w:r>
            <w:r>
              <w:rPr>
                <w:sz w:val="24"/>
                <w:szCs w:val="24"/>
              </w:rPr>
              <w:t>预处理后的污水中污染物</w:t>
            </w:r>
            <w:r>
              <w:rPr>
                <w:rFonts w:hint="eastAsia"/>
                <w:sz w:val="24"/>
                <w:szCs w:val="24"/>
              </w:rPr>
              <w:t>CODcr</w:t>
            </w:r>
            <w:r>
              <w:rPr>
                <w:sz w:val="24"/>
                <w:szCs w:val="24"/>
              </w:rPr>
              <w:t>、氨氮排放浓度分别为350mg/L、25 mg/L，</w:t>
            </w:r>
            <w:r>
              <w:rPr>
                <w:rFonts w:hint="eastAsia"/>
                <w:sz w:val="24"/>
                <w:szCs w:val="24"/>
              </w:rPr>
              <w:t>CODcr</w:t>
            </w:r>
            <w:r>
              <w:rPr>
                <w:sz w:val="24"/>
                <w:szCs w:val="24"/>
              </w:rPr>
              <w:t>排放量为</w:t>
            </w:r>
            <w:r>
              <w:rPr>
                <w:rFonts w:hint="eastAsia"/>
                <w:sz w:val="24"/>
                <w:szCs w:val="24"/>
              </w:rPr>
              <w:t>0.336</w:t>
            </w:r>
            <w:r>
              <w:rPr>
                <w:sz w:val="24"/>
                <w:szCs w:val="24"/>
              </w:rPr>
              <w:t>t/a，氨氮排放量为</w:t>
            </w:r>
            <w:r>
              <w:rPr>
                <w:rFonts w:hint="eastAsia"/>
                <w:sz w:val="24"/>
                <w:szCs w:val="24"/>
              </w:rPr>
              <w:t>0.024</w:t>
            </w:r>
            <w:r>
              <w:rPr>
                <w:sz w:val="24"/>
                <w:szCs w:val="24"/>
              </w:rPr>
              <w:t>t/a</w:t>
            </w:r>
            <w:r>
              <w:rPr>
                <w:rFonts w:hint="eastAsia"/>
                <w:sz w:val="24"/>
                <w:szCs w:val="24"/>
              </w:rPr>
              <w:t>，</w:t>
            </w:r>
            <w:r>
              <w:rPr>
                <w:sz w:val="24"/>
                <w:szCs w:val="24"/>
              </w:rPr>
              <w:t>能够达到《污水排入城镇下水道水质标准》（GB/T31962-2015）表1中的B等级标准，</w:t>
            </w:r>
            <w:r>
              <w:rPr>
                <w:rFonts w:hint="eastAsia"/>
                <w:sz w:val="24"/>
                <w:szCs w:val="24"/>
                <w:lang w:val="en-US" w:eastAsia="zh-CN"/>
              </w:rPr>
              <w:t>定期由罐车抽</w:t>
            </w:r>
            <w:r>
              <w:rPr>
                <w:sz w:val="24"/>
                <w:szCs w:val="24"/>
              </w:rPr>
              <w:t>送至</w:t>
            </w:r>
            <w:r>
              <w:rPr>
                <w:rFonts w:hint="eastAsia"/>
                <w:sz w:val="24"/>
                <w:szCs w:val="24"/>
              </w:rPr>
              <w:t>威海经区污水处理厂</w:t>
            </w:r>
            <w:r>
              <w:rPr>
                <w:sz w:val="24"/>
                <w:szCs w:val="24"/>
              </w:rPr>
              <w:t>集中处理，达到《城镇污水处理厂污染物排放标准》（GB18918-2002）一级A标准（CODcr50mg/l、氨氮5（8）mg/l）后排</w:t>
            </w:r>
            <w:r>
              <w:rPr>
                <w:rFonts w:hint="eastAsia"/>
                <w:sz w:val="24"/>
                <w:szCs w:val="24"/>
              </w:rPr>
              <w:t>海</w:t>
            </w:r>
            <w:r>
              <w:rPr>
                <w:sz w:val="24"/>
                <w:szCs w:val="24"/>
              </w:rPr>
              <w:t>，</w:t>
            </w:r>
            <w:r>
              <w:rPr>
                <w:rFonts w:hint="eastAsia"/>
                <w:sz w:val="24"/>
                <w:szCs w:val="24"/>
              </w:rPr>
              <w:t>CODcr</w:t>
            </w:r>
            <w:r>
              <w:rPr>
                <w:sz w:val="24"/>
                <w:szCs w:val="24"/>
              </w:rPr>
              <w:t>、氨氮排入外环境的量分别为</w:t>
            </w:r>
            <w:r>
              <w:rPr>
                <w:rFonts w:hint="eastAsia"/>
                <w:sz w:val="24"/>
                <w:szCs w:val="24"/>
              </w:rPr>
              <w:t>0.048</w:t>
            </w:r>
            <w:r>
              <w:rPr>
                <w:sz w:val="24"/>
                <w:szCs w:val="24"/>
              </w:rPr>
              <w:t>t/a、0.00</w:t>
            </w:r>
            <w:r>
              <w:rPr>
                <w:rFonts w:hint="eastAsia"/>
                <w:sz w:val="24"/>
                <w:szCs w:val="24"/>
              </w:rPr>
              <w:t>6</w:t>
            </w:r>
            <w:r>
              <w:rPr>
                <w:sz w:val="24"/>
                <w:szCs w:val="24"/>
              </w:rPr>
              <w:t>t/a</w:t>
            </w:r>
            <w:r>
              <w:rPr>
                <w:sz w:val="24"/>
              </w:rPr>
              <w:t>。其总量纳入</w:t>
            </w:r>
            <w:r>
              <w:rPr>
                <w:rFonts w:hint="eastAsia"/>
                <w:sz w:val="24"/>
              </w:rPr>
              <w:t>威海经区污水处理厂</w:t>
            </w:r>
            <w:r>
              <w:rPr>
                <w:sz w:val="24"/>
              </w:rPr>
              <w:t>总量指标。</w:t>
            </w:r>
          </w:p>
          <w:p w14:paraId="29CD7D75">
            <w:pPr>
              <w:bidi w:val="0"/>
              <w:spacing w:line="360" w:lineRule="auto"/>
              <w:ind w:firstLine="480" w:firstLineChars="200"/>
              <w:jc w:val="left"/>
              <w:rPr>
                <w:rFonts w:hint="eastAsia" w:eastAsia="宋体"/>
                <w:sz w:val="24"/>
                <w:szCs w:val="24"/>
                <w:lang w:eastAsia="zh-CN"/>
              </w:rPr>
            </w:pPr>
            <w:r>
              <w:rPr>
                <w:rFonts w:hint="default" w:ascii="Times New Roman" w:hAnsi="Times New Roman" w:cs="Times New Roman" w:eastAsiaTheme="minorEastAsia"/>
                <w:sz w:val="24"/>
                <w:szCs w:val="24"/>
              </w:rPr>
              <w:t>项目沉淀池</w:t>
            </w:r>
            <w:r>
              <w:rPr>
                <w:rFonts w:hint="eastAsia" w:ascii="Times New Roman" w:hAnsi="Times New Roman" w:cs="Times New Roman" w:eastAsiaTheme="minorEastAsia"/>
                <w:sz w:val="24"/>
                <w:szCs w:val="24"/>
                <w:lang w:val="en-US" w:eastAsia="zh-CN"/>
              </w:rPr>
              <w:t>为三级沉淀池，</w:t>
            </w:r>
            <w:r>
              <w:rPr>
                <w:rFonts w:hint="default" w:ascii="Times New Roman" w:hAnsi="Times New Roman" w:cs="Times New Roman" w:eastAsiaTheme="minorEastAsia"/>
                <w:sz w:val="24"/>
                <w:szCs w:val="24"/>
              </w:rPr>
              <w:t>尺寸为</w:t>
            </w:r>
            <w:r>
              <w:rPr>
                <w:rFonts w:hint="eastAsia" w:ascii="Times New Roman" w:hAnsi="Times New Roman" w:cs="Times New Roman" w:eastAsiaTheme="minorEastAsia"/>
                <w:sz w:val="24"/>
                <w:szCs w:val="24"/>
                <w:lang w:val="en-US" w:eastAsia="zh-CN"/>
              </w:rPr>
              <w:t>2</w:t>
            </w:r>
            <w:r>
              <w:rPr>
                <w:rFonts w:hint="default" w:ascii="Times New Roman" w:hAnsi="Times New Roman" w:cs="Times New Roman" w:eastAsiaTheme="minorEastAsia"/>
                <w:sz w:val="24"/>
                <w:szCs w:val="24"/>
              </w:rPr>
              <w:t>m×</w:t>
            </w:r>
            <w:r>
              <w:rPr>
                <w:rFonts w:hint="eastAsia" w:ascii="Times New Roman" w:hAnsi="Times New Roman" w:cs="Times New Roman" w:eastAsiaTheme="minorEastAsia"/>
                <w:sz w:val="24"/>
                <w:szCs w:val="24"/>
                <w:lang w:val="en-US" w:eastAsia="zh-CN"/>
              </w:rPr>
              <w:t>1.8</w:t>
            </w:r>
            <w:r>
              <w:rPr>
                <w:rFonts w:hint="default" w:ascii="Times New Roman" w:hAnsi="Times New Roman" w:cs="Times New Roman" w:eastAsiaTheme="minorEastAsia"/>
                <w:sz w:val="24"/>
                <w:szCs w:val="24"/>
              </w:rPr>
              <w:t>m×</w:t>
            </w:r>
            <w:r>
              <w:rPr>
                <w:rFonts w:hint="eastAsia" w:ascii="Times New Roman" w:hAnsi="Times New Roman" w:cs="Times New Roman" w:eastAsiaTheme="minorEastAsia"/>
                <w:sz w:val="24"/>
                <w:szCs w:val="24"/>
                <w:lang w:val="en-US" w:eastAsia="zh-CN"/>
              </w:rPr>
              <w:t>1.4</w:t>
            </w:r>
            <w:r>
              <w:rPr>
                <w:rFonts w:hint="default" w:ascii="Times New Roman" w:hAnsi="Times New Roman" w:cs="Times New Roman" w:eastAsiaTheme="minorEastAsia"/>
                <w:sz w:val="24"/>
                <w:szCs w:val="24"/>
              </w:rPr>
              <w:t>m，容积为</w:t>
            </w:r>
            <w:r>
              <w:rPr>
                <w:rFonts w:hint="eastAsia"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m</w:t>
            </w:r>
            <w:r>
              <w:rPr>
                <w:rFonts w:hint="default" w:ascii="Times New Roman" w:hAnsi="Times New Roman" w:cs="Times New Roman" w:eastAsiaTheme="minorEastAsia"/>
                <w:sz w:val="24"/>
                <w:szCs w:val="24"/>
                <w:vertAlign w:val="superscript"/>
              </w:rPr>
              <w:t>3</w:t>
            </w:r>
            <w:r>
              <w:rPr>
                <w:rFonts w:hint="default" w:ascii="Times New Roman" w:hAnsi="Times New Roman" w:cs="Times New Roman" w:eastAsiaTheme="minorEastAsia"/>
                <w:sz w:val="24"/>
                <w:szCs w:val="24"/>
              </w:rPr>
              <w:t>，沉淀时间取24h，则沉淀池日处理量为</w:t>
            </w:r>
            <w:r>
              <w:rPr>
                <w:rFonts w:hint="eastAsia"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rPr>
              <w:t>m</w:t>
            </w:r>
            <w:r>
              <w:rPr>
                <w:rFonts w:hint="default" w:ascii="Times New Roman" w:hAnsi="Times New Roman" w:cs="Times New Roman" w:eastAsiaTheme="minorEastAsia"/>
                <w:sz w:val="24"/>
                <w:szCs w:val="24"/>
                <w:vertAlign w:val="superscript"/>
              </w:rPr>
              <w:t>3</w:t>
            </w:r>
            <w:r>
              <w:rPr>
                <w:rFonts w:hint="default" w:ascii="Times New Roman" w:hAnsi="Times New Roman" w:cs="Times New Roman" w:eastAsiaTheme="minorEastAsia"/>
                <w:sz w:val="24"/>
                <w:szCs w:val="24"/>
              </w:rPr>
              <w:t>/d。</w:t>
            </w:r>
            <w:r>
              <w:rPr>
                <w:rFonts w:hint="eastAsia" w:ascii="Times New Roman" w:hAnsi="Times New Roman" w:cs="Times New Roman" w:eastAsiaTheme="minorEastAsia"/>
                <w:sz w:val="24"/>
                <w:szCs w:val="24"/>
                <w:lang w:val="en-US" w:eastAsia="zh-CN"/>
              </w:rPr>
              <w:t>生活污水</w:t>
            </w:r>
            <w:r>
              <w:rPr>
                <w:rFonts w:hint="default" w:ascii="Times New Roman" w:hAnsi="Times New Roman" w:cs="Times New Roman" w:eastAsiaTheme="minorEastAsia"/>
                <w:sz w:val="24"/>
                <w:szCs w:val="24"/>
              </w:rPr>
              <w:t>通过沉淀、浮选、过滤等物理方法去除污水中的悬浮状固体物质，得到初步净化</w:t>
            </w:r>
            <w:r>
              <w:rPr>
                <w:rFonts w:hint="eastAsia"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利用生物化学作用，对污水进行</w:t>
            </w:r>
            <w:r>
              <w:rPr>
                <w:rFonts w:hint="eastAsia" w:ascii="Times New Roman" w:hAnsi="Times New Roman" w:cs="Times New Roman" w:eastAsiaTheme="minorEastAsia"/>
                <w:sz w:val="24"/>
                <w:szCs w:val="24"/>
                <w:lang w:val="en-US" w:eastAsia="zh-CN"/>
              </w:rPr>
              <w:t>二级</w:t>
            </w:r>
            <w:r>
              <w:rPr>
                <w:rFonts w:hint="default" w:ascii="Times New Roman" w:hAnsi="Times New Roman" w:cs="Times New Roman" w:eastAsiaTheme="minorEastAsia"/>
                <w:sz w:val="24"/>
                <w:szCs w:val="24"/>
              </w:rPr>
              <w:t>处理。</w:t>
            </w:r>
            <w:r>
              <w:rPr>
                <w:rFonts w:hint="eastAsia" w:ascii="Times New Roman" w:hAnsi="Times New Roman" w:cs="Times New Roman" w:eastAsiaTheme="minorEastAsia"/>
                <w:sz w:val="24"/>
                <w:szCs w:val="24"/>
                <w:lang w:val="en-US" w:eastAsia="zh-CN"/>
              </w:rPr>
              <w:t>最后</w:t>
            </w:r>
            <w:r>
              <w:rPr>
                <w:rFonts w:hint="default" w:ascii="Times New Roman" w:hAnsi="Times New Roman" w:cs="Times New Roman" w:eastAsiaTheme="minorEastAsia"/>
                <w:sz w:val="24"/>
                <w:szCs w:val="24"/>
              </w:rPr>
              <w:t>根据进水水质，采用</w:t>
            </w:r>
            <w:r>
              <w:rPr>
                <w:rFonts w:hint="eastAsia" w:ascii="Times New Roman" w:hAnsi="Times New Roman" w:cs="Times New Roman" w:eastAsiaTheme="minorEastAsia"/>
                <w:sz w:val="24"/>
                <w:szCs w:val="24"/>
                <w:lang w:val="en-US" w:eastAsia="zh-CN"/>
              </w:rPr>
              <w:t>逆渗透</w:t>
            </w:r>
            <w:r>
              <w:rPr>
                <w:rFonts w:hint="default" w:ascii="Times New Roman" w:hAnsi="Times New Roman" w:cs="Times New Roman" w:eastAsiaTheme="minorEastAsia"/>
                <w:sz w:val="24"/>
                <w:szCs w:val="24"/>
              </w:rPr>
              <w:t>处理方法</w:t>
            </w:r>
            <w:r>
              <w:rPr>
                <w:rFonts w:hint="eastAsia" w:ascii="Times New Roman" w:hAnsi="Times New Roman" w:cs="Times New Roman" w:eastAsiaTheme="minorEastAsia"/>
                <w:sz w:val="24"/>
                <w:szCs w:val="24"/>
                <w:lang w:val="en-US" w:eastAsia="zh-CN"/>
              </w:rPr>
              <w:t>进行</w:t>
            </w:r>
            <w:r>
              <w:rPr>
                <w:rFonts w:hint="default" w:ascii="Times New Roman" w:hAnsi="Times New Roman" w:cs="Times New Roman" w:eastAsiaTheme="minorEastAsia"/>
                <w:sz w:val="24"/>
                <w:szCs w:val="24"/>
              </w:rPr>
              <w:t>深度处理后达到</w:t>
            </w:r>
            <w:r>
              <w:rPr>
                <w:sz w:val="24"/>
                <w:szCs w:val="24"/>
              </w:rPr>
              <w:t>《污水排入城镇下水道水质标准》（GB/T31962-2015）表1中的B等级标准，</w:t>
            </w:r>
            <w:r>
              <w:rPr>
                <w:rFonts w:hint="eastAsia"/>
                <w:sz w:val="24"/>
                <w:szCs w:val="24"/>
                <w:lang w:val="en-US" w:eastAsia="zh-CN"/>
              </w:rPr>
              <w:t>定期由罐车抽</w:t>
            </w:r>
            <w:r>
              <w:rPr>
                <w:sz w:val="24"/>
                <w:szCs w:val="24"/>
              </w:rPr>
              <w:t>送至</w:t>
            </w:r>
            <w:r>
              <w:rPr>
                <w:rFonts w:hint="eastAsia"/>
                <w:sz w:val="24"/>
                <w:szCs w:val="24"/>
              </w:rPr>
              <w:t>威海经区污水处理厂</w:t>
            </w:r>
            <w:r>
              <w:rPr>
                <w:sz w:val="24"/>
                <w:szCs w:val="24"/>
              </w:rPr>
              <w:t>集中处理</w:t>
            </w:r>
            <w:r>
              <w:rPr>
                <w:rFonts w:hint="eastAsia"/>
                <w:sz w:val="24"/>
                <w:szCs w:val="24"/>
                <w:lang w:eastAsia="zh-CN"/>
              </w:rPr>
              <w:t>，</w:t>
            </w:r>
            <w:r>
              <w:rPr>
                <w:rFonts w:hint="eastAsia" w:eastAsiaTheme="minorEastAsia"/>
                <w:sz w:val="24"/>
                <w:szCs w:val="24"/>
                <w:lang w:val="en-US" w:eastAsia="zh-CN"/>
              </w:rPr>
              <w:t>待项目</w:t>
            </w:r>
            <w:r>
              <w:rPr>
                <w:rFonts w:eastAsiaTheme="minorEastAsia"/>
                <w:sz w:val="24"/>
                <w:szCs w:val="24"/>
              </w:rPr>
              <w:t>区域污水管网铺设完善</w:t>
            </w:r>
            <w:r>
              <w:rPr>
                <w:rFonts w:hint="eastAsia" w:eastAsiaTheme="minorEastAsia"/>
                <w:sz w:val="24"/>
                <w:szCs w:val="24"/>
                <w:lang w:val="en-US" w:eastAsia="zh-CN"/>
              </w:rPr>
              <w:t>后项目应及时并入市政污水管网</w:t>
            </w:r>
            <w:r>
              <w:rPr>
                <w:rFonts w:hint="eastAsia" w:eastAsiaTheme="minorEastAsia"/>
                <w:sz w:val="24"/>
                <w:szCs w:val="24"/>
                <w:lang w:eastAsia="zh-CN"/>
              </w:rPr>
              <w:t>。</w:t>
            </w:r>
          </w:p>
          <w:p w14:paraId="6E0E5293">
            <w:pPr>
              <w:pStyle w:val="36"/>
              <w:rPr>
                <w:rFonts w:hint="eastAsia" w:eastAsiaTheme="minorEastAsia"/>
                <w:lang w:val="en-US" w:eastAsia="zh-CN"/>
              </w:rPr>
            </w:pPr>
            <w:r>
              <w:rPr>
                <w:rFonts w:hint="eastAsia" w:ascii="Times New Roman" w:hAnsi="Times New Roman" w:cs="Times New Roman" w:eastAsiaTheme="minorEastAsia"/>
                <w:sz w:val="24"/>
                <w:szCs w:val="24"/>
                <w:lang w:eastAsia="zh-CN"/>
              </w:rPr>
              <w:t>综上所述，</w:t>
            </w:r>
            <w:r>
              <w:rPr>
                <w:rFonts w:hint="eastAsia"/>
                <w:sz w:val="24"/>
                <w:szCs w:val="24"/>
                <w:lang w:val="en-US" w:eastAsia="zh-CN"/>
              </w:rPr>
              <w:t>项目生活污水日排放量为3.2</w:t>
            </w:r>
            <w:r>
              <w:rPr>
                <w:rFonts w:hint="default" w:ascii="Times New Roman" w:hAnsi="Times New Roman" w:cs="Times New Roman" w:eastAsiaTheme="minorEastAsia"/>
                <w:sz w:val="24"/>
                <w:szCs w:val="24"/>
              </w:rPr>
              <w:t>m</w:t>
            </w:r>
            <w:r>
              <w:rPr>
                <w:rFonts w:hint="default" w:ascii="Times New Roman" w:hAnsi="Times New Roman" w:cs="Times New Roman" w:eastAsiaTheme="minorEastAsia"/>
                <w:sz w:val="24"/>
                <w:szCs w:val="24"/>
                <w:vertAlign w:val="superscript"/>
              </w:rPr>
              <w:t>3</w:t>
            </w:r>
            <w:r>
              <w:rPr>
                <w:rFonts w:hint="default" w:ascii="Times New Roman" w:hAnsi="Times New Roman" w:cs="Times New Roman" w:eastAsiaTheme="minorEastAsia"/>
                <w:sz w:val="24"/>
                <w:szCs w:val="24"/>
              </w:rPr>
              <w:t>/d</w:t>
            </w:r>
            <w:r>
              <w:rPr>
                <w:rFonts w:hint="eastAsia" w:ascii="Times New Roman" w:hAnsi="Times New Roman" w:cs="Times New Roman" w:eastAsiaTheme="minorEastAsia"/>
                <w:sz w:val="24"/>
                <w:szCs w:val="24"/>
                <w:lang w:eastAsia="zh-CN"/>
              </w:rPr>
              <w:t>，</w:t>
            </w:r>
            <w:r>
              <w:rPr>
                <w:rFonts w:hint="eastAsia" w:ascii="Times New Roman" w:hAnsi="Times New Roman" w:cs="Times New Roman" w:eastAsiaTheme="minorEastAsia"/>
                <w:sz w:val="24"/>
                <w:szCs w:val="24"/>
                <w:lang w:val="en-US" w:eastAsia="zh-CN"/>
              </w:rPr>
              <w:t>沉淀池日处理量为5</w:t>
            </w:r>
            <w:r>
              <w:rPr>
                <w:rFonts w:hint="default" w:ascii="Times New Roman" w:hAnsi="Times New Roman" w:cs="Times New Roman" w:eastAsiaTheme="minorEastAsia"/>
                <w:sz w:val="24"/>
                <w:szCs w:val="24"/>
              </w:rPr>
              <w:t>m</w:t>
            </w:r>
            <w:r>
              <w:rPr>
                <w:rFonts w:hint="default" w:ascii="Times New Roman" w:hAnsi="Times New Roman" w:cs="Times New Roman" w:eastAsiaTheme="minorEastAsia"/>
                <w:sz w:val="24"/>
                <w:szCs w:val="24"/>
                <w:vertAlign w:val="superscript"/>
              </w:rPr>
              <w:t>3</w:t>
            </w:r>
            <w:r>
              <w:rPr>
                <w:rFonts w:hint="default" w:ascii="Times New Roman" w:hAnsi="Times New Roman" w:cs="Times New Roman" w:eastAsiaTheme="minorEastAsia"/>
                <w:sz w:val="24"/>
                <w:szCs w:val="24"/>
              </w:rPr>
              <w:t>/d</w:t>
            </w:r>
            <w:r>
              <w:rPr>
                <w:rFonts w:hint="eastAsia"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处理工艺和处理能力均能满足项目要求</w:t>
            </w:r>
            <w:r>
              <w:rPr>
                <w:rFonts w:hint="eastAsia" w:ascii="Times New Roman" w:hAnsi="Times New Roman" w:cs="Times New Roman" w:eastAsiaTheme="minorEastAsia"/>
                <w:sz w:val="24"/>
                <w:szCs w:val="24"/>
                <w:lang w:eastAsia="zh-CN"/>
              </w:rPr>
              <w:t>。</w:t>
            </w:r>
          </w:p>
          <w:p w14:paraId="7848072B">
            <w:pPr>
              <w:spacing w:line="360" w:lineRule="auto"/>
              <w:ind w:firstLine="480" w:firstLineChars="200"/>
              <w:jc w:val="left"/>
              <w:rPr>
                <w:rFonts w:eastAsiaTheme="minorEastAsia"/>
                <w:sz w:val="24"/>
                <w:szCs w:val="24"/>
              </w:rPr>
            </w:pPr>
            <w:r>
              <w:rPr>
                <w:sz w:val="24"/>
              </w:rPr>
              <w:t>根据《环境影响评价技术导则地表水环境》（HJ2.3-2018）中5.2 评价等级及表1水污染型建设</w:t>
            </w:r>
            <w:r>
              <w:rPr>
                <w:rFonts w:hint="eastAsia"/>
                <w:sz w:val="24"/>
              </w:rPr>
              <w:t>项目</w:t>
            </w:r>
            <w:r>
              <w:rPr>
                <w:sz w:val="24"/>
              </w:rPr>
              <w:t>评价等级判定表确定，本项目评价等级为三级B，可不进行水环境影响预测。</w:t>
            </w:r>
            <w:r>
              <w:rPr>
                <w:rFonts w:eastAsiaTheme="minorEastAsia"/>
                <w:sz w:val="24"/>
                <w:szCs w:val="24"/>
              </w:rPr>
              <w:t>三级B评价范围为：</w:t>
            </w:r>
          </w:p>
          <w:p w14:paraId="7C0E9FF6">
            <w:pPr>
              <w:spacing w:line="360" w:lineRule="auto"/>
              <w:ind w:firstLine="480" w:firstLineChars="200"/>
              <w:rPr>
                <w:rFonts w:eastAsiaTheme="minorEastAsia"/>
                <w:sz w:val="24"/>
                <w:szCs w:val="24"/>
              </w:rPr>
            </w:pPr>
            <w:r>
              <w:rPr>
                <w:rFonts w:eastAsiaTheme="minorEastAsia"/>
                <w:sz w:val="24"/>
                <w:szCs w:val="24"/>
              </w:rPr>
              <w:t>a）应满足其依托污水处理设施环境可行性分析的要求；</w:t>
            </w:r>
          </w:p>
          <w:p w14:paraId="2D1D4A38">
            <w:pPr>
              <w:spacing w:line="360" w:lineRule="auto"/>
              <w:ind w:firstLine="480" w:firstLineChars="200"/>
              <w:rPr>
                <w:rFonts w:eastAsiaTheme="minorEastAsia"/>
                <w:sz w:val="24"/>
                <w:szCs w:val="24"/>
              </w:rPr>
            </w:pPr>
            <w:r>
              <w:rPr>
                <w:rFonts w:eastAsiaTheme="minorEastAsia"/>
                <w:sz w:val="24"/>
                <w:szCs w:val="24"/>
              </w:rPr>
              <w:t>b）涉及地表水环境风险的，应覆盖环境风险影响范围所及的水环境保护目标水域。</w:t>
            </w:r>
          </w:p>
          <w:p w14:paraId="05700452">
            <w:pPr>
              <w:spacing w:line="360" w:lineRule="auto"/>
              <w:ind w:firstLine="480" w:firstLineChars="200"/>
              <w:rPr>
                <w:rFonts w:eastAsiaTheme="minorEastAsia"/>
                <w:sz w:val="24"/>
                <w:szCs w:val="24"/>
              </w:rPr>
            </w:pPr>
            <w:r>
              <w:rPr>
                <w:rFonts w:hint="eastAsia"/>
                <w:sz w:val="24"/>
              </w:rPr>
              <w:t>威海经区污水处理厂</w:t>
            </w:r>
            <w:r>
              <w:rPr>
                <w:rFonts w:eastAsiaTheme="minorEastAsia"/>
                <w:sz w:val="24"/>
                <w:szCs w:val="24"/>
              </w:rPr>
              <w:t>依托可行性：</w:t>
            </w:r>
          </w:p>
          <w:p w14:paraId="402D140A">
            <w:pPr>
              <w:spacing w:line="360" w:lineRule="auto"/>
              <w:ind w:firstLine="480" w:firstLineChars="200"/>
              <w:rPr>
                <w:rFonts w:eastAsiaTheme="minorEastAsia"/>
                <w:sz w:val="24"/>
                <w:szCs w:val="24"/>
              </w:rPr>
            </w:pPr>
            <w:r>
              <w:rPr>
                <w:rFonts w:eastAsiaTheme="minorEastAsia"/>
                <w:sz w:val="24"/>
                <w:szCs w:val="24"/>
              </w:rPr>
              <w:t>（1）</w:t>
            </w:r>
            <w:r>
              <w:rPr>
                <w:rFonts w:hint="eastAsia"/>
                <w:sz w:val="24"/>
              </w:rPr>
              <w:t>威海经区污水处理厂</w:t>
            </w:r>
            <w:r>
              <w:rPr>
                <w:rFonts w:eastAsiaTheme="minorEastAsia"/>
                <w:sz w:val="24"/>
                <w:szCs w:val="24"/>
              </w:rPr>
              <w:t>简介</w:t>
            </w:r>
          </w:p>
          <w:p w14:paraId="4D37B4F6">
            <w:pPr>
              <w:spacing w:line="360" w:lineRule="auto"/>
              <w:ind w:firstLine="480" w:firstLineChars="200"/>
              <w:rPr>
                <w:rFonts w:eastAsiaTheme="minorEastAsia"/>
                <w:sz w:val="24"/>
                <w:szCs w:val="24"/>
              </w:rPr>
            </w:pPr>
            <w:r>
              <w:rPr>
                <w:sz w:val="24"/>
              </w:rPr>
              <w:t>威海经区污水处理厂位于威海市经济技术开发区海埠路329号，全厂污水处理量为12万t/d，其中，回用水量2.0万t/d，深海排放10t/d。出水水质达到《城镇污水处理厂污染物排放标准》（GB18918-2002）中表1一级A标准要求。</w:t>
            </w:r>
            <w:r>
              <w:rPr>
                <w:rFonts w:hint="eastAsia"/>
                <w:sz w:val="24"/>
                <w:szCs w:val="24"/>
              </w:rPr>
              <w:t>该污水厂</w:t>
            </w:r>
            <w:r>
              <w:rPr>
                <w:sz w:val="24"/>
                <w:szCs w:val="24"/>
              </w:rPr>
              <w:t>排污许可证证书编号</w:t>
            </w:r>
            <w:r>
              <w:rPr>
                <w:rFonts w:hint="eastAsia"/>
                <w:sz w:val="24"/>
                <w:szCs w:val="24"/>
              </w:rPr>
              <w:t>为</w:t>
            </w:r>
            <w:r>
              <w:rPr>
                <w:sz w:val="24"/>
                <w:szCs w:val="24"/>
              </w:rPr>
              <w:t>91371000080896598M003U，</w:t>
            </w:r>
            <w:r>
              <w:rPr>
                <w:sz w:val="24"/>
              </w:rPr>
              <w:t>“十二五”期间，威海市政府分配给威海市经区污水处理厂的总量指标为COD2190t/a，氨氮273t/a（按每年夏季7个月，冬季5个月计算），因此，仍有一定的废水处理余量和污染物总量控制余量</w:t>
            </w:r>
            <w:r>
              <w:rPr>
                <w:rFonts w:eastAsiaTheme="minorEastAsia"/>
                <w:sz w:val="24"/>
                <w:szCs w:val="24"/>
              </w:rPr>
              <w:t>。</w:t>
            </w:r>
          </w:p>
          <w:p w14:paraId="440E4E5F">
            <w:pPr>
              <w:spacing w:line="360" w:lineRule="auto"/>
              <w:ind w:firstLine="480" w:firstLineChars="200"/>
              <w:rPr>
                <w:rFonts w:eastAsiaTheme="minorEastAsia"/>
                <w:sz w:val="24"/>
                <w:szCs w:val="24"/>
              </w:rPr>
            </w:pPr>
            <w:r>
              <w:rPr>
                <w:rFonts w:eastAsiaTheme="minorEastAsia"/>
                <w:sz w:val="24"/>
                <w:szCs w:val="24"/>
              </w:rPr>
              <w:t>（2）污水进入污水处理厂进行处理可行性分析</w:t>
            </w:r>
          </w:p>
          <w:p w14:paraId="43424B77">
            <w:pPr>
              <w:spacing w:line="360" w:lineRule="auto"/>
              <w:ind w:firstLine="480" w:firstLineChars="200"/>
              <w:rPr>
                <w:sz w:val="24"/>
                <w:szCs w:val="24"/>
              </w:rPr>
            </w:pPr>
            <w:r>
              <w:rPr>
                <w:rFonts w:eastAsiaTheme="minorEastAsia"/>
                <w:sz w:val="24"/>
                <w:szCs w:val="24"/>
              </w:rPr>
              <w:t>本项目</w:t>
            </w:r>
            <w:r>
              <w:rPr>
                <w:rFonts w:hint="eastAsia" w:eastAsiaTheme="minorEastAsia"/>
                <w:sz w:val="24"/>
                <w:szCs w:val="24"/>
                <w:lang w:val="en-US" w:eastAsia="zh-CN"/>
              </w:rPr>
              <w:t>污水定期由罐车抽送至</w:t>
            </w:r>
            <w:r>
              <w:rPr>
                <w:rFonts w:hint="eastAsia"/>
                <w:sz w:val="24"/>
              </w:rPr>
              <w:t>威海经区污水处理厂</w:t>
            </w:r>
            <w:r>
              <w:rPr>
                <w:rFonts w:eastAsiaTheme="minorEastAsia"/>
                <w:sz w:val="24"/>
                <w:szCs w:val="24"/>
              </w:rPr>
              <w:t>，</w:t>
            </w:r>
            <w:r>
              <w:rPr>
                <w:rFonts w:hint="eastAsia" w:eastAsiaTheme="minorEastAsia"/>
                <w:sz w:val="24"/>
                <w:szCs w:val="24"/>
                <w:lang w:val="en-US" w:eastAsia="zh-CN"/>
              </w:rPr>
              <w:t>待项目</w:t>
            </w:r>
            <w:r>
              <w:rPr>
                <w:rFonts w:eastAsiaTheme="minorEastAsia"/>
                <w:sz w:val="24"/>
                <w:szCs w:val="24"/>
              </w:rPr>
              <w:t>区域污水管网铺设完善</w:t>
            </w:r>
            <w:r>
              <w:rPr>
                <w:rFonts w:hint="eastAsia" w:eastAsiaTheme="minorEastAsia"/>
                <w:sz w:val="24"/>
                <w:szCs w:val="24"/>
                <w:lang w:val="en-US" w:eastAsia="zh-CN"/>
              </w:rPr>
              <w:t>后项目应及时并入市政污水管网</w:t>
            </w:r>
            <w:r>
              <w:rPr>
                <w:rFonts w:hint="eastAsia" w:eastAsiaTheme="minorEastAsia"/>
                <w:sz w:val="24"/>
                <w:szCs w:val="24"/>
                <w:lang w:eastAsia="zh-CN"/>
              </w:rPr>
              <w:t>。</w:t>
            </w:r>
            <w:r>
              <w:rPr>
                <w:rFonts w:hint="eastAsia"/>
                <w:bCs/>
                <w:sz w:val="24"/>
              </w:rPr>
              <w:t>本项目</w:t>
            </w:r>
            <w:r>
              <w:rPr>
                <w:bCs/>
                <w:sz w:val="24"/>
              </w:rPr>
              <w:t>污水排放量约</w:t>
            </w:r>
            <w:r>
              <w:rPr>
                <w:rFonts w:hint="eastAsia"/>
                <w:bCs/>
                <w:sz w:val="24"/>
              </w:rPr>
              <w:t>3.2</w:t>
            </w:r>
            <w:r>
              <w:rPr>
                <w:bCs/>
                <w:sz w:val="24"/>
              </w:rPr>
              <w:t>t/d，</w:t>
            </w:r>
            <w:r>
              <w:rPr>
                <w:sz w:val="24"/>
              </w:rPr>
              <w:t>占</w:t>
            </w:r>
            <w:r>
              <w:rPr>
                <w:rFonts w:hint="eastAsia"/>
                <w:sz w:val="24"/>
              </w:rPr>
              <w:t>威海经区污水处理厂</w:t>
            </w:r>
            <w:r>
              <w:rPr>
                <w:sz w:val="24"/>
              </w:rPr>
              <w:t>可纳污空间很小，且项目排水指标浓度满足</w:t>
            </w:r>
            <w:r>
              <w:rPr>
                <w:rFonts w:hint="eastAsia"/>
                <w:sz w:val="24"/>
              </w:rPr>
              <w:t>威海经区污水处理厂</w:t>
            </w:r>
            <w:r>
              <w:rPr>
                <w:sz w:val="24"/>
              </w:rPr>
              <w:t>设计进水指标，因此不会对</w:t>
            </w:r>
            <w:r>
              <w:rPr>
                <w:rFonts w:hint="eastAsia"/>
                <w:sz w:val="24"/>
              </w:rPr>
              <w:t>该污水站</w:t>
            </w:r>
            <w:r>
              <w:rPr>
                <w:sz w:val="24"/>
              </w:rPr>
              <w:t>的运行负荷造成冲击。因此，</w:t>
            </w:r>
            <w:r>
              <w:rPr>
                <w:rFonts w:hint="eastAsia"/>
                <w:sz w:val="24"/>
              </w:rPr>
              <w:t>威海经区污水处理厂</w:t>
            </w:r>
            <w:r>
              <w:rPr>
                <w:sz w:val="24"/>
              </w:rPr>
              <w:t>完全有能力接纳并处理项目废水</w:t>
            </w:r>
            <w:r>
              <w:rPr>
                <w:bCs/>
                <w:sz w:val="24"/>
              </w:rPr>
              <w:t>，并使项目废水得到充分处理，项目废水治理排放方案合理可行</w:t>
            </w:r>
            <w:r>
              <w:rPr>
                <w:rFonts w:hint="eastAsia"/>
                <w:bCs/>
                <w:sz w:val="24"/>
              </w:rPr>
              <w:t>。</w:t>
            </w:r>
          </w:p>
          <w:p w14:paraId="5B747B18">
            <w:pPr>
              <w:pStyle w:val="60"/>
              <w:adjustRightInd w:val="0"/>
              <w:snapToGrid w:val="0"/>
              <w:spacing w:line="360" w:lineRule="auto"/>
              <w:ind w:firstLine="480" w:firstLineChars="200"/>
              <w:rPr>
                <w:rFonts w:hint="eastAsia" w:ascii="Times New Roman" w:hAnsi="Times New Roman" w:eastAsia="宋体"/>
                <w:bCs/>
                <w:sz w:val="24"/>
                <w:szCs w:val="24"/>
                <w:lang w:eastAsia="zh-CN"/>
              </w:rPr>
            </w:pPr>
            <w:r>
              <w:rPr>
                <w:rFonts w:hint="eastAsia" w:ascii="Times New Roman"/>
                <w:sz w:val="24"/>
                <w:szCs w:val="24"/>
              </w:rPr>
              <w:t>项目生活污水</w:t>
            </w:r>
            <w:r>
              <w:rPr>
                <w:rFonts w:hint="eastAsia" w:ascii="Times New Roman" w:hAnsi="Times New Roman"/>
                <w:color w:val="000000"/>
                <w:sz w:val="24"/>
                <w:szCs w:val="24"/>
              </w:rPr>
              <w:t>不排入</w:t>
            </w:r>
            <w:r>
              <w:rPr>
                <w:rFonts w:hint="eastAsia" w:ascii="Times New Roman" w:hAnsi="Times New Roman" w:eastAsia="宋体"/>
                <w:color w:val="000000"/>
                <w:sz w:val="24"/>
                <w:szCs w:val="24"/>
                <w:lang w:eastAsia="zh-CN"/>
              </w:rPr>
              <w:t>五渚河</w:t>
            </w:r>
            <w:r>
              <w:rPr>
                <w:rFonts w:hint="eastAsia" w:ascii="Times New Roman" w:hAnsi="Times New Roman"/>
                <w:color w:val="000000"/>
                <w:sz w:val="24"/>
                <w:szCs w:val="24"/>
              </w:rPr>
              <w:t>，</w:t>
            </w:r>
            <w:r>
              <w:rPr>
                <w:rFonts w:ascii="Times New Roman" w:hAnsi="Times New Roman"/>
                <w:color w:val="000000"/>
                <w:sz w:val="24"/>
                <w:szCs w:val="24"/>
              </w:rPr>
              <w:t>因此对地表水无影响</w:t>
            </w:r>
            <w:r>
              <w:rPr>
                <w:rFonts w:ascii="Times New Roman"/>
                <w:sz w:val="24"/>
                <w:szCs w:val="24"/>
              </w:rPr>
              <w:t>。</w:t>
            </w:r>
            <w:r>
              <w:rPr>
                <w:rFonts w:hint="eastAsia"/>
                <w:sz w:val="24"/>
                <w:szCs w:val="24"/>
              </w:rPr>
              <w:t>化粪池、排污管道</w:t>
            </w:r>
            <w:r>
              <w:rPr>
                <w:rFonts w:hint="eastAsia"/>
                <w:sz w:val="24"/>
                <w:szCs w:val="24"/>
                <w:lang w:eastAsia="zh-CN"/>
              </w:rPr>
              <w:t>、</w:t>
            </w:r>
            <w:r>
              <w:rPr>
                <w:rFonts w:hint="eastAsia"/>
                <w:sz w:val="24"/>
                <w:szCs w:val="24"/>
                <w:lang w:val="en-US" w:eastAsia="zh-CN"/>
              </w:rPr>
              <w:t>沉淀池</w:t>
            </w:r>
            <w:r>
              <w:rPr>
                <w:rFonts w:ascii="Times New Roman"/>
                <w:sz w:val="24"/>
                <w:szCs w:val="24"/>
              </w:rPr>
              <w:t>等均采用水泥硬化、并作防渗处理，因此，</w:t>
            </w:r>
            <w:r>
              <w:rPr>
                <w:rFonts w:hint="eastAsia" w:ascii="Times New Roman"/>
                <w:sz w:val="24"/>
                <w:szCs w:val="24"/>
              </w:rPr>
              <w:t>生活</w:t>
            </w:r>
            <w:r>
              <w:rPr>
                <w:rFonts w:ascii="Times New Roman"/>
                <w:sz w:val="24"/>
                <w:szCs w:val="24"/>
              </w:rPr>
              <w:t>污水的输送、贮存</w:t>
            </w:r>
            <w:r>
              <w:rPr>
                <w:rFonts w:hint="eastAsia" w:ascii="Times New Roman"/>
                <w:sz w:val="24"/>
                <w:szCs w:val="24"/>
              </w:rPr>
              <w:t>等</w:t>
            </w:r>
            <w:r>
              <w:rPr>
                <w:rFonts w:ascii="Times New Roman"/>
                <w:sz w:val="24"/>
                <w:szCs w:val="24"/>
              </w:rPr>
              <w:t>环节发生泄漏的几率很小。</w:t>
            </w:r>
          </w:p>
          <w:p w14:paraId="675D87B1">
            <w:pPr>
              <w:pStyle w:val="111"/>
              <w:spacing w:line="360" w:lineRule="auto"/>
              <w:ind w:firstLine="480" w:firstLineChars="200"/>
              <w:jc w:val="both"/>
              <w:rPr>
                <w:sz w:val="24"/>
                <w:szCs w:val="24"/>
              </w:rPr>
            </w:pPr>
            <w:r>
              <w:rPr>
                <w:bCs/>
                <w:sz w:val="24"/>
                <w:szCs w:val="24"/>
              </w:rPr>
              <w:t>对地表水环境影响评价主要内容与结论进行自查，</w:t>
            </w:r>
            <w:r>
              <w:rPr>
                <w:sz w:val="24"/>
                <w:szCs w:val="24"/>
              </w:rPr>
              <w:t>如下表所示：</w:t>
            </w:r>
          </w:p>
          <w:p w14:paraId="1D01C08D">
            <w:pPr>
              <w:pStyle w:val="111"/>
              <w:rPr>
                <w:b/>
                <w:bCs/>
                <w:sz w:val="24"/>
                <w:szCs w:val="24"/>
              </w:rPr>
            </w:pPr>
            <w:r>
              <w:rPr>
                <w:b/>
                <w:bCs/>
                <w:sz w:val="24"/>
                <w:szCs w:val="24"/>
              </w:rPr>
              <w:t>表7-</w:t>
            </w:r>
            <w:r>
              <w:rPr>
                <w:rFonts w:hint="eastAsia"/>
                <w:b/>
                <w:bCs/>
                <w:sz w:val="24"/>
                <w:szCs w:val="24"/>
              </w:rPr>
              <w:t>12</w:t>
            </w:r>
            <w:r>
              <w:rPr>
                <w:b/>
                <w:bCs/>
                <w:sz w:val="24"/>
                <w:szCs w:val="24"/>
              </w:rPr>
              <w:t xml:space="preserve">  地表水环境影响评价自查表</w:t>
            </w:r>
          </w:p>
          <w:tbl>
            <w:tblPr>
              <w:tblStyle w:val="28"/>
              <w:tblW w:w="91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93"/>
              <w:gridCol w:w="1687"/>
              <w:gridCol w:w="1107"/>
              <w:gridCol w:w="138"/>
              <w:gridCol w:w="1012"/>
              <w:gridCol w:w="130"/>
              <w:gridCol w:w="391"/>
              <w:gridCol w:w="1222"/>
              <w:gridCol w:w="115"/>
              <w:gridCol w:w="29"/>
              <w:gridCol w:w="1181"/>
              <w:gridCol w:w="35"/>
              <w:gridCol w:w="369"/>
              <w:gridCol w:w="1351"/>
            </w:tblGrid>
            <w:tr w14:paraId="4F617A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2" w:hRule="atLeast"/>
                <w:tblHeader/>
                <w:jc w:val="center"/>
              </w:trPr>
              <w:tc>
                <w:tcPr>
                  <w:tcW w:w="2080" w:type="dxa"/>
                  <w:gridSpan w:val="2"/>
                  <w:tcBorders>
                    <w:tl2br w:val="nil"/>
                    <w:tr2bl w:val="nil"/>
                  </w:tcBorders>
                  <w:vAlign w:val="center"/>
                </w:tcPr>
                <w:p w14:paraId="5DD90B94">
                  <w:pPr>
                    <w:pStyle w:val="112"/>
                    <w:spacing w:line="240" w:lineRule="auto"/>
                    <w:ind w:firstLine="0" w:firstLineChars="0"/>
                  </w:pPr>
                  <w:r>
                    <w:t>工作内容</w:t>
                  </w:r>
                </w:p>
              </w:tc>
              <w:tc>
                <w:tcPr>
                  <w:tcW w:w="7080" w:type="dxa"/>
                  <w:gridSpan w:val="12"/>
                  <w:tcBorders>
                    <w:tl2br w:val="nil"/>
                    <w:tr2bl w:val="nil"/>
                  </w:tcBorders>
                  <w:vAlign w:val="center"/>
                </w:tcPr>
                <w:p w14:paraId="1136FD8B">
                  <w:pPr>
                    <w:pStyle w:val="112"/>
                    <w:spacing w:line="240" w:lineRule="auto"/>
                    <w:ind w:firstLine="0" w:firstLineChars="0"/>
                  </w:pPr>
                  <w:r>
                    <w:t>自查项目</w:t>
                  </w:r>
                </w:p>
              </w:tc>
            </w:tr>
            <w:tr w14:paraId="4A82346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8" w:hRule="atLeast"/>
                <w:tblHeader/>
                <w:jc w:val="center"/>
              </w:trPr>
              <w:tc>
                <w:tcPr>
                  <w:tcW w:w="393" w:type="dxa"/>
                  <w:vMerge w:val="restart"/>
                  <w:tcBorders>
                    <w:tl2br w:val="nil"/>
                    <w:tr2bl w:val="nil"/>
                  </w:tcBorders>
                  <w:vAlign w:val="center"/>
                </w:tcPr>
                <w:p w14:paraId="073AA4E3">
                  <w:pPr>
                    <w:pStyle w:val="112"/>
                    <w:spacing w:line="240" w:lineRule="auto"/>
                    <w:ind w:firstLine="0" w:firstLineChars="0"/>
                  </w:pPr>
                  <w:r>
                    <w:t>影</w:t>
                  </w:r>
                </w:p>
                <w:p w14:paraId="37A7BA63">
                  <w:pPr>
                    <w:pStyle w:val="112"/>
                    <w:spacing w:line="240" w:lineRule="auto"/>
                    <w:ind w:firstLine="0" w:firstLineChars="0"/>
                  </w:pPr>
                  <w:r>
                    <w:t>响</w:t>
                  </w:r>
                </w:p>
                <w:p w14:paraId="4464D219">
                  <w:pPr>
                    <w:pStyle w:val="112"/>
                    <w:spacing w:line="240" w:lineRule="auto"/>
                    <w:ind w:firstLine="0" w:firstLineChars="0"/>
                  </w:pPr>
                  <w:r>
                    <w:t>识</w:t>
                  </w:r>
                </w:p>
                <w:p w14:paraId="22F04022">
                  <w:pPr>
                    <w:pStyle w:val="112"/>
                    <w:spacing w:line="240" w:lineRule="auto"/>
                    <w:ind w:firstLine="0" w:firstLineChars="0"/>
                  </w:pPr>
                  <w:r>
                    <w:t>别</w:t>
                  </w:r>
                </w:p>
                <w:p w14:paraId="47512953">
                  <w:pPr>
                    <w:pStyle w:val="112"/>
                    <w:spacing w:line="240" w:lineRule="auto"/>
                    <w:ind w:firstLine="0" w:firstLineChars="0"/>
                  </w:pPr>
                </w:p>
              </w:tc>
              <w:tc>
                <w:tcPr>
                  <w:tcW w:w="1687" w:type="dxa"/>
                  <w:tcBorders>
                    <w:tl2br w:val="nil"/>
                    <w:tr2bl w:val="nil"/>
                  </w:tcBorders>
                  <w:vAlign w:val="center"/>
                </w:tcPr>
                <w:p w14:paraId="1204C491">
                  <w:pPr>
                    <w:pStyle w:val="112"/>
                    <w:spacing w:line="240" w:lineRule="auto"/>
                    <w:ind w:firstLine="0" w:firstLineChars="0"/>
                  </w:pPr>
                  <w:r>
                    <w:t>影响类型</w:t>
                  </w:r>
                </w:p>
              </w:tc>
              <w:tc>
                <w:tcPr>
                  <w:tcW w:w="7080" w:type="dxa"/>
                  <w:gridSpan w:val="12"/>
                  <w:tcBorders>
                    <w:tl2br w:val="nil"/>
                    <w:tr2bl w:val="nil"/>
                  </w:tcBorders>
                  <w:vAlign w:val="center"/>
                </w:tcPr>
                <w:p w14:paraId="2E7A2F83">
                  <w:pPr>
                    <w:pStyle w:val="112"/>
                    <w:spacing w:line="240" w:lineRule="auto"/>
                    <w:ind w:firstLine="0" w:firstLineChars="0"/>
                  </w:pPr>
                  <w:r>
                    <w:t>水污染影响型</w:t>
                  </w:r>
                  <w:r>
                    <w:rPr/>
                    <w:sym w:font="Wingdings" w:char="00FE"/>
                  </w:r>
                  <w:r>
                    <w:t>；水文要素影响型</w:t>
                  </w:r>
                  <w:r>
                    <w:rPr/>
                    <w:sym w:font="Wingdings" w:char="00A8"/>
                  </w:r>
                </w:p>
              </w:tc>
            </w:tr>
            <w:tr w14:paraId="4D85132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11" w:hRule="atLeast"/>
                <w:tblHeader/>
                <w:jc w:val="center"/>
              </w:trPr>
              <w:tc>
                <w:tcPr>
                  <w:tcW w:w="393" w:type="dxa"/>
                  <w:vMerge w:val="continue"/>
                  <w:tcBorders>
                    <w:tl2br w:val="nil"/>
                    <w:tr2bl w:val="nil"/>
                  </w:tcBorders>
                  <w:vAlign w:val="center"/>
                </w:tcPr>
                <w:p w14:paraId="21D94A62">
                  <w:pPr>
                    <w:pStyle w:val="112"/>
                    <w:tabs>
                      <w:tab w:val="clear" w:pos="630"/>
                    </w:tabs>
                    <w:spacing w:line="240" w:lineRule="auto"/>
                    <w:ind w:left="630" w:firstLine="0" w:firstLineChars="0"/>
                  </w:pPr>
                </w:p>
              </w:tc>
              <w:tc>
                <w:tcPr>
                  <w:tcW w:w="1687" w:type="dxa"/>
                  <w:tcBorders>
                    <w:tl2br w:val="nil"/>
                    <w:tr2bl w:val="nil"/>
                  </w:tcBorders>
                  <w:vAlign w:val="center"/>
                </w:tcPr>
                <w:p w14:paraId="4962C4F2">
                  <w:pPr>
                    <w:pStyle w:val="112"/>
                    <w:spacing w:line="240" w:lineRule="auto"/>
                    <w:ind w:firstLine="0" w:firstLineChars="0"/>
                  </w:pPr>
                  <w:r>
                    <w:t>水环境保护目标</w:t>
                  </w:r>
                </w:p>
              </w:tc>
              <w:tc>
                <w:tcPr>
                  <w:tcW w:w="7080" w:type="dxa"/>
                  <w:gridSpan w:val="12"/>
                  <w:tcBorders>
                    <w:tl2br w:val="nil"/>
                    <w:tr2bl w:val="nil"/>
                  </w:tcBorders>
                  <w:vAlign w:val="center"/>
                </w:tcPr>
                <w:p w14:paraId="39393AFB">
                  <w:pPr>
                    <w:pStyle w:val="112"/>
                    <w:spacing w:line="240" w:lineRule="auto"/>
                    <w:ind w:firstLine="0" w:firstLineChars="0"/>
                  </w:pPr>
                  <w:r>
                    <w:t>饮用水水源保护区</w:t>
                  </w:r>
                  <w:r>
                    <w:rPr/>
                    <w:sym w:font="Wingdings" w:char="00A8"/>
                  </w:r>
                  <w:r>
                    <w:t>；饮用水取水口</w:t>
                  </w:r>
                  <w:r>
                    <w:rPr/>
                    <w:sym w:font="Wingdings" w:char="00A8"/>
                  </w:r>
                  <w:r>
                    <w:t>；涉水的自然保护区</w:t>
                  </w:r>
                  <w:r>
                    <w:rPr/>
                    <w:sym w:font="Wingdings" w:char="00A8"/>
                  </w:r>
                  <w:r>
                    <w:t>；重要湿地</w:t>
                  </w:r>
                  <w:r>
                    <w:rPr/>
                    <w:sym w:font="Wingdings" w:char="00A8"/>
                  </w:r>
                  <w:r>
                    <w:t>；重点保护与珍稀水生生物的栖息地</w:t>
                  </w:r>
                  <w:r>
                    <w:rPr/>
                    <w:sym w:font="Wingdings" w:char="00A8"/>
                  </w:r>
                  <w:r>
                    <w:t>；重要水生生物的自然产卵场及索饵场、越冬场和洄游通道、天然渔场等渔业水体</w:t>
                  </w:r>
                  <w:r>
                    <w:rPr/>
                    <w:sym w:font="Wingdings" w:char="00A8"/>
                  </w:r>
                  <w:r>
                    <w:t>；涉水的风景名胜区</w:t>
                  </w:r>
                  <w:r>
                    <w:rPr/>
                    <w:sym w:font="Wingdings" w:char="00A8"/>
                  </w:r>
                  <w:r>
                    <w:t>；其他</w:t>
                  </w:r>
                  <w:r>
                    <w:rPr/>
                    <w:sym w:font="Wingdings" w:char="00A8"/>
                  </w:r>
                  <w:r>
                    <w:rPr/>
                    <w:sym w:font="Times New Roman" w:char="0000"/>
                  </w:r>
                </w:p>
              </w:tc>
            </w:tr>
            <w:tr w14:paraId="18789A3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8" w:hRule="atLeast"/>
                <w:tblHeader/>
                <w:jc w:val="center"/>
              </w:trPr>
              <w:tc>
                <w:tcPr>
                  <w:tcW w:w="393" w:type="dxa"/>
                  <w:vMerge w:val="continue"/>
                  <w:tcBorders>
                    <w:tl2br w:val="nil"/>
                    <w:tr2bl w:val="nil"/>
                  </w:tcBorders>
                  <w:vAlign w:val="center"/>
                </w:tcPr>
                <w:p w14:paraId="6178E6E1">
                  <w:pPr>
                    <w:pStyle w:val="112"/>
                    <w:tabs>
                      <w:tab w:val="clear" w:pos="630"/>
                    </w:tabs>
                    <w:spacing w:line="240" w:lineRule="auto"/>
                    <w:ind w:left="630" w:firstLine="0" w:firstLineChars="0"/>
                  </w:pPr>
                </w:p>
              </w:tc>
              <w:tc>
                <w:tcPr>
                  <w:tcW w:w="1687" w:type="dxa"/>
                  <w:vMerge w:val="restart"/>
                  <w:tcBorders>
                    <w:tl2br w:val="nil"/>
                    <w:tr2bl w:val="nil"/>
                  </w:tcBorders>
                  <w:vAlign w:val="center"/>
                </w:tcPr>
                <w:p w14:paraId="2E17AB12">
                  <w:pPr>
                    <w:pStyle w:val="112"/>
                    <w:spacing w:line="240" w:lineRule="auto"/>
                    <w:ind w:firstLine="0" w:firstLineChars="0"/>
                  </w:pPr>
                  <w:r>
                    <w:t>影响途径</w:t>
                  </w:r>
                </w:p>
              </w:tc>
              <w:tc>
                <w:tcPr>
                  <w:tcW w:w="4115" w:type="dxa"/>
                  <w:gridSpan w:val="7"/>
                  <w:tcBorders>
                    <w:tl2br w:val="nil"/>
                    <w:tr2bl w:val="nil"/>
                  </w:tcBorders>
                  <w:vAlign w:val="center"/>
                </w:tcPr>
                <w:p w14:paraId="4FF13C36">
                  <w:pPr>
                    <w:pStyle w:val="112"/>
                    <w:spacing w:line="240" w:lineRule="auto"/>
                    <w:ind w:firstLine="0" w:firstLineChars="0"/>
                  </w:pPr>
                  <w:r>
                    <w:t>水污染影响型</w:t>
                  </w:r>
                </w:p>
              </w:tc>
              <w:tc>
                <w:tcPr>
                  <w:tcW w:w="2965" w:type="dxa"/>
                  <w:gridSpan w:val="5"/>
                  <w:tcBorders>
                    <w:tl2br w:val="nil"/>
                    <w:tr2bl w:val="nil"/>
                  </w:tcBorders>
                  <w:vAlign w:val="center"/>
                </w:tcPr>
                <w:p w14:paraId="6E1D6307">
                  <w:pPr>
                    <w:pStyle w:val="112"/>
                    <w:spacing w:line="240" w:lineRule="auto"/>
                    <w:ind w:firstLine="0" w:firstLineChars="0"/>
                  </w:pPr>
                  <w:r>
                    <w:t>水文要素影响型</w:t>
                  </w:r>
                </w:p>
              </w:tc>
            </w:tr>
            <w:tr w14:paraId="0EEEE9D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55139A08">
                  <w:pPr>
                    <w:pStyle w:val="112"/>
                    <w:tabs>
                      <w:tab w:val="clear" w:pos="630"/>
                    </w:tabs>
                    <w:spacing w:line="240" w:lineRule="auto"/>
                    <w:ind w:left="630" w:firstLine="0" w:firstLineChars="0"/>
                  </w:pPr>
                </w:p>
              </w:tc>
              <w:tc>
                <w:tcPr>
                  <w:tcW w:w="1687" w:type="dxa"/>
                  <w:vMerge w:val="continue"/>
                  <w:tcBorders>
                    <w:tl2br w:val="nil"/>
                    <w:tr2bl w:val="nil"/>
                  </w:tcBorders>
                  <w:vAlign w:val="center"/>
                </w:tcPr>
                <w:p w14:paraId="71297537">
                  <w:pPr>
                    <w:pStyle w:val="112"/>
                    <w:tabs>
                      <w:tab w:val="clear" w:pos="630"/>
                    </w:tabs>
                    <w:spacing w:line="240" w:lineRule="auto"/>
                    <w:ind w:left="630" w:firstLine="0" w:firstLineChars="0"/>
                  </w:pPr>
                </w:p>
              </w:tc>
              <w:tc>
                <w:tcPr>
                  <w:tcW w:w="4115" w:type="dxa"/>
                  <w:gridSpan w:val="7"/>
                  <w:tcBorders>
                    <w:tl2br w:val="nil"/>
                    <w:tr2bl w:val="nil"/>
                  </w:tcBorders>
                  <w:vAlign w:val="center"/>
                </w:tcPr>
                <w:p w14:paraId="691A21A8">
                  <w:pPr>
                    <w:pStyle w:val="112"/>
                    <w:spacing w:line="240" w:lineRule="auto"/>
                    <w:ind w:firstLine="0" w:firstLineChars="0"/>
                  </w:pPr>
                  <w:r>
                    <w:t>直接排放</w:t>
                  </w:r>
                  <w:r>
                    <w:rPr/>
                    <w:sym w:font="Wingdings" w:char="00A8"/>
                  </w:r>
                  <w:r>
                    <w:t>；间接排放</w:t>
                  </w:r>
                  <w:r>
                    <w:rPr/>
                    <w:sym w:font="Wingdings" w:char="00FE"/>
                  </w:r>
                  <w:r>
                    <w:t>；其他</w:t>
                  </w:r>
                  <w:r>
                    <w:rPr/>
                    <w:sym w:font="Wingdings" w:char="00A8"/>
                  </w:r>
                </w:p>
              </w:tc>
              <w:tc>
                <w:tcPr>
                  <w:tcW w:w="2965" w:type="dxa"/>
                  <w:gridSpan w:val="5"/>
                  <w:tcBorders>
                    <w:tl2br w:val="nil"/>
                    <w:tr2bl w:val="nil"/>
                  </w:tcBorders>
                  <w:vAlign w:val="center"/>
                </w:tcPr>
                <w:p w14:paraId="6EAAA2FB">
                  <w:pPr>
                    <w:pStyle w:val="112"/>
                    <w:spacing w:line="240" w:lineRule="auto"/>
                    <w:ind w:firstLine="0" w:firstLineChars="0"/>
                  </w:pPr>
                  <w:r>
                    <w:t>水温</w:t>
                  </w:r>
                  <w:r>
                    <w:rPr/>
                    <w:sym w:font="Wingdings" w:char="00A8"/>
                  </w:r>
                  <w:r>
                    <w:t>；径流</w:t>
                  </w:r>
                  <w:r>
                    <w:rPr/>
                    <w:sym w:font="Wingdings" w:char="00A8"/>
                  </w:r>
                  <w:r>
                    <w:t>；水域面积</w:t>
                  </w:r>
                  <w:r>
                    <w:rPr/>
                    <w:sym w:font="Wingdings" w:char="00A8"/>
                  </w:r>
                </w:p>
              </w:tc>
            </w:tr>
            <w:tr w14:paraId="6503F85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continue"/>
                  <w:tcBorders>
                    <w:tl2br w:val="nil"/>
                    <w:tr2bl w:val="nil"/>
                  </w:tcBorders>
                  <w:vAlign w:val="center"/>
                </w:tcPr>
                <w:p w14:paraId="0C228FFC">
                  <w:pPr>
                    <w:pStyle w:val="112"/>
                    <w:tabs>
                      <w:tab w:val="clear" w:pos="630"/>
                    </w:tabs>
                    <w:spacing w:line="240" w:lineRule="auto"/>
                    <w:ind w:left="630" w:firstLine="0" w:firstLineChars="0"/>
                  </w:pPr>
                </w:p>
              </w:tc>
              <w:tc>
                <w:tcPr>
                  <w:tcW w:w="1687" w:type="dxa"/>
                  <w:tcBorders>
                    <w:tl2br w:val="nil"/>
                    <w:tr2bl w:val="nil"/>
                  </w:tcBorders>
                  <w:vAlign w:val="center"/>
                </w:tcPr>
                <w:p w14:paraId="6810BEB6">
                  <w:pPr>
                    <w:pStyle w:val="112"/>
                    <w:spacing w:line="240" w:lineRule="auto"/>
                    <w:ind w:firstLine="0" w:firstLineChars="0"/>
                  </w:pPr>
                  <w:r>
                    <w:t>影响因子</w:t>
                  </w:r>
                </w:p>
              </w:tc>
              <w:tc>
                <w:tcPr>
                  <w:tcW w:w="4115" w:type="dxa"/>
                  <w:gridSpan w:val="7"/>
                  <w:tcBorders>
                    <w:tl2br w:val="nil"/>
                    <w:tr2bl w:val="nil"/>
                  </w:tcBorders>
                  <w:vAlign w:val="center"/>
                </w:tcPr>
                <w:p w14:paraId="6F37B20A">
                  <w:pPr>
                    <w:pStyle w:val="112"/>
                    <w:spacing w:line="240" w:lineRule="auto"/>
                    <w:ind w:firstLine="0" w:firstLineChars="0"/>
                  </w:pPr>
                  <w:r>
                    <w:t>持久性污染物</w:t>
                  </w:r>
                  <w:r>
                    <w:rPr/>
                    <w:sym w:font="Wingdings" w:char="00A8"/>
                  </w:r>
                  <w:r>
                    <w:t>；有毒有害污染物</w:t>
                  </w:r>
                  <w:r>
                    <w:rPr/>
                    <w:sym w:font="Wingdings" w:char="00A8"/>
                  </w:r>
                  <w:r>
                    <w:t>；</w:t>
                  </w:r>
                </w:p>
                <w:p w14:paraId="05F0C82E">
                  <w:pPr>
                    <w:pStyle w:val="112"/>
                    <w:spacing w:line="240" w:lineRule="auto"/>
                    <w:ind w:firstLine="0" w:firstLineChars="0"/>
                  </w:pPr>
                  <w:r>
                    <w:t>非持久性污染物</w:t>
                  </w:r>
                  <w:r>
                    <w:rPr/>
                    <w:sym w:font="Wingdings" w:char="00A8"/>
                  </w:r>
                  <w:r>
                    <w:t>；</w:t>
                  </w:r>
                </w:p>
                <w:p w14:paraId="1CF43EB9">
                  <w:pPr>
                    <w:pStyle w:val="112"/>
                    <w:spacing w:line="240" w:lineRule="auto"/>
                    <w:ind w:firstLine="0" w:firstLineChars="0"/>
                  </w:pPr>
                  <w:r>
                    <w:t>pH值</w:t>
                  </w:r>
                  <w:r>
                    <w:rPr/>
                    <w:sym w:font="Wingdings" w:char="00A8"/>
                  </w:r>
                  <w:r>
                    <w:t>；热污染</w:t>
                  </w:r>
                  <w:r>
                    <w:rPr/>
                    <w:sym w:font="Wingdings" w:char="00A8"/>
                  </w:r>
                  <w:r>
                    <w:t>；富营养化</w:t>
                  </w:r>
                  <w:r>
                    <w:rPr/>
                    <w:sym w:font="Wingdings" w:char="00A8"/>
                  </w:r>
                  <w:r>
                    <w:t>；其他</w:t>
                  </w:r>
                  <w:r>
                    <w:rPr/>
                    <w:sym w:font="Wingdings" w:char="00A8"/>
                  </w:r>
                  <w:r>
                    <w:rPr/>
                    <w:sym w:font="Times New Roman" w:char="0000"/>
                  </w:r>
                </w:p>
              </w:tc>
              <w:tc>
                <w:tcPr>
                  <w:tcW w:w="2965" w:type="dxa"/>
                  <w:gridSpan w:val="5"/>
                  <w:tcBorders>
                    <w:tl2br w:val="nil"/>
                    <w:tr2bl w:val="nil"/>
                  </w:tcBorders>
                  <w:vAlign w:val="center"/>
                </w:tcPr>
                <w:p w14:paraId="71C04D36">
                  <w:pPr>
                    <w:pStyle w:val="112"/>
                    <w:spacing w:line="240" w:lineRule="auto"/>
                    <w:ind w:firstLine="0" w:firstLineChars="0"/>
                  </w:pPr>
                  <w:r>
                    <w:t>水温</w:t>
                  </w:r>
                  <w:r>
                    <w:rPr/>
                    <w:sym w:font="Wingdings" w:char="00A8"/>
                  </w:r>
                  <w:r>
                    <w:t>；水位（水深）</w:t>
                  </w:r>
                  <w:r>
                    <w:rPr/>
                    <w:sym w:font="Wingdings" w:char="00A8"/>
                  </w:r>
                  <w:r>
                    <w:t>；流速</w:t>
                  </w:r>
                  <w:r>
                    <w:rPr/>
                    <w:sym w:font="Wingdings" w:char="00A8"/>
                  </w:r>
                  <w:r>
                    <w:t>；流量</w:t>
                  </w:r>
                  <w:r>
                    <w:rPr/>
                    <w:sym w:font="Wingdings" w:char="00A8"/>
                  </w:r>
                  <w:r>
                    <w:t>；其他</w:t>
                  </w:r>
                  <w:r>
                    <w:rPr/>
                    <w:sym w:font="Wingdings" w:char="00A8"/>
                  </w:r>
                  <w:r>
                    <w:rPr/>
                    <w:sym w:font="Times New Roman" w:char="0000"/>
                  </w:r>
                </w:p>
              </w:tc>
            </w:tr>
            <w:tr w14:paraId="18D6194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2080" w:type="dxa"/>
                  <w:gridSpan w:val="2"/>
                  <w:vMerge w:val="restart"/>
                  <w:tcBorders>
                    <w:tl2br w:val="nil"/>
                    <w:tr2bl w:val="nil"/>
                  </w:tcBorders>
                  <w:vAlign w:val="center"/>
                </w:tcPr>
                <w:p w14:paraId="08A6A670">
                  <w:pPr>
                    <w:pStyle w:val="112"/>
                    <w:spacing w:line="240" w:lineRule="auto"/>
                    <w:ind w:firstLine="0" w:firstLineChars="0"/>
                  </w:pPr>
                  <w:r>
                    <w:t>评价等级</w:t>
                  </w:r>
                </w:p>
              </w:tc>
              <w:tc>
                <w:tcPr>
                  <w:tcW w:w="4115" w:type="dxa"/>
                  <w:gridSpan w:val="7"/>
                  <w:tcBorders>
                    <w:tl2br w:val="nil"/>
                    <w:tr2bl w:val="nil"/>
                  </w:tcBorders>
                  <w:vAlign w:val="center"/>
                </w:tcPr>
                <w:p w14:paraId="29BF5017">
                  <w:pPr>
                    <w:pStyle w:val="112"/>
                    <w:spacing w:line="240" w:lineRule="auto"/>
                    <w:ind w:firstLine="0" w:firstLineChars="0"/>
                  </w:pPr>
                  <w:r>
                    <w:t>水污染影响型</w:t>
                  </w:r>
                </w:p>
              </w:tc>
              <w:tc>
                <w:tcPr>
                  <w:tcW w:w="2965" w:type="dxa"/>
                  <w:gridSpan w:val="5"/>
                  <w:tcBorders>
                    <w:tl2br w:val="nil"/>
                    <w:tr2bl w:val="nil"/>
                  </w:tcBorders>
                  <w:vAlign w:val="center"/>
                </w:tcPr>
                <w:p w14:paraId="6C9276F7">
                  <w:pPr>
                    <w:pStyle w:val="112"/>
                    <w:spacing w:line="240" w:lineRule="auto"/>
                    <w:ind w:firstLine="0" w:firstLineChars="0"/>
                  </w:pPr>
                  <w:r>
                    <w:t>水文要素影响型</w:t>
                  </w:r>
                </w:p>
              </w:tc>
            </w:tr>
            <w:tr w14:paraId="73258B7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2080" w:type="dxa"/>
                  <w:gridSpan w:val="2"/>
                  <w:vMerge w:val="continue"/>
                  <w:tcBorders>
                    <w:tl2br w:val="nil"/>
                    <w:tr2bl w:val="nil"/>
                  </w:tcBorders>
                  <w:vAlign w:val="center"/>
                </w:tcPr>
                <w:p w14:paraId="7721D25D">
                  <w:pPr>
                    <w:pStyle w:val="112"/>
                    <w:tabs>
                      <w:tab w:val="clear" w:pos="630"/>
                    </w:tabs>
                    <w:spacing w:line="240" w:lineRule="auto"/>
                    <w:ind w:left="630" w:firstLine="0" w:firstLineChars="0"/>
                  </w:pPr>
                </w:p>
              </w:tc>
              <w:tc>
                <w:tcPr>
                  <w:tcW w:w="4115" w:type="dxa"/>
                  <w:gridSpan w:val="7"/>
                  <w:tcBorders>
                    <w:tl2br w:val="nil"/>
                    <w:tr2bl w:val="nil"/>
                  </w:tcBorders>
                  <w:vAlign w:val="center"/>
                </w:tcPr>
                <w:p w14:paraId="6F9BFFAC">
                  <w:pPr>
                    <w:pStyle w:val="112"/>
                    <w:spacing w:line="240" w:lineRule="auto"/>
                    <w:ind w:firstLine="0" w:firstLineChars="0"/>
                  </w:pPr>
                  <w:r>
                    <w:t>一级</w:t>
                  </w:r>
                  <w:r>
                    <w:rPr/>
                    <w:sym w:font="Wingdings" w:char="00A8"/>
                  </w:r>
                  <w:r>
                    <w:t>；二级</w:t>
                  </w:r>
                  <w:r>
                    <w:rPr/>
                    <w:sym w:font="Wingdings" w:char="00A8"/>
                  </w:r>
                  <w:r>
                    <w:t>；三级A</w:t>
                  </w:r>
                  <w:r>
                    <w:rPr/>
                    <w:sym w:font="Wingdings" w:char="00A8"/>
                  </w:r>
                  <w:r>
                    <w:t>；三级B</w:t>
                  </w:r>
                  <w:r>
                    <w:rPr/>
                    <w:sym w:font="Wingdings" w:char="00FE"/>
                  </w:r>
                </w:p>
              </w:tc>
              <w:tc>
                <w:tcPr>
                  <w:tcW w:w="2965" w:type="dxa"/>
                  <w:gridSpan w:val="5"/>
                  <w:tcBorders>
                    <w:tl2br w:val="nil"/>
                    <w:tr2bl w:val="nil"/>
                  </w:tcBorders>
                  <w:vAlign w:val="center"/>
                </w:tcPr>
                <w:p w14:paraId="60C31BD6">
                  <w:pPr>
                    <w:pStyle w:val="112"/>
                    <w:spacing w:line="240" w:lineRule="auto"/>
                    <w:ind w:firstLine="0" w:firstLineChars="0"/>
                  </w:pPr>
                  <w:r>
                    <w:t>一级</w:t>
                  </w:r>
                  <w:r>
                    <w:rPr/>
                    <w:sym w:font="Wingdings" w:char="00A8"/>
                  </w:r>
                  <w:r>
                    <w:t>；二级</w:t>
                  </w:r>
                  <w:r>
                    <w:rPr/>
                    <w:sym w:font="Wingdings" w:char="00A8"/>
                  </w:r>
                  <w:r>
                    <w:t>；三级</w:t>
                  </w:r>
                  <w:r>
                    <w:rPr/>
                    <w:sym w:font="Wingdings" w:char="00A8"/>
                  </w:r>
                </w:p>
              </w:tc>
            </w:tr>
            <w:tr w14:paraId="248179D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restart"/>
                  <w:tcBorders>
                    <w:tl2br w:val="nil"/>
                    <w:tr2bl w:val="nil"/>
                  </w:tcBorders>
                  <w:vAlign w:val="center"/>
                </w:tcPr>
                <w:p w14:paraId="17005A70">
                  <w:pPr>
                    <w:pStyle w:val="112"/>
                    <w:spacing w:line="240" w:lineRule="auto"/>
                    <w:ind w:firstLine="0" w:firstLineChars="0"/>
                  </w:pPr>
                  <w:r>
                    <w:t>现</w:t>
                  </w:r>
                </w:p>
                <w:p w14:paraId="1A4BB7F7">
                  <w:pPr>
                    <w:pStyle w:val="112"/>
                    <w:spacing w:line="240" w:lineRule="auto"/>
                    <w:ind w:firstLine="0" w:firstLineChars="0"/>
                  </w:pPr>
                  <w:r>
                    <w:t>状</w:t>
                  </w:r>
                </w:p>
                <w:p w14:paraId="2E2932AB">
                  <w:pPr>
                    <w:pStyle w:val="112"/>
                    <w:spacing w:line="240" w:lineRule="auto"/>
                    <w:ind w:firstLine="0" w:firstLineChars="0"/>
                  </w:pPr>
                  <w:r>
                    <w:t>调</w:t>
                  </w:r>
                </w:p>
                <w:p w14:paraId="7D037261">
                  <w:pPr>
                    <w:pStyle w:val="112"/>
                    <w:spacing w:line="240" w:lineRule="auto"/>
                    <w:ind w:firstLine="0" w:firstLineChars="0"/>
                  </w:pPr>
                  <w:r>
                    <w:t>查</w:t>
                  </w:r>
                </w:p>
              </w:tc>
              <w:tc>
                <w:tcPr>
                  <w:tcW w:w="1687" w:type="dxa"/>
                  <w:vMerge w:val="restart"/>
                  <w:tcBorders>
                    <w:tl2br w:val="nil"/>
                    <w:tr2bl w:val="nil"/>
                  </w:tcBorders>
                  <w:vAlign w:val="center"/>
                </w:tcPr>
                <w:p w14:paraId="6EDFFBD3">
                  <w:pPr>
                    <w:pStyle w:val="112"/>
                    <w:spacing w:line="240" w:lineRule="auto"/>
                    <w:ind w:firstLine="0" w:firstLineChars="0"/>
                  </w:pPr>
                  <w:r>
                    <w:t>区域污染源</w:t>
                  </w:r>
                </w:p>
              </w:tc>
              <w:tc>
                <w:tcPr>
                  <w:tcW w:w="4115" w:type="dxa"/>
                  <w:gridSpan w:val="7"/>
                  <w:tcBorders>
                    <w:tl2br w:val="nil"/>
                    <w:tr2bl w:val="nil"/>
                  </w:tcBorders>
                  <w:vAlign w:val="center"/>
                </w:tcPr>
                <w:p w14:paraId="69FBCAB9">
                  <w:pPr>
                    <w:pStyle w:val="112"/>
                    <w:spacing w:line="240" w:lineRule="auto"/>
                    <w:ind w:firstLine="0" w:firstLineChars="0"/>
                  </w:pPr>
                  <w:r>
                    <w:t>调查项目</w:t>
                  </w:r>
                </w:p>
              </w:tc>
              <w:tc>
                <w:tcPr>
                  <w:tcW w:w="2965" w:type="dxa"/>
                  <w:gridSpan w:val="5"/>
                  <w:tcBorders>
                    <w:tl2br w:val="nil"/>
                    <w:tr2bl w:val="nil"/>
                  </w:tcBorders>
                  <w:vAlign w:val="center"/>
                </w:tcPr>
                <w:p w14:paraId="2F678B3D">
                  <w:pPr>
                    <w:pStyle w:val="112"/>
                    <w:spacing w:line="240" w:lineRule="auto"/>
                    <w:ind w:firstLine="0" w:firstLineChars="0"/>
                  </w:pPr>
                  <w:r>
                    <w:t>数据来源</w:t>
                  </w:r>
                </w:p>
              </w:tc>
            </w:tr>
            <w:tr w14:paraId="4E0663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continue"/>
                  <w:tcBorders>
                    <w:tl2br w:val="nil"/>
                    <w:tr2bl w:val="nil"/>
                  </w:tcBorders>
                  <w:vAlign w:val="center"/>
                </w:tcPr>
                <w:p w14:paraId="0D8342D4">
                  <w:pPr>
                    <w:pStyle w:val="112"/>
                    <w:tabs>
                      <w:tab w:val="clear" w:pos="630"/>
                    </w:tabs>
                    <w:spacing w:line="240" w:lineRule="auto"/>
                    <w:ind w:left="630" w:firstLine="0" w:firstLineChars="0"/>
                  </w:pPr>
                </w:p>
              </w:tc>
              <w:tc>
                <w:tcPr>
                  <w:tcW w:w="1687" w:type="dxa"/>
                  <w:vMerge w:val="continue"/>
                  <w:tcBorders>
                    <w:tl2br w:val="nil"/>
                    <w:tr2bl w:val="nil"/>
                  </w:tcBorders>
                  <w:vAlign w:val="center"/>
                </w:tcPr>
                <w:p w14:paraId="39B026B6">
                  <w:pPr>
                    <w:pStyle w:val="112"/>
                    <w:tabs>
                      <w:tab w:val="clear" w:pos="630"/>
                    </w:tabs>
                    <w:spacing w:line="240" w:lineRule="auto"/>
                    <w:ind w:left="630" w:firstLine="0" w:firstLineChars="0"/>
                  </w:pPr>
                </w:p>
              </w:tc>
              <w:tc>
                <w:tcPr>
                  <w:tcW w:w="2387" w:type="dxa"/>
                  <w:gridSpan w:val="4"/>
                  <w:tcBorders>
                    <w:tl2br w:val="nil"/>
                    <w:tr2bl w:val="nil"/>
                  </w:tcBorders>
                  <w:vAlign w:val="center"/>
                </w:tcPr>
                <w:p w14:paraId="07AFDEE5">
                  <w:pPr>
                    <w:pStyle w:val="112"/>
                    <w:spacing w:line="240" w:lineRule="auto"/>
                    <w:ind w:firstLine="0" w:firstLineChars="0"/>
                  </w:pPr>
                  <w:r>
                    <w:t>已建</w:t>
                  </w:r>
                  <w:r>
                    <w:rPr/>
                    <w:sym w:font="Wingdings" w:char="00A8"/>
                  </w:r>
                  <w:r>
                    <w:t>；在建</w:t>
                  </w:r>
                  <w:r>
                    <w:rPr/>
                    <w:sym w:font="Wingdings" w:char="00A8"/>
                  </w:r>
                  <w:r>
                    <w:t>；拟建</w:t>
                  </w:r>
                  <w:r>
                    <w:rPr/>
                    <w:sym w:font="Wingdings" w:char="00A8"/>
                  </w:r>
                  <w:r>
                    <w:t>；其他</w:t>
                  </w:r>
                  <w:r>
                    <w:rPr/>
                    <w:sym w:font="Wingdings" w:char="00A8"/>
                  </w:r>
                </w:p>
              </w:tc>
              <w:tc>
                <w:tcPr>
                  <w:tcW w:w="1728" w:type="dxa"/>
                  <w:gridSpan w:val="3"/>
                  <w:tcBorders>
                    <w:tl2br w:val="nil"/>
                    <w:tr2bl w:val="nil"/>
                  </w:tcBorders>
                  <w:vAlign w:val="center"/>
                </w:tcPr>
                <w:p w14:paraId="6F0E6740">
                  <w:pPr>
                    <w:pStyle w:val="112"/>
                    <w:spacing w:line="240" w:lineRule="auto"/>
                    <w:ind w:firstLine="0" w:firstLineChars="0"/>
                  </w:pPr>
                  <w:r>
                    <w:t>拟替代的污染源</w:t>
                  </w:r>
                  <w:r>
                    <w:rPr/>
                    <w:sym w:font="Wingdings" w:char="00A8"/>
                  </w:r>
                </w:p>
              </w:tc>
              <w:tc>
                <w:tcPr>
                  <w:tcW w:w="2965" w:type="dxa"/>
                  <w:gridSpan w:val="5"/>
                  <w:tcBorders>
                    <w:tl2br w:val="nil"/>
                    <w:tr2bl w:val="nil"/>
                  </w:tcBorders>
                  <w:vAlign w:val="center"/>
                </w:tcPr>
                <w:p w14:paraId="42A052AB">
                  <w:pPr>
                    <w:pStyle w:val="112"/>
                    <w:spacing w:line="240" w:lineRule="auto"/>
                    <w:ind w:firstLine="0" w:firstLineChars="0"/>
                  </w:pPr>
                  <w:r>
                    <w:t>排污许可证</w:t>
                  </w:r>
                  <w:r>
                    <w:rPr/>
                    <w:sym w:font="Wingdings" w:char="00A8"/>
                  </w:r>
                  <w:r>
                    <w:t>；环评</w:t>
                  </w:r>
                  <w:r>
                    <w:rPr/>
                    <w:sym w:font="Wingdings" w:char="00A8"/>
                  </w:r>
                  <w:r>
                    <w:t>；环保验收</w:t>
                  </w:r>
                  <w:r>
                    <w:rPr/>
                    <w:sym w:font="Wingdings" w:char="00A8"/>
                  </w:r>
                  <w:r>
                    <w:t>；既有实测</w:t>
                  </w:r>
                  <w:r>
                    <w:rPr/>
                    <w:sym w:font="Wingdings" w:char="00A8"/>
                  </w:r>
                  <w:r>
                    <w:t>；现场监测</w:t>
                  </w:r>
                  <w:r>
                    <w:rPr/>
                    <w:sym w:font="Wingdings" w:char="00A8"/>
                  </w:r>
                  <w:r>
                    <w:t>；入河排放口数据□；其他</w:t>
                  </w:r>
                  <w:r>
                    <w:rPr/>
                    <w:sym w:font="Wingdings" w:char="00A8"/>
                  </w:r>
                </w:p>
              </w:tc>
            </w:tr>
            <w:tr w14:paraId="28C93C4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12FC843A">
                  <w:pPr>
                    <w:pStyle w:val="112"/>
                    <w:tabs>
                      <w:tab w:val="clear" w:pos="630"/>
                    </w:tabs>
                    <w:spacing w:line="240" w:lineRule="auto"/>
                    <w:ind w:left="630" w:firstLine="0" w:firstLineChars="0"/>
                  </w:pPr>
                </w:p>
              </w:tc>
              <w:tc>
                <w:tcPr>
                  <w:tcW w:w="1687" w:type="dxa"/>
                  <w:vMerge w:val="restart"/>
                  <w:tcBorders>
                    <w:tl2br w:val="nil"/>
                    <w:tr2bl w:val="nil"/>
                  </w:tcBorders>
                  <w:vAlign w:val="center"/>
                </w:tcPr>
                <w:p w14:paraId="17509B4D">
                  <w:pPr>
                    <w:pStyle w:val="112"/>
                    <w:spacing w:line="240" w:lineRule="auto"/>
                    <w:ind w:firstLine="0" w:firstLineChars="0"/>
                  </w:pPr>
                  <w:r>
                    <w:t>受影响水体水环境质量</w:t>
                  </w:r>
                </w:p>
              </w:tc>
              <w:tc>
                <w:tcPr>
                  <w:tcW w:w="4115" w:type="dxa"/>
                  <w:gridSpan w:val="7"/>
                  <w:tcBorders>
                    <w:tl2br w:val="nil"/>
                    <w:tr2bl w:val="nil"/>
                  </w:tcBorders>
                  <w:vAlign w:val="center"/>
                </w:tcPr>
                <w:p w14:paraId="2BE8DEE8">
                  <w:pPr>
                    <w:pStyle w:val="112"/>
                    <w:spacing w:line="240" w:lineRule="auto"/>
                    <w:ind w:firstLine="0" w:firstLineChars="0"/>
                  </w:pPr>
                  <w:r>
                    <w:t>调查时期</w:t>
                  </w:r>
                </w:p>
              </w:tc>
              <w:tc>
                <w:tcPr>
                  <w:tcW w:w="2965" w:type="dxa"/>
                  <w:gridSpan w:val="5"/>
                  <w:tcBorders>
                    <w:tl2br w:val="nil"/>
                    <w:tr2bl w:val="nil"/>
                  </w:tcBorders>
                  <w:vAlign w:val="center"/>
                </w:tcPr>
                <w:p w14:paraId="4E992FB5">
                  <w:pPr>
                    <w:pStyle w:val="112"/>
                    <w:spacing w:line="240" w:lineRule="auto"/>
                    <w:ind w:firstLine="0" w:firstLineChars="0"/>
                  </w:pPr>
                  <w:r>
                    <w:t>数据来源</w:t>
                  </w:r>
                </w:p>
              </w:tc>
            </w:tr>
            <w:tr w14:paraId="36BF93F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vAlign w:val="center"/>
                </w:tcPr>
                <w:p w14:paraId="78B8C06E">
                  <w:pPr>
                    <w:pStyle w:val="112"/>
                    <w:tabs>
                      <w:tab w:val="clear" w:pos="630"/>
                    </w:tabs>
                    <w:spacing w:line="240" w:lineRule="auto"/>
                    <w:ind w:left="630" w:firstLine="0" w:firstLineChars="0"/>
                  </w:pPr>
                </w:p>
              </w:tc>
              <w:tc>
                <w:tcPr>
                  <w:tcW w:w="1687" w:type="dxa"/>
                  <w:vMerge w:val="continue"/>
                  <w:tcBorders>
                    <w:tl2br w:val="nil"/>
                    <w:tr2bl w:val="nil"/>
                  </w:tcBorders>
                  <w:vAlign w:val="center"/>
                </w:tcPr>
                <w:p w14:paraId="0FBD8DC1">
                  <w:pPr>
                    <w:pStyle w:val="112"/>
                    <w:tabs>
                      <w:tab w:val="clear" w:pos="630"/>
                    </w:tabs>
                    <w:spacing w:line="240" w:lineRule="auto"/>
                    <w:ind w:left="630" w:firstLine="0" w:firstLineChars="0"/>
                  </w:pPr>
                </w:p>
              </w:tc>
              <w:tc>
                <w:tcPr>
                  <w:tcW w:w="4115" w:type="dxa"/>
                  <w:gridSpan w:val="7"/>
                  <w:tcBorders>
                    <w:tl2br w:val="nil"/>
                    <w:tr2bl w:val="nil"/>
                  </w:tcBorders>
                  <w:vAlign w:val="center"/>
                </w:tcPr>
                <w:p w14:paraId="45DA42BA">
                  <w:pPr>
                    <w:pStyle w:val="112"/>
                    <w:spacing w:line="240" w:lineRule="auto"/>
                    <w:ind w:firstLine="0" w:firstLineChars="0"/>
                  </w:pPr>
                  <w:r>
                    <w:t>丰水期</w:t>
                  </w:r>
                  <w:r>
                    <w:rPr/>
                    <w:sym w:font="Wingdings" w:char="00A8"/>
                  </w:r>
                  <w:r>
                    <w:t>；平水期</w:t>
                  </w:r>
                  <w:r>
                    <w:rPr/>
                    <w:sym w:font="Wingdings" w:char="00A8"/>
                  </w:r>
                  <w:r>
                    <w:rPr/>
                    <w:sym w:font="Times New Roman" w:char="0000"/>
                  </w:r>
                  <w:r>
                    <w:t>；枯水期</w:t>
                  </w:r>
                  <w:r>
                    <w:rPr/>
                    <w:sym w:font="Wingdings" w:char="00A8"/>
                  </w:r>
                  <w:r>
                    <w:t>；冰封期</w:t>
                  </w:r>
                  <w:r>
                    <w:rPr/>
                    <w:sym w:font="Wingdings" w:char="00A8"/>
                  </w:r>
                  <w:r>
                    <w:t>春季</w:t>
                  </w:r>
                  <w:r>
                    <w:rPr/>
                    <w:sym w:font="Wingdings" w:char="00A8"/>
                  </w:r>
                  <w:r>
                    <w:t>；夏季</w:t>
                  </w:r>
                  <w:r>
                    <w:rPr/>
                    <w:sym w:font="Wingdings" w:char="00A8"/>
                  </w:r>
                  <w:r>
                    <w:t>；秋季</w:t>
                  </w:r>
                  <w:r>
                    <w:rPr/>
                    <w:sym w:font="Wingdings" w:char="00A8"/>
                  </w:r>
                  <w:r>
                    <w:t>；冬季</w:t>
                  </w:r>
                  <w:r>
                    <w:rPr/>
                    <w:sym w:font="Wingdings" w:char="00A8"/>
                  </w:r>
                  <w:r>
                    <w:rPr/>
                    <w:sym w:font="Times New Roman" w:char="0000"/>
                  </w:r>
                </w:p>
              </w:tc>
              <w:tc>
                <w:tcPr>
                  <w:tcW w:w="2965" w:type="dxa"/>
                  <w:gridSpan w:val="5"/>
                  <w:tcBorders>
                    <w:tl2br w:val="nil"/>
                    <w:tr2bl w:val="nil"/>
                  </w:tcBorders>
                  <w:vAlign w:val="center"/>
                </w:tcPr>
                <w:p w14:paraId="2856DCD6">
                  <w:pPr>
                    <w:pStyle w:val="112"/>
                    <w:spacing w:line="240" w:lineRule="auto"/>
                    <w:ind w:firstLine="0" w:firstLineChars="0"/>
                  </w:pPr>
                  <w:r>
                    <w:t>生态环境保护主管部门</w:t>
                  </w:r>
                  <w:r>
                    <w:rPr/>
                    <w:sym w:font="Wingdings" w:char="00A8"/>
                  </w:r>
                  <w:r>
                    <w:t>；补充监测</w:t>
                  </w:r>
                  <w:r>
                    <w:rPr/>
                    <w:sym w:font="Wingdings" w:char="00A8"/>
                  </w:r>
                  <w:r>
                    <w:t>；其他</w:t>
                  </w:r>
                  <w:r>
                    <w:rPr/>
                    <w:sym w:font="Wingdings" w:char="00A8"/>
                  </w:r>
                </w:p>
              </w:tc>
            </w:tr>
            <w:tr w14:paraId="321D577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vAlign w:val="center"/>
                </w:tcPr>
                <w:p w14:paraId="44351E55">
                  <w:pPr>
                    <w:pStyle w:val="112"/>
                    <w:tabs>
                      <w:tab w:val="clear" w:pos="630"/>
                    </w:tabs>
                    <w:spacing w:line="240" w:lineRule="auto"/>
                    <w:ind w:left="630" w:firstLine="0" w:firstLineChars="0"/>
                  </w:pPr>
                </w:p>
              </w:tc>
              <w:tc>
                <w:tcPr>
                  <w:tcW w:w="1687" w:type="dxa"/>
                  <w:tcBorders>
                    <w:tl2br w:val="nil"/>
                    <w:tr2bl w:val="nil"/>
                  </w:tcBorders>
                  <w:vAlign w:val="center"/>
                </w:tcPr>
                <w:p w14:paraId="4611E77C">
                  <w:pPr>
                    <w:pStyle w:val="112"/>
                    <w:spacing w:line="240" w:lineRule="auto"/>
                    <w:ind w:firstLine="0" w:firstLineChars="0"/>
                  </w:pPr>
                  <w:r>
                    <w:t>区域水资源开发利用状况</w:t>
                  </w:r>
                </w:p>
              </w:tc>
              <w:tc>
                <w:tcPr>
                  <w:tcW w:w="7080" w:type="dxa"/>
                  <w:gridSpan w:val="12"/>
                  <w:tcBorders>
                    <w:tl2br w:val="nil"/>
                    <w:tr2bl w:val="nil"/>
                  </w:tcBorders>
                  <w:vAlign w:val="center"/>
                </w:tcPr>
                <w:p w14:paraId="6E26AB4E">
                  <w:pPr>
                    <w:pStyle w:val="112"/>
                    <w:spacing w:line="240" w:lineRule="auto"/>
                    <w:ind w:firstLine="0" w:firstLineChars="0"/>
                  </w:pPr>
                  <w:r>
                    <w:t>未开发</w:t>
                  </w:r>
                  <w:r>
                    <w:rPr/>
                    <w:sym w:font="Wingdings" w:char="00A8"/>
                  </w:r>
                  <w:r>
                    <w:t>；开发量40%以下</w:t>
                  </w:r>
                  <w:r>
                    <w:rPr/>
                    <w:sym w:font="Wingdings" w:char="00A8"/>
                  </w:r>
                  <w:r>
                    <w:t>；开发量40%以上</w:t>
                  </w:r>
                  <w:r>
                    <w:rPr/>
                    <w:sym w:font="Wingdings" w:char="00A8"/>
                  </w:r>
                </w:p>
              </w:tc>
            </w:tr>
            <w:tr w14:paraId="1FADDB7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1D05C6D6">
                  <w:pPr>
                    <w:pStyle w:val="112"/>
                    <w:tabs>
                      <w:tab w:val="clear" w:pos="630"/>
                    </w:tabs>
                    <w:spacing w:line="240" w:lineRule="auto"/>
                    <w:ind w:left="630" w:firstLine="0" w:firstLineChars="0"/>
                  </w:pPr>
                </w:p>
              </w:tc>
              <w:tc>
                <w:tcPr>
                  <w:tcW w:w="1687" w:type="dxa"/>
                  <w:vMerge w:val="restart"/>
                  <w:tcBorders>
                    <w:tl2br w:val="nil"/>
                    <w:tr2bl w:val="nil"/>
                  </w:tcBorders>
                  <w:vAlign w:val="center"/>
                </w:tcPr>
                <w:p w14:paraId="0D8CDF89">
                  <w:pPr>
                    <w:pStyle w:val="112"/>
                    <w:spacing w:line="240" w:lineRule="auto"/>
                    <w:ind w:firstLine="0" w:firstLineChars="0"/>
                  </w:pPr>
                  <w:r>
                    <w:t>水文情势调查</w:t>
                  </w:r>
                </w:p>
              </w:tc>
              <w:tc>
                <w:tcPr>
                  <w:tcW w:w="4115" w:type="dxa"/>
                  <w:gridSpan w:val="7"/>
                  <w:tcBorders>
                    <w:tl2br w:val="nil"/>
                    <w:tr2bl w:val="nil"/>
                  </w:tcBorders>
                  <w:vAlign w:val="center"/>
                </w:tcPr>
                <w:p w14:paraId="6859DB3A">
                  <w:pPr>
                    <w:pStyle w:val="112"/>
                    <w:spacing w:line="240" w:lineRule="auto"/>
                    <w:ind w:firstLine="0" w:firstLineChars="0"/>
                  </w:pPr>
                  <w:r>
                    <w:t>调查时期</w:t>
                  </w:r>
                </w:p>
              </w:tc>
              <w:tc>
                <w:tcPr>
                  <w:tcW w:w="2965" w:type="dxa"/>
                  <w:gridSpan w:val="5"/>
                  <w:tcBorders>
                    <w:tl2br w:val="nil"/>
                    <w:tr2bl w:val="nil"/>
                  </w:tcBorders>
                  <w:vAlign w:val="center"/>
                </w:tcPr>
                <w:p w14:paraId="53710B54">
                  <w:pPr>
                    <w:pStyle w:val="112"/>
                    <w:spacing w:line="240" w:lineRule="auto"/>
                    <w:ind w:firstLine="0" w:firstLineChars="0"/>
                  </w:pPr>
                  <w:r>
                    <w:t>数据来源</w:t>
                  </w:r>
                </w:p>
              </w:tc>
            </w:tr>
            <w:tr w14:paraId="2C5DC71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vAlign w:val="center"/>
                </w:tcPr>
                <w:p w14:paraId="2CB8C8E4">
                  <w:pPr>
                    <w:pStyle w:val="112"/>
                    <w:tabs>
                      <w:tab w:val="clear" w:pos="630"/>
                    </w:tabs>
                    <w:spacing w:line="240" w:lineRule="auto"/>
                    <w:ind w:left="630" w:firstLine="0" w:firstLineChars="0"/>
                  </w:pPr>
                </w:p>
              </w:tc>
              <w:tc>
                <w:tcPr>
                  <w:tcW w:w="1687" w:type="dxa"/>
                  <w:vMerge w:val="continue"/>
                  <w:tcBorders>
                    <w:tl2br w:val="nil"/>
                    <w:tr2bl w:val="nil"/>
                  </w:tcBorders>
                  <w:vAlign w:val="center"/>
                </w:tcPr>
                <w:p w14:paraId="0C6F12D1">
                  <w:pPr>
                    <w:pStyle w:val="112"/>
                    <w:tabs>
                      <w:tab w:val="clear" w:pos="630"/>
                    </w:tabs>
                    <w:spacing w:line="240" w:lineRule="auto"/>
                    <w:ind w:left="630" w:firstLine="0" w:firstLineChars="0"/>
                  </w:pPr>
                </w:p>
              </w:tc>
              <w:tc>
                <w:tcPr>
                  <w:tcW w:w="4115" w:type="dxa"/>
                  <w:gridSpan w:val="7"/>
                  <w:tcBorders>
                    <w:tl2br w:val="nil"/>
                    <w:tr2bl w:val="nil"/>
                  </w:tcBorders>
                  <w:vAlign w:val="center"/>
                </w:tcPr>
                <w:p w14:paraId="2E66617E">
                  <w:pPr>
                    <w:pStyle w:val="112"/>
                    <w:spacing w:line="240" w:lineRule="auto"/>
                    <w:ind w:firstLine="0" w:firstLineChars="0"/>
                  </w:pPr>
                  <w:r>
                    <w:t>丰水期</w:t>
                  </w:r>
                  <w:r>
                    <w:rPr/>
                    <w:sym w:font="Wingdings" w:char="00A8"/>
                  </w:r>
                  <w:r>
                    <w:t>；平水期</w:t>
                  </w:r>
                  <w:r>
                    <w:rPr/>
                    <w:sym w:font="Wingdings" w:char="00A8"/>
                  </w:r>
                  <w:r>
                    <w:t>；枯水期</w:t>
                  </w:r>
                  <w:r>
                    <w:rPr/>
                    <w:sym w:font="Wingdings" w:char="00A8"/>
                  </w:r>
                  <w:r>
                    <w:t>；冰封期</w:t>
                  </w:r>
                  <w:r>
                    <w:rPr/>
                    <w:sym w:font="Wingdings" w:char="00A8"/>
                  </w:r>
                </w:p>
                <w:p w14:paraId="2DD242DD">
                  <w:pPr>
                    <w:pStyle w:val="112"/>
                    <w:spacing w:line="240" w:lineRule="auto"/>
                    <w:ind w:firstLine="0" w:firstLineChars="0"/>
                  </w:pPr>
                  <w:r>
                    <w:t>春季</w:t>
                  </w:r>
                  <w:r>
                    <w:rPr/>
                    <w:sym w:font="Wingdings" w:char="00A8"/>
                  </w:r>
                  <w:r>
                    <w:t>；夏季</w:t>
                  </w:r>
                  <w:r>
                    <w:rPr/>
                    <w:sym w:font="Wingdings" w:char="00A8"/>
                  </w:r>
                  <w:r>
                    <w:t>；秋季</w:t>
                  </w:r>
                  <w:r>
                    <w:rPr/>
                    <w:sym w:font="Wingdings" w:char="00A8"/>
                  </w:r>
                  <w:r>
                    <w:t>；冬季</w:t>
                  </w:r>
                  <w:r>
                    <w:rPr/>
                    <w:sym w:font="Wingdings" w:char="00A8"/>
                  </w:r>
                </w:p>
              </w:tc>
              <w:tc>
                <w:tcPr>
                  <w:tcW w:w="2965" w:type="dxa"/>
                  <w:gridSpan w:val="5"/>
                  <w:tcBorders>
                    <w:tl2br w:val="nil"/>
                    <w:tr2bl w:val="nil"/>
                  </w:tcBorders>
                  <w:vAlign w:val="center"/>
                </w:tcPr>
                <w:p w14:paraId="554D6832">
                  <w:pPr>
                    <w:pStyle w:val="112"/>
                    <w:spacing w:line="240" w:lineRule="auto"/>
                    <w:ind w:firstLine="0" w:firstLineChars="0"/>
                  </w:pPr>
                  <w:r>
                    <w:t>水行政主管部门</w:t>
                  </w:r>
                  <w:r>
                    <w:rPr/>
                    <w:sym w:font="Wingdings" w:char="00A8"/>
                  </w:r>
                  <w:r>
                    <w:t>；补充监测</w:t>
                  </w:r>
                  <w:r>
                    <w:rPr/>
                    <w:sym w:font="Wingdings" w:char="00A8"/>
                  </w:r>
                  <w:r>
                    <w:t>；其他</w:t>
                  </w:r>
                  <w:r>
                    <w:rPr/>
                    <w:sym w:font="Wingdings" w:char="00A8"/>
                  </w:r>
                  <w:r>
                    <w:rPr/>
                    <w:sym w:font="Times New Roman" w:char="0000"/>
                  </w:r>
                </w:p>
              </w:tc>
            </w:tr>
            <w:tr w14:paraId="0F480B8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053AE6BC">
                  <w:pPr>
                    <w:pStyle w:val="112"/>
                    <w:tabs>
                      <w:tab w:val="clear" w:pos="630"/>
                    </w:tabs>
                    <w:spacing w:line="240" w:lineRule="auto"/>
                    <w:ind w:left="630" w:firstLine="0" w:firstLineChars="0"/>
                  </w:pPr>
                </w:p>
              </w:tc>
              <w:tc>
                <w:tcPr>
                  <w:tcW w:w="1687" w:type="dxa"/>
                  <w:vMerge w:val="restart"/>
                  <w:tcBorders>
                    <w:tl2br w:val="nil"/>
                    <w:tr2bl w:val="nil"/>
                  </w:tcBorders>
                  <w:vAlign w:val="center"/>
                </w:tcPr>
                <w:p w14:paraId="3E234187">
                  <w:pPr>
                    <w:pStyle w:val="112"/>
                    <w:spacing w:line="240" w:lineRule="auto"/>
                    <w:ind w:firstLine="0" w:firstLineChars="0"/>
                  </w:pPr>
                  <w:r>
                    <w:t>补充监测</w:t>
                  </w:r>
                </w:p>
              </w:tc>
              <w:tc>
                <w:tcPr>
                  <w:tcW w:w="4115" w:type="dxa"/>
                  <w:gridSpan w:val="7"/>
                  <w:tcBorders>
                    <w:tl2br w:val="nil"/>
                    <w:tr2bl w:val="nil"/>
                  </w:tcBorders>
                  <w:vAlign w:val="center"/>
                </w:tcPr>
                <w:p w14:paraId="0539CCA7">
                  <w:pPr>
                    <w:pStyle w:val="112"/>
                    <w:spacing w:line="240" w:lineRule="auto"/>
                    <w:ind w:firstLine="0" w:firstLineChars="0"/>
                  </w:pPr>
                  <w:r>
                    <w:t>监测时期</w:t>
                  </w:r>
                </w:p>
              </w:tc>
              <w:tc>
                <w:tcPr>
                  <w:tcW w:w="1245" w:type="dxa"/>
                  <w:gridSpan w:val="3"/>
                  <w:tcBorders>
                    <w:tl2br w:val="nil"/>
                    <w:tr2bl w:val="nil"/>
                  </w:tcBorders>
                  <w:vAlign w:val="center"/>
                </w:tcPr>
                <w:p w14:paraId="357FA626">
                  <w:pPr>
                    <w:pStyle w:val="112"/>
                    <w:spacing w:line="240" w:lineRule="auto"/>
                    <w:ind w:firstLine="0" w:firstLineChars="0"/>
                  </w:pPr>
                  <w:r>
                    <w:t>监测因子</w:t>
                  </w:r>
                </w:p>
              </w:tc>
              <w:tc>
                <w:tcPr>
                  <w:tcW w:w="1720" w:type="dxa"/>
                  <w:gridSpan w:val="2"/>
                  <w:tcBorders>
                    <w:tl2br w:val="nil"/>
                    <w:tr2bl w:val="nil"/>
                  </w:tcBorders>
                  <w:vAlign w:val="center"/>
                </w:tcPr>
                <w:p w14:paraId="63595880">
                  <w:pPr>
                    <w:pStyle w:val="112"/>
                    <w:spacing w:line="240" w:lineRule="auto"/>
                    <w:ind w:firstLine="0" w:firstLineChars="0"/>
                  </w:pPr>
                  <w:r>
                    <w:t>监测断面或点位</w:t>
                  </w:r>
                </w:p>
              </w:tc>
            </w:tr>
            <w:tr w14:paraId="3F7FC25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0" w:hRule="atLeast"/>
                <w:tblHeader/>
                <w:jc w:val="center"/>
              </w:trPr>
              <w:tc>
                <w:tcPr>
                  <w:tcW w:w="393" w:type="dxa"/>
                  <w:vMerge w:val="continue"/>
                  <w:tcBorders>
                    <w:tl2br w:val="nil"/>
                    <w:tr2bl w:val="nil"/>
                  </w:tcBorders>
                  <w:vAlign w:val="center"/>
                </w:tcPr>
                <w:p w14:paraId="30961B92">
                  <w:pPr>
                    <w:pStyle w:val="112"/>
                    <w:tabs>
                      <w:tab w:val="clear" w:pos="630"/>
                    </w:tabs>
                    <w:spacing w:line="240" w:lineRule="auto"/>
                    <w:ind w:left="630" w:firstLine="0" w:firstLineChars="0"/>
                  </w:pPr>
                </w:p>
              </w:tc>
              <w:tc>
                <w:tcPr>
                  <w:tcW w:w="1687" w:type="dxa"/>
                  <w:vMerge w:val="continue"/>
                  <w:tcBorders>
                    <w:tl2br w:val="nil"/>
                    <w:tr2bl w:val="nil"/>
                  </w:tcBorders>
                  <w:vAlign w:val="center"/>
                </w:tcPr>
                <w:p w14:paraId="2E0438B4">
                  <w:pPr>
                    <w:pStyle w:val="112"/>
                    <w:tabs>
                      <w:tab w:val="clear" w:pos="630"/>
                    </w:tabs>
                    <w:spacing w:line="240" w:lineRule="auto"/>
                    <w:ind w:left="630" w:firstLine="0" w:firstLineChars="0"/>
                  </w:pPr>
                </w:p>
              </w:tc>
              <w:tc>
                <w:tcPr>
                  <w:tcW w:w="4115" w:type="dxa"/>
                  <w:gridSpan w:val="7"/>
                  <w:tcBorders>
                    <w:tl2br w:val="nil"/>
                    <w:tr2bl w:val="nil"/>
                  </w:tcBorders>
                  <w:vAlign w:val="center"/>
                </w:tcPr>
                <w:p w14:paraId="5414306F">
                  <w:pPr>
                    <w:pStyle w:val="112"/>
                    <w:spacing w:line="240" w:lineRule="auto"/>
                    <w:ind w:firstLine="0" w:firstLineChars="0"/>
                  </w:pPr>
                  <w:r>
                    <w:t>丰水期</w:t>
                  </w:r>
                  <w:r>
                    <w:rPr/>
                    <w:sym w:font="Wingdings" w:char="00A8"/>
                  </w:r>
                  <w:r>
                    <w:t>；平水期</w:t>
                  </w:r>
                  <w:r>
                    <w:rPr/>
                    <w:sym w:font="Wingdings" w:char="00A8"/>
                  </w:r>
                  <w:r>
                    <w:t>；枯水期</w:t>
                  </w:r>
                  <w:r>
                    <w:rPr/>
                    <w:sym w:font="Wingdings" w:char="00A8"/>
                  </w:r>
                  <w:r>
                    <w:t>；冰封期</w:t>
                  </w:r>
                  <w:r>
                    <w:rPr/>
                    <w:sym w:font="Wingdings" w:char="00A8"/>
                  </w:r>
                </w:p>
                <w:p w14:paraId="1E023952">
                  <w:pPr>
                    <w:pStyle w:val="112"/>
                    <w:spacing w:line="240" w:lineRule="auto"/>
                    <w:ind w:firstLine="0" w:firstLineChars="0"/>
                  </w:pPr>
                  <w:r>
                    <w:t>春季</w:t>
                  </w:r>
                  <w:r>
                    <w:rPr/>
                    <w:sym w:font="Wingdings" w:char="00A8"/>
                  </w:r>
                  <w:r>
                    <w:t>；夏季</w:t>
                  </w:r>
                  <w:r>
                    <w:rPr/>
                    <w:sym w:font="Wingdings" w:char="00A8"/>
                  </w:r>
                  <w:r>
                    <w:t>；秋季</w:t>
                  </w:r>
                  <w:r>
                    <w:rPr/>
                    <w:sym w:font="Wingdings" w:char="00A8"/>
                  </w:r>
                  <w:r>
                    <w:t>；冬季</w:t>
                  </w:r>
                  <w:r>
                    <w:rPr/>
                    <w:sym w:font="Wingdings" w:char="00A8"/>
                  </w:r>
                </w:p>
              </w:tc>
              <w:tc>
                <w:tcPr>
                  <w:tcW w:w="1245" w:type="dxa"/>
                  <w:gridSpan w:val="3"/>
                  <w:tcBorders>
                    <w:tl2br w:val="nil"/>
                    <w:tr2bl w:val="nil"/>
                  </w:tcBorders>
                  <w:vAlign w:val="center"/>
                </w:tcPr>
                <w:p w14:paraId="62F3E578">
                  <w:pPr>
                    <w:pStyle w:val="112"/>
                    <w:spacing w:line="240" w:lineRule="auto"/>
                    <w:ind w:firstLine="0" w:firstLineChars="0"/>
                  </w:pPr>
                  <w:r>
                    <w:t>（）</w:t>
                  </w:r>
                </w:p>
              </w:tc>
              <w:tc>
                <w:tcPr>
                  <w:tcW w:w="1720" w:type="dxa"/>
                  <w:gridSpan w:val="2"/>
                  <w:tcBorders>
                    <w:tl2br w:val="nil"/>
                    <w:tr2bl w:val="nil"/>
                  </w:tcBorders>
                  <w:vAlign w:val="center"/>
                </w:tcPr>
                <w:p w14:paraId="5E650B06">
                  <w:pPr>
                    <w:pStyle w:val="112"/>
                    <w:spacing w:line="240" w:lineRule="auto"/>
                    <w:ind w:firstLine="0" w:firstLineChars="0"/>
                  </w:pPr>
                  <w:r>
                    <w:t>（ ）个</w:t>
                  </w:r>
                </w:p>
              </w:tc>
            </w:tr>
            <w:tr w14:paraId="076B65D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restart"/>
                  <w:tcBorders>
                    <w:tl2br w:val="nil"/>
                    <w:tr2bl w:val="nil"/>
                  </w:tcBorders>
                  <w:vAlign w:val="center"/>
                </w:tcPr>
                <w:p w14:paraId="6D5B3532">
                  <w:pPr>
                    <w:pStyle w:val="112"/>
                    <w:spacing w:line="240" w:lineRule="auto"/>
                    <w:ind w:firstLine="0" w:firstLineChars="0"/>
                  </w:pPr>
                  <w:r>
                    <w:t>现状评价</w:t>
                  </w:r>
                </w:p>
              </w:tc>
              <w:tc>
                <w:tcPr>
                  <w:tcW w:w="1687" w:type="dxa"/>
                  <w:tcBorders>
                    <w:tl2br w:val="nil"/>
                    <w:tr2bl w:val="nil"/>
                  </w:tcBorders>
                  <w:vAlign w:val="center"/>
                </w:tcPr>
                <w:p w14:paraId="52FAE0E9">
                  <w:pPr>
                    <w:pStyle w:val="112"/>
                    <w:spacing w:line="240" w:lineRule="auto"/>
                    <w:ind w:firstLine="0" w:firstLineChars="0"/>
                  </w:pPr>
                  <w:r>
                    <w:t>评价范围</w:t>
                  </w:r>
                </w:p>
              </w:tc>
              <w:tc>
                <w:tcPr>
                  <w:tcW w:w="7080" w:type="dxa"/>
                  <w:gridSpan w:val="12"/>
                  <w:tcBorders>
                    <w:tl2br w:val="nil"/>
                    <w:tr2bl w:val="nil"/>
                  </w:tcBorders>
                  <w:vAlign w:val="center"/>
                </w:tcPr>
                <w:p w14:paraId="0EC5EEA1">
                  <w:pPr>
                    <w:pStyle w:val="112"/>
                    <w:spacing w:line="240" w:lineRule="auto"/>
                    <w:ind w:firstLine="0" w:firstLineChars="0"/>
                  </w:pPr>
                  <w:r>
                    <w:t>河流：长度（/）km；湖库、河口及近岸海域：面积（/）km</w:t>
                  </w:r>
                  <w:r>
                    <w:rPr>
                      <w:vertAlign w:val="superscript"/>
                    </w:rPr>
                    <w:t>2</w:t>
                  </w:r>
                </w:p>
              </w:tc>
            </w:tr>
            <w:tr w14:paraId="524242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2806F5C3">
                  <w:pPr>
                    <w:pStyle w:val="112"/>
                    <w:tabs>
                      <w:tab w:val="clear" w:pos="630"/>
                    </w:tabs>
                    <w:spacing w:line="240" w:lineRule="auto"/>
                    <w:ind w:left="630" w:firstLine="0" w:firstLineChars="0"/>
                  </w:pPr>
                </w:p>
              </w:tc>
              <w:tc>
                <w:tcPr>
                  <w:tcW w:w="1687" w:type="dxa"/>
                  <w:tcBorders>
                    <w:tl2br w:val="nil"/>
                    <w:tr2bl w:val="nil"/>
                  </w:tcBorders>
                  <w:vAlign w:val="center"/>
                </w:tcPr>
                <w:p w14:paraId="0A5EAB9B">
                  <w:pPr>
                    <w:pStyle w:val="112"/>
                    <w:spacing w:line="240" w:lineRule="auto"/>
                    <w:ind w:firstLine="0" w:firstLineChars="0"/>
                  </w:pPr>
                  <w:r>
                    <w:t>评价因子</w:t>
                  </w:r>
                </w:p>
              </w:tc>
              <w:tc>
                <w:tcPr>
                  <w:tcW w:w="7080" w:type="dxa"/>
                  <w:gridSpan w:val="12"/>
                  <w:tcBorders>
                    <w:tl2br w:val="nil"/>
                    <w:tr2bl w:val="nil"/>
                  </w:tcBorders>
                  <w:vAlign w:val="center"/>
                </w:tcPr>
                <w:p w14:paraId="7C433D5B">
                  <w:pPr>
                    <w:pStyle w:val="112"/>
                    <w:spacing w:line="240" w:lineRule="auto"/>
                    <w:ind w:firstLine="0" w:firstLineChars="0"/>
                  </w:pPr>
                  <w:r>
                    <w:t>（）</w:t>
                  </w:r>
                </w:p>
              </w:tc>
            </w:tr>
            <w:tr w14:paraId="5F6960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continue"/>
                  <w:tcBorders>
                    <w:tl2br w:val="nil"/>
                    <w:tr2bl w:val="nil"/>
                  </w:tcBorders>
                  <w:vAlign w:val="center"/>
                </w:tcPr>
                <w:p w14:paraId="6C702BA8">
                  <w:pPr>
                    <w:pStyle w:val="112"/>
                    <w:tabs>
                      <w:tab w:val="clear" w:pos="630"/>
                    </w:tabs>
                    <w:spacing w:line="240" w:lineRule="auto"/>
                    <w:ind w:left="630" w:firstLine="0" w:firstLineChars="0"/>
                  </w:pPr>
                </w:p>
              </w:tc>
              <w:tc>
                <w:tcPr>
                  <w:tcW w:w="1687" w:type="dxa"/>
                  <w:tcBorders>
                    <w:tl2br w:val="nil"/>
                    <w:tr2bl w:val="nil"/>
                  </w:tcBorders>
                  <w:vAlign w:val="center"/>
                </w:tcPr>
                <w:p w14:paraId="413D7EDE">
                  <w:pPr>
                    <w:pStyle w:val="112"/>
                    <w:spacing w:line="240" w:lineRule="auto"/>
                    <w:ind w:firstLine="0" w:firstLineChars="0"/>
                  </w:pPr>
                  <w:r>
                    <w:t>评价标准</w:t>
                  </w:r>
                </w:p>
              </w:tc>
              <w:tc>
                <w:tcPr>
                  <w:tcW w:w="7080" w:type="dxa"/>
                  <w:gridSpan w:val="12"/>
                  <w:tcBorders>
                    <w:tl2br w:val="nil"/>
                    <w:tr2bl w:val="nil"/>
                  </w:tcBorders>
                  <w:vAlign w:val="center"/>
                </w:tcPr>
                <w:p w14:paraId="42166E4C">
                  <w:pPr>
                    <w:pStyle w:val="112"/>
                    <w:spacing w:line="240" w:lineRule="auto"/>
                    <w:ind w:firstLine="0" w:firstLineChars="0"/>
                  </w:pPr>
                  <w:r>
                    <w:t>河流、湖库、河口：Ⅰ类</w:t>
                  </w:r>
                  <w:r>
                    <w:rPr/>
                    <w:sym w:font="Wingdings" w:char="00A8"/>
                  </w:r>
                  <w:r>
                    <w:t>；Ⅱ类</w:t>
                  </w:r>
                  <w:r>
                    <w:rPr/>
                    <w:sym w:font="Wingdings" w:char="00A8"/>
                  </w:r>
                  <w:r>
                    <w:t>；Ⅲ类</w:t>
                  </w:r>
                  <w:r>
                    <w:rPr/>
                    <w:sym w:font="Wingdings" w:char="00A8"/>
                  </w:r>
                  <w:r>
                    <w:t>；Ⅳ类</w:t>
                  </w:r>
                  <w:r>
                    <w:rPr/>
                    <w:sym w:font="Wingdings" w:char="00A8"/>
                  </w:r>
                  <w:r>
                    <w:t>；Ⅴ类</w:t>
                  </w:r>
                  <w:r>
                    <w:rPr/>
                    <w:sym w:font="Wingdings" w:char="00A8"/>
                  </w:r>
                </w:p>
                <w:p w14:paraId="626491CD">
                  <w:pPr>
                    <w:pStyle w:val="112"/>
                    <w:spacing w:line="240" w:lineRule="auto"/>
                    <w:ind w:firstLine="0" w:firstLineChars="0"/>
                  </w:pPr>
                  <w:r>
                    <w:t>近岸海域：第一类</w:t>
                  </w:r>
                  <w:r>
                    <w:rPr/>
                    <w:sym w:font="Wingdings" w:char="00A8"/>
                  </w:r>
                  <w:r>
                    <w:t>；第二类</w:t>
                  </w:r>
                  <w:r>
                    <w:rPr/>
                    <w:sym w:font="Wingdings" w:char="00A8"/>
                  </w:r>
                  <w:r>
                    <w:t>；第三类</w:t>
                  </w:r>
                  <w:r>
                    <w:rPr/>
                    <w:sym w:font="Wingdings" w:char="00A8"/>
                  </w:r>
                  <w:r>
                    <w:t>；第四类</w:t>
                  </w:r>
                  <w:r>
                    <w:rPr/>
                    <w:sym w:font="Wingdings" w:char="00A8"/>
                  </w:r>
                </w:p>
                <w:p w14:paraId="4DDA3A8F">
                  <w:pPr>
                    <w:pStyle w:val="112"/>
                    <w:spacing w:line="240" w:lineRule="auto"/>
                    <w:ind w:firstLine="0" w:firstLineChars="0"/>
                  </w:pPr>
                  <w:r>
                    <w:t>规划年评价标准（）</w:t>
                  </w:r>
                </w:p>
              </w:tc>
            </w:tr>
            <w:tr w14:paraId="3E66EA5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vAlign w:val="center"/>
                </w:tcPr>
                <w:p w14:paraId="1C69A27D">
                  <w:pPr>
                    <w:pStyle w:val="112"/>
                    <w:tabs>
                      <w:tab w:val="clear" w:pos="630"/>
                    </w:tabs>
                    <w:spacing w:line="240" w:lineRule="auto"/>
                    <w:ind w:left="630" w:firstLine="0" w:firstLineChars="0"/>
                  </w:pPr>
                </w:p>
              </w:tc>
              <w:tc>
                <w:tcPr>
                  <w:tcW w:w="1687" w:type="dxa"/>
                  <w:tcBorders>
                    <w:tl2br w:val="nil"/>
                    <w:tr2bl w:val="nil"/>
                  </w:tcBorders>
                  <w:vAlign w:val="center"/>
                </w:tcPr>
                <w:p w14:paraId="560AA52B">
                  <w:pPr>
                    <w:pStyle w:val="112"/>
                    <w:spacing w:line="240" w:lineRule="auto"/>
                    <w:ind w:firstLine="0" w:firstLineChars="0"/>
                  </w:pPr>
                  <w:r>
                    <w:t>评价时期</w:t>
                  </w:r>
                </w:p>
              </w:tc>
              <w:tc>
                <w:tcPr>
                  <w:tcW w:w="7080" w:type="dxa"/>
                  <w:gridSpan w:val="12"/>
                  <w:tcBorders>
                    <w:tl2br w:val="nil"/>
                    <w:tr2bl w:val="nil"/>
                  </w:tcBorders>
                  <w:vAlign w:val="center"/>
                </w:tcPr>
                <w:p w14:paraId="6A458612">
                  <w:pPr>
                    <w:pStyle w:val="112"/>
                    <w:spacing w:line="240" w:lineRule="auto"/>
                    <w:ind w:firstLine="0" w:firstLineChars="0"/>
                    <w:jc w:val="both"/>
                  </w:pPr>
                  <w:r>
                    <w:t>丰水期</w:t>
                  </w:r>
                  <w:r>
                    <w:rPr/>
                    <w:sym w:font="Wingdings" w:char="00A8"/>
                  </w:r>
                  <w:r>
                    <w:t>；平水期</w:t>
                  </w:r>
                  <w:r>
                    <w:rPr/>
                    <w:sym w:font="Wingdings" w:char="00A8"/>
                  </w:r>
                  <w:r>
                    <w:t>；枯水期</w:t>
                  </w:r>
                  <w:r>
                    <w:rPr/>
                    <w:sym w:font="Wingdings" w:char="00A8"/>
                  </w:r>
                  <w:r>
                    <w:t>；冰封期</w:t>
                  </w:r>
                  <w:r>
                    <w:rPr/>
                    <w:sym w:font="Wingdings" w:char="00A8"/>
                  </w:r>
                </w:p>
                <w:p w14:paraId="4FBBB668">
                  <w:pPr>
                    <w:pStyle w:val="112"/>
                    <w:spacing w:line="240" w:lineRule="auto"/>
                    <w:ind w:firstLine="0" w:firstLineChars="0"/>
                    <w:jc w:val="both"/>
                  </w:pPr>
                  <w:r>
                    <w:t>春季</w:t>
                  </w:r>
                  <w:r>
                    <w:rPr/>
                    <w:sym w:font="Wingdings" w:char="00A8"/>
                  </w:r>
                  <w:r>
                    <w:t>；夏季</w:t>
                  </w:r>
                  <w:r>
                    <w:rPr/>
                    <w:sym w:font="Wingdings" w:char="00A8"/>
                  </w:r>
                  <w:r>
                    <w:t>；秋季</w:t>
                  </w:r>
                  <w:r>
                    <w:rPr/>
                    <w:sym w:font="Wingdings" w:char="00A8"/>
                  </w:r>
                  <w:r>
                    <w:t>；冬季</w:t>
                  </w:r>
                  <w:r>
                    <w:rPr/>
                    <w:sym w:font="Wingdings" w:char="00A8"/>
                  </w:r>
                </w:p>
              </w:tc>
            </w:tr>
            <w:tr w14:paraId="519A17A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22" w:hRule="atLeast"/>
                <w:tblHeader/>
                <w:jc w:val="center"/>
              </w:trPr>
              <w:tc>
                <w:tcPr>
                  <w:tcW w:w="393" w:type="dxa"/>
                  <w:vMerge w:val="continue"/>
                  <w:tcBorders>
                    <w:tl2br w:val="nil"/>
                    <w:tr2bl w:val="nil"/>
                  </w:tcBorders>
                  <w:vAlign w:val="center"/>
                </w:tcPr>
                <w:p w14:paraId="5E1D12B8">
                  <w:pPr>
                    <w:pStyle w:val="112"/>
                    <w:tabs>
                      <w:tab w:val="clear" w:pos="630"/>
                    </w:tabs>
                    <w:spacing w:line="240" w:lineRule="auto"/>
                    <w:ind w:left="630" w:firstLine="0" w:firstLineChars="0"/>
                  </w:pPr>
                </w:p>
              </w:tc>
              <w:tc>
                <w:tcPr>
                  <w:tcW w:w="1687" w:type="dxa"/>
                  <w:tcBorders>
                    <w:tl2br w:val="nil"/>
                    <w:tr2bl w:val="nil"/>
                  </w:tcBorders>
                  <w:vAlign w:val="center"/>
                </w:tcPr>
                <w:p w14:paraId="50AB4C2D">
                  <w:pPr>
                    <w:pStyle w:val="112"/>
                    <w:spacing w:line="240" w:lineRule="auto"/>
                    <w:ind w:firstLine="0" w:firstLineChars="0"/>
                  </w:pPr>
                  <w:r>
                    <w:t>评价结论</w:t>
                  </w:r>
                </w:p>
              </w:tc>
              <w:tc>
                <w:tcPr>
                  <w:tcW w:w="5729" w:type="dxa"/>
                  <w:gridSpan w:val="11"/>
                  <w:tcBorders>
                    <w:tl2br w:val="nil"/>
                    <w:tr2bl w:val="nil"/>
                  </w:tcBorders>
                  <w:vAlign w:val="center"/>
                </w:tcPr>
                <w:p w14:paraId="05574DFA">
                  <w:pPr>
                    <w:pStyle w:val="112"/>
                    <w:spacing w:line="240" w:lineRule="auto"/>
                    <w:ind w:firstLine="0" w:firstLineChars="0"/>
                    <w:jc w:val="both"/>
                  </w:pPr>
                  <w:r>
                    <w:t>水环境功能区或水功能区、近岸海域环境功能区水质达标状况：达标</w:t>
                  </w:r>
                  <w:r>
                    <w:rPr/>
                    <w:sym w:font="Wingdings" w:char="00A8"/>
                  </w:r>
                  <w:r>
                    <w:t>；不达标</w:t>
                  </w:r>
                  <w:r>
                    <w:rPr/>
                    <w:sym w:font="Wingdings" w:char="00A8"/>
                  </w:r>
                </w:p>
                <w:p w14:paraId="535047BE">
                  <w:pPr>
                    <w:pStyle w:val="112"/>
                    <w:spacing w:line="240" w:lineRule="auto"/>
                    <w:ind w:firstLine="0" w:firstLineChars="0"/>
                    <w:jc w:val="both"/>
                  </w:pPr>
                  <w:r>
                    <w:t>水环境控制单元或断面水质达标状况：达标</w:t>
                  </w:r>
                  <w:r>
                    <w:rPr/>
                    <w:sym w:font="Wingdings" w:char="00A8"/>
                  </w:r>
                  <w:r>
                    <w:t>；不达标</w:t>
                  </w:r>
                  <w:r>
                    <w:rPr/>
                    <w:sym w:font="Wingdings" w:char="00A8"/>
                  </w:r>
                </w:p>
                <w:p w14:paraId="73003219">
                  <w:pPr>
                    <w:pStyle w:val="112"/>
                    <w:spacing w:line="240" w:lineRule="auto"/>
                    <w:ind w:firstLine="0" w:firstLineChars="0"/>
                    <w:jc w:val="both"/>
                  </w:pPr>
                  <w:r>
                    <w:t>水环境保护目标质量状况：达标</w:t>
                  </w:r>
                  <w:r>
                    <w:rPr/>
                    <w:sym w:font="Wingdings" w:char="00A8"/>
                  </w:r>
                  <w:r>
                    <w:t>；不达标</w:t>
                  </w:r>
                  <w:r>
                    <w:rPr/>
                    <w:sym w:font="Wingdings" w:char="00A8"/>
                  </w:r>
                </w:p>
                <w:p w14:paraId="288B5B55">
                  <w:pPr>
                    <w:pStyle w:val="112"/>
                    <w:spacing w:line="240" w:lineRule="auto"/>
                    <w:ind w:firstLine="0" w:firstLineChars="0"/>
                    <w:jc w:val="both"/>
                  </w:pPr>
                  <w:r>
                    <w:t>对照断面、控制断面等代表性断面的水质状况</w:t>
                  </w:r>
                  <w:r>
                    <w:rPr/>
                    <w:sym w:font="Wingdings" w:char="00A8"/>
                  </w:r>
                  <w:r>
                    <w:t>：达标</w:t>
                  </w:r>
                  <w:r>
                    <w:rPr/>
                    <w:sym w:font="Wingdings" w:char="00A8"/>
                  </w:r>
                  <w:r>
                    <w:t>；不达标</w:t>
                  </w:r>
                  <w:r>
                    <w:rPr/>
                    <w:sym w:font="Wingdings" w:char="00A8"/>
                  </w:r>
                </w:p>
                <w:p w14:paraId="633A82BD">
                  <w:pPr>
                    <w:pStyle w:val="112"/>
                    <w:spacing w:line="240" w:lineRule="auto"/>
                    <w:ind w:firstLine="0" w:firstLineChars="0"/>
                    <w:jc w:val="both"/>
                  </w:pPr>
                  <w:r>
                    <w:t>底泥污染评价</w:t>
                  </w:r>
                  <w:r>
                    <w:rPr/>
                    <w:sym w:font="Wingdings" w:char="00A8"/>
                  </w:r>
                </w:p>
                <w:p w14:paraId="3ACDF588">
                  <w:pPr>
                    <w:pStyle w:val="112"/>
                    <w:spacing w:line="240" w:lineRule="auto"/>
                    <w:ind w:firstLine="0" w:firstLineChars="0"/>
                    <w:jc w:val="both"/>
                  </w:pPr>
                  <w:r>
                    <w:t>水资源与开发利用程度及其水文情势评价</w:t>
                  </w:r>
                  <w:r>
                    <w:rPr/>
                    <w:sym w:font="Wingdings" w:char="00A8"/>
                  </w:r>
                </w:p>
                <w:p w14:paraId="3423AE9A">
                  <w:pPr>
                    <w:pStyle w:val="112"/>
                    <w:spacing w:line="240" w:lineRule="auto"/>
                    <w:ind w:firstLine="0" w:firstLineChars="0"/>
                    <w:jc w:val="both"/>
                  </w:pPr>
                  <w:r>
                    <w:t>水环境质量回顾评价</w:t>
                  </w:r>
                  <w:r>
                    <w:rPr/>
                    <w:sym w:font="Wingdings" w:char="00A8"/>
                  </w:r>
                </w:p>
                <w:p w14:paraId="6E1CE441">
                  <w:pPr>
                    <w:pStyle w:val="112"/>
                    <w:spacing w:line="240" w:lineRule="auto"/>
                    <w:ind w:firstLine="0" w:firstLineChars="0"/>
                    <w:jc w:val="both"/>
                  </w:pPr>
                  <w:r>
                    <w:t>流域（区域）水资源（包括水能资源）与开发利用总体状况、生态流量管理要求与现状满足程度、建设项目占用水域空间的水流状况与河湖演变状况</w:t>
                  </w:r>
                  <w:r>
                    <w:rPr/>
                    <w:sym w:font="Wingdings" w:char="00A8"/>
                  </w:r>
                </w:p>
              </w:tc>
              <w:tc>
                <w:tcPr>
                  <w:tcW w:w="1351" w:type="dxa"/>
                  <w:tcBorders>
                    <w:tl2br w:val="nil"/>
                    <w:tr2bl w:val="nil"/>
                  </w:tcBorders>
                  <w:vAlign w:val="center"/>
                </w:tcPr>
                <w:p w14:paraId="44A18D5A">
                  <w:pPr>
                    <w:pStyle w:val="112"/>
                    <w:spacing w:line="240" w:lineRule="auto"/>
                    <w:ind w:firstLine="0" w:firstLineChars="0"/>
                  </w:pPr>
                </w:p>
                <w:p w14:paraId="5EA1F0F9">
                  <w:pPr>
                    <w:pStyle w:val="112"/>
                    <w:spacing w:line="240" w:lineRule="auto"/>
                    <w:ind w:firstLine="0" w:firstLineChars="0"/>
                  </w:pPr>
                </w:p>
                <w:p w14:paraId="45D214D7">
                  <w:pPr>
                    <w:pStyle w:val="112"/>
                    <w:spacing w:line="240" w:lineRule="auto"/>
                    <w:ind w:firstLine="0" w:firstLineChars="0"/>
                  </w:pPr>
                </w:p>
                <w:p w14:paraId="6A416AC0">
                  <w:pPr>
                    <w:pStyle w:val="112"/>
                    <w:spacing w:line="240" w:lineRule="auto"/>
                    <w:ind w:firstLine="0" w:firstLineChars="0"/>
                  </w:pPr>
                </w:p>
                <w:p w14:paraId="07D42CE1">
                  <w:pPr>
                    <w:pStyle w:val="112"/>
                    <w:spacing w:line="240" w:lineRule="auto"/>
                    <w:ind w:firstLine="0" w:firstLineChars="0"/>
                    <w:jc w:val="both"/>
                  </w:pPr>
                  <w:r>
                    <w:t>达标区</w:t>
                  </w:r>
                  <w:r>
                    <w:rPr/>
                    <w:sym w:font="Wingdings" w:char="00A8"/>
                  </w:r>
                </w:p>
                <w:p w14:paraId="13BAEFAE">
                  <w:pPr>
                    <w:pStyle w:val="112"/>
                    <w:spacing w:line="240" w:lineRule="auto"/>
                    <w:ind w:firstLine="0" w:firstLineChars="0"/>
                  </w:pPr>
                  <w:r>
                    <w:t>不达标区</w:t>
                  </w:r>
                  <w:r>
                    <w:rPr/>
                    <w:sym w:font="Wingdings" w:char="00A8"/>
                  </w:r>
                </w:p>
              </w:tc>
            </w:tr>
            <w:tr w14:paraId="68DFA91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restart"/>
                  <w:tcBorders>
                    <w:tl2br w:val="nil"/>
                    <w:tr2bl w:val="nil"/>
                  </w:tcBorders>
                  <w:vAlign w:val="center"/>
                </w:tcPr>
                <w:p w14:paraId="14188B8E">
                  <w:pPr>
                    <w:pStyle w:val="112"/>
                    <w:spacing w:line="240" w:lineRule="auto"/>
                    <w:ind w:firstLine="0" w:firstLineChars="0"/>
                  </w:pPr>
                  <w:r>
                    <w:t>影响预测</w:t>
                  </w:r>
                </w:p>
              </w:tc>
              <w:tc>
                <w:tcPr>
                  <w:tcW w:w="1687" w:type="dxa"/>
                  <w:tcBorders>
                    <w:tl2br w:val="nil"/>
                    <w:tr2bl w:val="nil"/>
                  </w:tcBorders>
                  <w:vAlign w:val="center"/>
                </w:tcPr>
                <w:p w14:paraId="1F3951EA">
                  <w:pPr>
                    <w:pStyle w:val="112"/>
                    <w:spacing w:line="240" w:lineRule="auto"/>
                    <w:ind w:firstLine="0" w:firstLineChars="0"/>
                  </w:pPr>
                  <w:r>
                    <w:t>预测范围</w:t>
                  </w:r>
                </w:p>
              </w:tc>
              <w:tc>
                <w:tcPr>
                  <w:tcW w:w="7080" w:type="dxa"/>
                  <w:gridSpan w:val="12"/>
                  <w:tcBorders>
                    <w:tl2br w:val="nil"/>
                    <w:tr2bl w:val="nil"/>
                  </w:tcBorders>
                  <w:vAlign w:val="center"/>
                </w:tcPr>
                <w:p w14:paraId="6EFEF86B">
                  <w:pPr>
                    <w:pStyle w:val="112"/>
                    <w:spacing w:line="240" w:lineRule="auto"/>
                    <w:ind w:firstLine="0" w:firstLineChars="0"/>
                  </w:pPr>
                  <w:r>
                    <w:t>河流：长度（/）km；湖库、河口及近岸海域：面积（/）km</w:t>
                  </w:r>
                  <w:r>
                    <w:rPr>
                      <w:vertAlign w:val="superscript"/>
                    </w:rPr>
                    <w:t>2</w:t>
                  </w:r>
                </w:p>
              </w:tc>
            </w:tr>
            <w:tr w14:paraId="555253D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2802B5FA">
                  <w:pPr>
                    <w:pStyle w:val="112"/>
                    <w:tabs>
                      <w:tab w:val="clear" w:pos="630"/>
                    </w:tabs>
                    <w:spacing w:line="240" w:lineRule="auto"/>
                    <w:ind w:left="630" w:firstLine="0" w:firstLineChars="0"/>
                  </w:pPr>
                </w:p>
              </w:tc>
              <w:tc>
                <w:tcPr>
                  <w:tcW w:w="1687" w:type="dxa"/>
                  <w:tcBorders>
                    <w:tl2br w:val="nil"/>
                    <w:tr2bl w:val="nil"/>
                  </w:tcBorders>
                  <w:vAlign w:val="center"/>
                </w:tcPr>
                <w:p w14:paraId="27D2533B">
                  <w:pPr>
                    <w:pStyle w:val="112"/>
                    <w:spacing w:line="240" w:lineRule="auto"/>
                    <w:ind w:firstLine="0" w:firstLineChars="0"/>
                  </w:pPr>
                  <w:r>
                    <w:t>预测因子</w:t>
                  </w:r>
                </w:p>
              </w:tc>
              <w:tc>
                <w:tcPr>
                  <w:tcW w:w="7080" w:type="dxa"/>
                  <w:gridSpan w:val="12"/>
                  <w:tcBorders>
                    <w:tl2br w:val="nil"/>
                    <w:tr2bl w:val="nil"/>
                  </w:tcBorders>
                  <w:vAlign w:val="center"/>
                </w:tcPr>
                <w:p w14:paraId="276B9E6C">
                  <w:pPr>
                    <w:pStyle w:val="112"/>
                    <w:spacing w:line="240" w:lineRule="auto"/>
                    <w:ind w:firstLine="0" w:firstLineChars="0"/>
                  </w:pPr>
                </w:p>
              </w:tc>
            </w:tr>
            <w:tr w14:paraId="76B110B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vAlign w:val="center"/>
                </w:tcPr>
                <w:p w14:paraId="6B6F8E1B">
                  <w:pPr>
                    <w:pStyle w:val="112"/>
                    <w:tabs>
                      <w:tab w:val="clear" w:pos="630"/>
                    </w:tabs>
                    <w:spacing w:line="240" w:lineRule="auto"/>
                    <w:ind w:left="630" w:firstLine="0" w:firstLineChars="0"/>
                  </w:pPr>
                </w:p>
              </w:tc>
              <w:tc>
                <w:tcPr>
                  <w:tcW w:w="1687" w:type="dxa"/>
                  <w:tcBorders>
                    <w:tl2br w:val="nil"/>
                    <w:tr2bl w:val="nil"/>
                  </w:tcBorders>
                  <w:vAlign w:val="center"/>
                </w:tcPr>
                <w:p w14:paraId="272F5CAB">
                  <w:pPr>
                    <w:pStyle w:val="112"/>
                    <w:spacing w:line="240" w:lineRule="auto"/>
                    <w:ind w:firstLine="0" w:firstLineChars="0"/>
                  </w:pPr>
                  <w:r>
                    <w:t>预测时期</w:t>
                  </w:r>
                </w:p>
              </w:tc>
              <w:tc>
                <w:tcPr>
                  <w:tcW w:w="7080" w:type="dxa"/>
                  <w:gridSpan w:val="12"/>
                  <w:tcBorders>
                    <w:tl2br w:val="nil"/>
                    <w:tr2bl w:val="nil"/>
                  </w:tcBorders>
                  <w:vAlign w:val="center"/>
                </w:tcPr>
                <w:p w14:paraId="38EB1866">
                  <w:pPr>
                    <w:pStyle w:val="112"/>
                    <w:spacing w:line="240" w:lineRule="auto"/>
                    <w:ind w:firstLine="0" w:firstLineChars="0"/>
                    <w:jc w:val="both"/>
                  </w:pPr>
                  <w:r>
                    <w:t>丰水期</w:t>
                  </w:r>
                  <w:r>
                    <w:rPr/>
                    <w:sym w:font="Wingdings" w:char="00A8"/>
                  </w:r>
                  <w:r>
                    <w:t>；平水期</w:t>
                  </w:r>
                  <w:r>
                    <w:rPr/>
                    <w:sym w:font="Wingdings" w:char="00A8"/>
                  </w:r>
                  <w:r>
                    <w:t>；枯水期</w:t>
                  </w:r>
                  <w:r>
                    <w:rPr/>
                    <w:sym w:font="Wingdings" w:char="00A8"/>
                  </w:r>
                  <w:r>
                    <w:t>；冰封期</w:t>
                  </w:r>
                  <w:r>
                    <w:rPr/>
                    <w:sym w:font="Wingdings" w:char="00A8"/>
                  </w:r>
                </w:p>
                <w:p w14:paraId="2B488682">
                  <w:pPr>
                    <w:pStyle w:val="112"/>
                    <w:spacing w:line="240" w:lineRule="auto"/>
                    <w:ind w:firstLine="0" w:firstLineChars="0"/>
                    <w:jc w:val="both"/>
                  </w:pPr>
                  <w:r>
                    <w:t>春季</w:t>
                  </w:r>
                  <w:r>
                    <w:rPr/>
                    <w:sym w:font="Wingdings" w:char="00A8"/>
                  </w:r>
                  <w:r>
                    <w:t>；夏季</w:t>
                  </w:r>
                  <w:r>
                    <w:rPr/>
                    <w:sym w:font="Wingdings" w:char="00A8"/>
                  </w:r>
                  <w:r>
                    <w:t>；秋季</w:t>
                  </w:r>
                  <w:r>
                    <w:rPr/>
                    <w:sym w:font="Wingdings" w:char="00A8"/>
                  </w:r>
                  <w:r>
                    <w:t>；冬季</w:t>
                  </w:r>
                  <w:r>
                    <w:rPr/>
                    <w:sym w:font="Wingdings" w:char="00A8"/>
                  </w:r>
                </w:p>
              </w:tc>
            </w:tr>
            <w:tr w14:paraId="640F1F1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24" w:hRule="atLeast"/>
                <w:tblHeader/>
                <w:jc w:val="center"/>
              </w:trPr>
              <w:tc>
                <w:tcPr>
                  <w:tcW w:w="393" w:type="dxa"/>
                  <w:vMerge w:val="continue"/>
                  <w:tcBorders>
                    <w:tl2br w:val="nil"/>
                    <w:tr2bl w:val="nil"/>
                  </w:tcBorders>
                  <w:vAlign w:val="center"/>
                </w:tcPr>
                <w:p w14:paraId="346B756C">
                  <w:pPr>
                    <w:pStyle w:val="112"/>
                    <w:tabs>
                      <w:tab w:val="clear" w:pos="630"/>
                    </w:tabs>
                    <w:spacing w:line="240" w:lineRule="auto"/>
                    <w:ind w:left="630" w:firstLine="0" w:firstLineChars="0"/>
                  </w:pPr>
                </w:p>
              </w:tc>
              <w:tc>
                <w:tcPr>
                  <w:tcW w:w="1687" w:type="dxa"/>
                  <w:tcBorders>
                    <w:tl2br w:val="nil"/>
                    <w:tr2bl w:val="nil"/>
                  </w:tcBorders>
                  <w:vAlign w:val="center"/>
                </w:tcPr>
                <w:p w14:paraId="0CDC728D">
                  <w:pPr>
                    <w:pStyle w:val="112"/>
                    <w:spacing w:line="240" w:lineRule="auto"/>
                    <w:ind w:firstLine="0" w:firstLineChars="0"/>
                  </w:pPr>
                  <w:r>
                    <w:t>预测情景</w:t>
                  </w:r>
                </w:p>
              </w:tc>
              <w:tc>
                <w:tcPr>
                  <w:tcW w:w="7080" w:type="dxa"/>
                  <w:gridSpan w:val="12"/>
                  <w:tcBorders>
                    <w:tl2br w:val="nil"/>
                    <w:tr2bl w:val="nil"/>
                  </w:tcBorders>
                  <w:vAlign w:val="center"/>
                </w:tcPr>
                <w:p w14:paraId="2EFA212B">
                  <w:pPr>
                    <w:pStyle w:val="112"/>
                    <w:spacing w:line="240" w:lineRule="auto"/>
                    <w:ind w:firstLine="0" w:firstLineChars="0"/>
                    <w:jc w:val="both"/>
                  </w:pPr>
                  <w:r>
                    <w:t>建设期</w:t>
                  </w:r>
                  <w:r>
                    <w:rPr/>
                    <w:sym w:font="Wingdings" w:char="00A8"/>
                  </w:r>
                  <w:r>
                    <w:t>；生产运行期</w:t>
                  </w:r>
                  <w:r>
                    <w:rPr/>
                    <w:sym w:font="Wingdings" w:char="00A8"/>
                  </w:r>
                  <w:r>
                    <w:t>；服务期满后</w:t>
                  </w:r>
                  <w:r>
                    <w:rPr/>
                    <w:sym w:font="Wingdings" w:char="00A8"/>
                  </w:r>
                </w:p>
                <w:p w14:paraId="09F8D610">
                  <w:pPr>
                    <w:pStyle w:val="112"/>
                    <w:spacing w:line="240" w:lineRule="auto"/>
                    <w:ind w:firstLine="0" w:firstLineChars="0"/>
                    <w:jc w:val="both"/>
                  </w:pPr>
                  <w:r>
                    <w:t>正常工况</w:t>
                  </w:r>
                  <w:r>
                    <w:rPr/>
                    <w:sym w:font="Wingdings" w:char="00A8"/>
                  </w:r>
                  <w:r>
                    <w:t>；非正常工况</w:t>
                  </w:r>
                  <w:r>
                    <w:rPr/>
                    <w:sym w:font="Wingdings" w:char="00A8"/>
                  </w:r>
                </w:p>
                <w:p w14:paraId="6939786A">
                  <w:pPr>
                    <w:pStyle w:val="112"/>
                    <w:spacing w:line="240" w:lineRule="auto"/>
                    <w:ind w:firstLine="0" w:firstLineChars="0"/>
                    <w:jc w:val="both"/>
                  </w:pPr>
                  <w:r>
                    <w:t>污染控制和减缓措施方案</w:t>
                  </w:r>
                  <w:r>
                    <w:rPr/>
                    <w:sym w:font="Wingdings" w:char="00A8"/>
                  </w:r>
                </w:p>
                <w:p w14:paraId="2F8993AD">
                  <w:pPr>
                    <w:pStyle w:val="112"/>
                    <w:spacing w:line="240" w:lineRule="auto"/>
                    <w:ind w:firstLine="0" w:firstLineChars="0"/>
                    <w:jc w:val="both"/>
                  </w:pPr>
                  <w:r>
                    <w:t>区（流）域环境质量改善目标要求情景</w:t>
                  </w:r>
                  <w:r>
                    <w:rPr/>
                    <w:sym w:font="Wingdings" w:char="00A8"/>
                  </w:r>
                </w:p>
              </w:tc>
            </w:tr>
            <w:tr w14:paraId="5ECE1A6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vAlign w:val="center"/>
                </w:tcPr>
                <w:p w14:paraId="6BFD6FCE">
                  <w:pPr>
                    <w:pStyle w:val="112"/>
                    <w:tabs>
                      <w:tab w:val="clear" w:pos="630"/>
                    </w:tabs>
                    <w:spacing w:line="240" w:lineRule="auto"/>
                    <w:ind w:left="630" w:firstLine="0" w:firstLineChars="0"/>
                  </w:pPr>
                </w:p>
              </w:tc>
              <w:tc>
                <w:tcPr>
                  <w:tcW w:w="1687" w:type="dxa"/>
                  <w:tcBorders>
                    <w:tl2br w:val="nil"/>
                    <w:tr2bl w:val="nil"/>
                  </w:tcBorders>
                  <w:vAlign w:val="center"/>
                </w:tcPr>
                <w:p w14:paraId="4BD61C3D">
                  <w:pPr>
                    <w:pStyle w:val="112"/>
                    <w:spacing w:line="240" w:lineRule="auto"/>
                    <w:ind w:firstLine="0" w:firstLineChars="0"/>
                  </w:pPr>
                  <w:r>
                    <w:t>预测方法</w:t>
                  </w:r>
                </w:p>
              </w:tc>
              <w:tc>
                <w:tcPr>
                  <w:tcW w:w="7080" w:type="dxa"/>
                  <w:gridSpan w:val="12"/>
                  <w:tcBorders>
                    <w:tl2br w:val="nil"/>
                    <w:tr2bl w:val="nil"/>
                  </w:tcBorders>
                  <w:vAlign w:val="center"/>
                </w:tcPr>
                <w:p w14:paraId="64DD81D3">
                  <w:pPr>
                    <w:pStyle w:val="112"/>
                    <w:spacing w:line="240" w:lineRule="auto"/>
                    <w:ind w:firstLine="0" w:firstLineChars="0"/>
                    <w:jc w:val="both"/>
                  </w:pPr>
                  <w:r>
                    <w:t>数值解</w:t>
                  </w:r>
                  <w:r>
                    <w:rPr/>
                    <w:sym w:font="Wingdings" w:char="00A8"/>
                  </w:r>
                  <w:r>
                    <w:t>：解析解</w:t>
                  </w:r>
                  <w:r>
                    <w:rPr/>
                    <w:sym w:font="Wingdings" w:char="00A8"/>
                  </w:r>
                  <w:r>
                    <w:t>；其他</w:t>
                  </w:r>
                  <w:r>
                    <w:rPr/>
                    <w:sym w:font="Wingdings" w:char="00A8"/>
                  </w:r>
                </w:p>
                <w:p w14:paraId="608AE63E">
                  <w:pPr>
                    <w:pStyle w:val="112"/>
                    <w:spacing w:line="240" w:lineRule="auto"/>
                    <w:ind w:firstLine="0" w:firstLineChars="0"/>
                    <w:jc w:val="both"/>
                  </w:pPr>
                  <w:r>
                    <w:t>导则推荐模式</w:t>
                  </w:r>
                  <w:r>
                    <w:rPr/>
                    <w:sym w:font="Wingdings" w:char="00A8"/>
                  </w:r>
                  <w:r>
                    <w:t>：其他</w:t>
                  </w:r>
                  <w:r>
                    <w:rPr/>
                    <w:sym w:font="Wingdings" w:char="00A8"/>
                  </w:r>
                </w:p>
              </w:tc>
            </w:tr>
            <w:tr w14:paraId="658C7C0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restart"/>
                  <w:tcBorders>
                    <w:tl2br w:val="nil"/>
                    <w:tr2bl w:val="nil"/>
                  </w:tcBorders>
                  <w:vAlign w:val="center"/>
                </w:tcPr>
                <w:p w14:paraId="0591502C">
                  <w:pPr>
                    <w:pStyle w:val="112"/>
                    <w:spacing w:line="240" w:lineRule="auto"/>
                    <w:ind w:firstLine="0" w:firstLineChars="0"/>
                  </w:pPr>
                  <w:r>
                    <w:t>影响评价</w:t>
                  </w:r>
                </w:p>
              </w:tc>
              <w:tc>
                <w:tcPr>
                  <w:tcW w:w="1687" w:type="dxa"/>
                  <w:tcBorders>
                    <w:tl2br w:val="nil"/>
                    <w:tr2bl w:val="nil"/>
                  </w:tcBorders>
                  <w:vAlign w:val="center"/>
                </w:tcPr>
                <w:p w14:paraId="3DD0BAC7">
                  <w:pPr>
                    <w:pStyle w:val="112"/>
                    <w:spacing w:line="240" w:lineRule="auto"/>
                    <w:ind w:firstLine="0" w:firstLineChars="0"/>
                  </w:pPr>
                  <w:r>
                    <w:t>水污染控制和水环境影响减缓措</w:t>
                  </w:r>
                </w:p>
                <w:p w14:paraId="789CDF36">
                  <w:pPr>
                    <w:pStyle w:val="112"/>
                    <w:spacing w:line="240" w:lineRule="auto"/>
                    <w:ind w:firstLine="0" w:firstLineChars="0"/>
                  </w:pPr>
                  <w:r>
                    <w:t>施有效性评价</w:t>
                  </w:r>
                </w:p>
              </w:tc>
              <w:tc>
                <w:tcPr>
                  <w:tcW w:w="7080" w:type="dxa"/>
                  <w:gridSpan w:val="12"/>
                  <w:tcBorders>
                    <w:tl2br w:val="nil"/>
                    <w:tr2bl w:val="nil"/>
                  </w:tcBorders>
                  <w:vAlign w:val="center"/>
                </w:tcPr>
                <w:p w14:paraId="5095413D">
                  <w:pPr>
                    <w:pStyle w:val="112"/>
                    <w:spacing w:line="240" w:lineRule="auto"/>
                    <w:ind w:firstLine="0" w:firstLineChars="0"/>
                    <w:jc w:val="both"/>
                  </w:pPr>
                  <w:r>
                    <w:t>区（流）域水环境质量改善目标</w:t>
                  </w:r>
                  <w:r>
                    <w:rPr/>
                    <w:sym w:font="Wingdings" w:char="00A8"/>
                  </w:r>
                  <w:r>
                    <w:t>；替代削减源</w:t>
                  </w:r>
                  <w:r>
                    <w:rPr/>
                    <w:sym w:font="Wingdings" w:char="00A8"/>
                  </w:r>
                </w:p>
              </w:tc>
            </w:tr>
            <w:tr w14:paraId="67F1B6B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93" w:hRule="atLeast"/>
                <w:tblHeader/>
                <w:jc w:val="center"/>
              </w:trPr>
              <w:tc>
                <w:tcPr>
                  <w:tcW w:w="393" w:type="dxa"/>
                  <w:vMerge w:val="continue"/>
                  <w:tcBorders>
                    <w:tl2br w:val="nil"/>
                    <w:tr2bl w:val="nil"/>
                  </w:tcBorders>
                  <w:vAlign w:val="center"/>
                </w:tcPr>
                <w:p w14:paraId="653B9F5E">
                  <w:pPr>
                    <w:pStyle w:val="112"/>
                    <w:tabs>
                      <w:tab w:val="clear" w:pos="630"/>
                    </w:tabs>
                    <w:spacing w:line="240" w:lineRule="auto"/>
                    <w:ind w:left="630" w:firstLine="0" w:firstLineChars="0"/>
                  </w:pPr>
                </w:p>
              </w:tc>
              <w:tc>
                <w:tcPr>
                  <w:tcW w:w="1687" w:type="dxa"/>
                  <w:tcBorders>
                    <w:tl2br w:val="nil"/>
                    <w:tr2bl w:val="nil"/>
                  </w:tcBorders>
                  <w:vAlign w:val="center"/>
                </w:tcPr>
                <w:p w14:paraId="6092958D">
                  <w:pPr>
                    <w:pStyle w:val="112"/>
                    <w:spacing w:line="240" w:lineRule="auto"/>
                    <w:ind w:firstLine="0" w:firstLineChars="0"/>
                  </w:pPr>
                  <w:r>
                    <w:t>水环境影响评价</w:t>
                  </w:r>
                </w:p>
              </w:tc>
              <w:tc>
                <w:tcPr>
                  <w:tcW w:w="7080" w:type="dxa"/>
                  <w:gridSpan w:val="12"/>
                  <w:tcBorders>
                    <w:tl2br w:val="nil"/>
                    <w:tr2bl w:val="nil"/>
                  </w:tcBorders>
                  <w:vAlign w:val="center"/>
                </w:tcPr>
                <w:p w14:paraId="5A9F922B">
                  <w:pPr>
                    <w:pStyle w:val="112"/>
                    <w:spacing w:line="240" w:lineRule="auto"/>
                    <w:ind w:firstLine="0" w:firstLineChars="0"/>
                    <w:jc w:val="both"/>
                  </w:pPr>
                  <w:r>
                    <w:t>排放口混合区外满足水环境管理要求</w:t>
                  </w:r>
                  <w:r>
                    <w:rPr/>
                    <w:sym w:font="Wingdings" w:char="00A8"/>
                  </w:r>
                </w:p>
                <w:p w14:paraId="4D497CD2">
                  <w:pPr>
                    <w:pStyle w:val="112"/>
                    <w:spacing w:line="240" w:lineRule="auto"/>
                    <w:ind w:firstLine="0" w:firstLineChars="0"/>
                    <w:jc w:val="both"/>
                  </w:pPr>
                  <w:r>
                    <w:t>水环境功能区或水功能区、近岸海域环境功能区水质达标</w:t>
                  </w:r>
                  <w:r>
                    <w:rPr/>
                    <w:sym w:font="Wingdings" w:char="00A8"/>
                  </w:r>
                </w:p>
                <w:p w14:paraId="63E0A1CF">
                  <w:pPr>
                    <w:pStyle w:val="112"/>
                    <w:spacing w:line="240" w:lineRule="auto"/>
                    <w:ind w:firstLine="0" w:firstLineChars="0"/>
                    <w:jc w:val="both"/>
                  </w:pPr>
                  <w:r>
                    <w:t>满足水环境保护目标水域水环境质量要求</w:t>
                  </w:r>
                  <w:r>
                    <w:rPr/>
                    <w:sym w:font="Wingdings" w:char="00A8"/>
                  </w:r>
                </w:p>
                <w:p w14:paraId="5D0E49F1">
                  <w:pPr>
                    <w:pStyle w:val="112"/>
                    <w:spacing w:line="240" w:lineRule="auto"/>
                    <w:ind w:firstLine="0" w:firstLineChars="0"/>
                    <w:jc w:val="both"/>
                  </w:pPr>
                  <w:r>
                    <w:t>水环境控制单元或断面水质达标</w:t>
                  </w:r>
                  <w:r>
                    <w:rPr/>
                    <w:sym w:font="Wingdings" w:char="00A8"/>
                  </w:r>
                </w:p>
                <w:p w14:paraId="079FB019">
                  <w:pPr>
                    <w:pStyle w:val="112"/>
                    <w:spacing w:line="240" w:lineRule="auto"/>
                    <w:ind w:firstLine="0" w:firstLineChars="0"/>
                    <w:jc w:val="both"/>
                  </w:pPr>
                  <w:r>
                    <w:t>满足重点水污染物排放总量控制指标要求，重点行业建设项目，主要污染物排放满足等量或减量替代要求</w:t>
                  </w:r>
                  <w:r>
                    <w:rPr/>
                    <w:sym w:font="Wingdings" w:char="00A8"/>
                  </w:r>
                </w:p>
                <w:p w14:paraId="6B9D0AD1">
                  <w:pPr>
                    <w:pStyle w:val="112"/>
                    <w:spacing w:line="240" w:lineRule="auto"/>
                    <w:ind w:firstLine="0" w:firstLineChars="0"/>
                    <w:jc w:val="both"/>
                  </w:pPr>
                  <w:r>
                    <w:t>满足区（流）域水环境质量改善目标要求</w:t>
                  </w:r>
                  <w:r>
                    <w:rPr/>
                    <w:sym w:font="Wingdings" w:char="00A8"/>
                  </w:r>
                </w:p>
                <w:p w14:paraId="0D35DD47">
                  <w:pPr>
                    <w:pStyle w:val="112"/>
                    <w:spacing w:line="240" w:lineRule="auto"/>
                    <w:ind w:firstLine="0" w:firstLineChars="0"/>
                    <w:jc w:val="both"/>
                  </w:pPr>
                  <w:r>
                    <w:t>水文要素影响型建设项目同时应包括水文情势变化评价、主要水文特征值影响评价、生态流量符合性评价</w:t>
                  </w:r>
                  <w:r>
                    <w:rPr/>
                    <w:sym w:font="Wingdings" w:char="00A8"/>
                  </w:r>
                </w:p>
                <w:p w14:paraId="4A458057">
                  <w:pPr>
                    <w:pStyle w:val="112"/>
                    <w:spacing w:line="240" w:lineRule="auto"/>
                    <w:ind w:firstLine="0" w:firstLineChars="0"/>
                    <w:jc w:val="both"/>
                  </w:pPr>
                  <w:r>
                    <w:t>对于新设或调整入河（湖库、近岸海域）排放口的建设项目，应包括排放口设置的环境合理性评价</w:t>
                  </w:r>
                  <w:r>
                    <w:rPr/>
                    <w:sym w:font="Wingdings" w:char="00A8"/>
                  </w:r>
                </w:p>
                <w:p w14:paraId="4CA3D871">
                  <w:pPr>
                    <w:pStyle w:val="112"/>
                    <w:spacing w:line="240" w:lineRule="auto"/>
                    <w:ind w:firstLine="0" w:firstLineChars="0"/>
                    <w:jc w:val="both"/>
                  </w:pPr>
                  <w:r>
                    <w:t>满足生态保护红线、水环境质量底线、资源利用上线和环境准入清单管理要求</w:t>
                  </w:r>
                  <w:r>
                    <w:rPr/>
                    <w:sym w:font="Wingdings" w:char="00A8"/>
                  </w:r>
                </w:p>
              </w:tc>
            </w:tr>
            <w:tr w14:paraId="0C77A4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vAlign w:val="center"/>
                </w:tcPr>
                <w:p w14:paraId="31BDFD95">
                  <w:pPr>
                    <w:pStyle w:val="112"/>
                    <w:tabs>
                      <w:tab w:val="clear" w:pos="630"/>
                    </w:tabs>
                    <w:spacing w:line="240" w:lineRule="auto"/>
                    <w:ind w:left="630" w:firstLine="0" w:firstLineChars="0"/>
                  </w:pPr>
                </w:p>
              </w:tc>
              <w:tc>
                <w:tcPr>
                  <w:tcW w:w="1687" w:type="dxa"/>
                  <w:vMerge w:val="restart"/>
                  <w:tcBorders>
                    <w:tl2br w:val="nil"/>
                    <w:tr2bl w:val="nil"/>
                  </w:tcBorders>
                  <w:vAlign w:val="center"/>
                </w:tcPr>
                <w:p w14:paraId="4FDA14F9">
                  <w:pPr>
                    <w:pStyle w:val="112"/>
                    <w:spacing w:line="240" w:lineRule="auto"/>
                    <w:ind w:firstLine="0" w:firstLineChars="0"/>
                  </w:pPr>
                  <w:r>
                    <w:t>污染物</w:t>
                  </w:r>
                </w:p>
                <w:p w14:paraId="121172CB">
                  <w:pPr>
                    <w:pStyle w:val="112"/>
                    <w:spacing w:line="240" w:lineRule="auto"/>
                    <w:ind w:firstLine="0" w:firstLineChars="0"/>
                  </w:pPr>
                  <w:r>
                    <w:t>排放量核算</w:t>
                  </w:r>
                </w:p>
              </w:tc>
              <w:tc>
                <w:tcPr>
                  <w:tcW w:w="2257" w:type="dxa"/>
                  <w:gridSpan w:val="3"/>
                  <w:tcBorders>
                    <w:tl2br w:val="nil"/>
                    <w:tr2bl w:val="nil"/>
                  </w:tcBorders>
                  <w:vAlign w:val="center"/>
                </w:tcPr>
                <w:p w14:paraId="01A82338">
                  <w:pPr>
                    <w:pStyle w:val="112"/>
                    <w:spacing w:line="240" w:lineRule="auto"/>
                    <w:ind w:firstLine="0" w:firstLineChars="0"/>
                  </w:pPr>
                  <w:r>
                    <w:t>污染物名称</w:t>
                  </w:r>
                </w:p>
              </w:tc>
              <w:tc>
                <w:tcPr>
                  <w:tcW w:w="1887" w:type="dxa"/>
                  <w:gridSpan w:val="5"/>
                  <w:tcBorders>
                    <w:tl2br w:val="nil"/>
                    <w:tr2bl w:val="nil"/>
                  </w:tcBorders>
                  <w:vAlign w:val="center"/>
                </w:tcPr>
                <w:p w14:paraId="4CD98DE8">
                  <w:pPr>
                    <w:pStyle w:val="112"/>
                    <w:spacing w:line="240" w:lineRule="auto"/>
                    <w:ind w:firstLine="0" w:firstLineChars="0"/>
                  </w:pPr>
                  <w:r>
                    <w:t>排放量/（t/a）</w:t>
                  </w:r>
                </w:p>
              </w:tc>
              <w:tc>
                <w:tcPr>
                  <w:tcW w:w="2936" w:type="dxa"/>
                  <w:gridSpan w:val="4"/>
                  <w:tcBorders>
                    <w:tl2br w:val="nil"/>
                    <w:tr2bl w:val="nil"/>
                  </w:tcBorders>
                  <w:vAlign w:val="center"/>
                </w:tcPr>
                <w:p w14:paraId="32AA1301">
                  <w:pPr>
                    <w:pStyle w:val="112"/>
                    <w:spacing w:line="240" w:lineRule="auto"/>
                    <w:ind w:firstLine="0" w:firstLineChars="0"/>
                  </w:pPr>
                  <w:r>
                    <w:t>排放浓度/（mg/L）</w:t>
                  </w:r>
                </w:p>
              </w:tc>
            </w:tr>
            <w:tr w14:paraId="10C1074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vAlign w:val="center"/>
                </w:tcPr>
                <w:p w14:paraId="157EBC09">
                  <w:pPr>
                    <w:pStyle w:val="112"/>
                    <w:tabs>
                      <w:tab w:val="clear" w:pos="630"/>
                    </w:tabs>
                    <w:spacing w:line="240" w:lineRule="auto"/>
                    <w:ind w:left="630" w:firstLine="0" w:firstLineChars="0"/>
                    <w:jc w:val="both"/>
                  </w:pPr>
                </w:p>
              </w:tc>
              <w:tc>
                <w:tcPr>
                  <w:tcW w:w="1687" w:type="dxa"/>
                  <w:vMerge w:val="continue"/>
                  <w:tcBorders>
                    <w:tl2br w:val="nil"/>
                    <w:tr2bl w:val="nil"/>
                  </w:tcBorders>
                  <w:vAlign w:val="center"/>
                </w:tcPr>
                <w:p w14:paraId="7EA94E37">
                  <w:pPr>
                    <w:pStyle w:val="112"/>
                    <w:tabs>
                      <w:tab w:val="clear" w:pos="630"/>
                    </w:tabs>
                    <w:spacing w:line="240" w:lineRule="auto"/>
                    <w:ind w:left="630" w:firstLine="0" w:firstLineChars="0"/>
                    <w:jc w:val="both"/>
                  </w:pPr>
                </w:p>
              </w:tc>
              <w:tc>
                <w:tcPr>
                  <w:tcW w:w="2257" w:type="dxa"/>
                  <w:gridSpan w:val="3"/>
                  <w:tcBorders>
                    <w:tl2br w:val="nil"/>
                    <w:tr2bl w:val="nil"/>
                  </w:tcBorders>
                  <w:vAlign w:val="center"/>
                </w:tcPr>
                <w:p w14:paraId="6664E836">
                  <w:pPr>
                    <w:pStyle w:val="112"/>
                    <w:spacing w:line="240" w:lineRule="auto"/>
                    <w:ind w:firstLine="0" w:firstLineChars="0"/>
                  </w:pPr>
                  <w:r>
                    <w:t>COD</w:t>
                  </w:r>
                  <w:r>
                    <w:rPr>
                      <w:vertAlign w:val="subscript"/>
                    </w:rPr>
                    <w:t>Cr</w:t>
                  </w:r>
                </w:p>
              </w:tc>
              <w:tc>
                <w:tcPr>
                  <w:tcW w:w="1887" w:type="dxa"/>
                  <w:gridSpan w:val="5"/>
                  <w:tcBorders>
                    <w:tl2br w:val="nil"/>
                    <w:tr2bl w:val="nil"/>
                  </w:tcBorders>
                  <w:vAlign w:val="center"/>
                </w:tcPr>
                <w:p w14:paraId="6B692E39">
                  <w:pPr>
                    <w:pStyle w:val="112"/>
                    <w:spacing w:line="240" w:lineRule="auto"/>
                    <w:ind w:firstLine="0" w:firstLineChars="0"/>
                  </w:pPr>
                  <w:r>
                    <w:rPr>
                      <w:rFonts w:hint="eastAsia"/>
                    </w:rPr>
                    <w:t>0.336</w:t>
                  </w:r>
                </w:p>
              </w:tc>
              <w:tc>
                <w:tcPr>
                  <w:tcW w:w="2936" w:type="dxa"/>
                  <w:gridSpan w:val="4"/>
                  <w:tcBorders>
                    <w:tl2br w:val="nil"/>
                    <w:tr2bl w:val="nil"/>
                  </w:tcBorders>
                  <w:vAlign w:val="center"/>
                </w:tcPr>
                <w:p w14:paraId="42E066AD">
                  <w:pPr>
                    <w:pStyle w:val="112"/>
                    <w:spacing w:line="240" w:lineRule="auto"/>
                    <w:ind w:firstLine="0" w:firstLineChars="0"/>
                  </w:pPr>
                  <w:r>
                    <w:rPr>
                      <w:rFonts w:hint="eastAsia"/>
                    </w:rPr>
                    <w:t>350</w:t>
                  </w:r>
                </w:p>
              </w:tc>
            </w:tr>
            <w:tr w14:paraId="321644A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vAlign w:val="center"/>
                </w:tcPr>
                <w:p w14:paraId="245D9B16">
                  <w:pPr>
                    <w:pStyle w:val="112"/>
                    <w:tabs>
                      <w:tab w:val="clear" w:pos="630"/>
                    </w:tabs>
                    <w:spacing w:line="240" w:lineRule="auto"/>
                    <w:ind w:left="630" w:firstLine="0" w:firstLineChars="0"/>
                    <w:jc w:val="both"/>
                  </w:pPr>
                </w:p>
              </w:tc>
              <w:tc>
                <w:tcPr>
                  <w:tcW w:w="1687" w:type="dxa"/>
                  <w:vMerge w:val="continue"/>
                  <w:tcBorders>
                    <w:tl2br w:val="nil"/>
                    <w:tr2bl w:val="nil"/>
                  </w:tcBorders>
                  <w:vAlign w:val="center"/>
                </w:tcPr>
                <w:p w14:paraId="2EF33C6B">
                  <w:pPr>
                    <w:pStyle w:val="112"/>
                    <w:tabs>
                      <w:tab w:val="clear" w:pos="630"/>
                    </w:tabs>
                    <w:spacing w:line="240" w:lineRule="auto"/>
                    <w:ind w:left="630" w:firstLine="0" w:firstLineChars="0"/>
                    <w:jc w:val="both"/>
                  </w:pPr>
                </w:p>
              </w:tc>
              <w:tc>
                <w:tcPr>
                  <w:tcW w:w="2257" w:type="dxa"/>
                  <w:gridSpan w:val="3"/>
                  <w:tcBorders>
                    <w:tl2br w:val="nil"/>
                    <w:tr2bl w:val="nil"/>
                  </w:tcBorders>
                  <w:vAlign w:val="center"/>
                </w:tcPr>
                <w:p w14:paraId="7F90BAB2">
                  <w:pPr>
                    <w:pStyle w:val="112"/>
                    <w:spacing w:line="240" w:lineRule="auto"/>
                    <w:ind w:firstLine="0" w:firstLineChars="0"/>
                  </w:pPr>
                  <w:r>
                    <w:t>NH</w:t>
                  </w:r>
                  <w:r>
                    <w:rPr>
                      <w:vertAlign w:val="subscript"/>
                    </w:rPr>
                    <w:t>3</w:t>
                  </w:r>
                  <w:r>
                    <w:t>-N</w:t>
                  </w:r>
                </w:p>
              </w:tc>
              <w:tc>
                <w:tcPr>
                  <w:tcW w:w="1887" w:type="dxa"/>
                  <w:gridSpan w:val="5"/>
                  <w:tcBorders>
                    <w:tl2br w:val="nil"/>
                    <w:tr2bl w:val="nil"/>
                  </w:tcBorders>
                  <w:vAlign w:val="center"/>
                </w:tcPr>
                <w:p w14:paraId="20BA9696">
                  <w:pPr>
                    <w:pStyle w:val="112"/>
                    <w:spacing w:line="240" w:lineRule="auto"/>
                    <w:ind w:firstLine="0" w:firstLineChars="0"/>
                  </w:pPr>
                  <w:r>
                    <w:rPr>
                      <w:rFonts w:hint="eastAsia"/>
                    </w:rPr>
                    <w:t>0.024</w:t>
                  </w:r>
                </w:p>
              </w:tc>
              <w:tc>
                <w:tcPr>
                  <w:tcW w:w="2936" w:type="dxa"/>
                  <w:gridSpan w:val="4"/>
                  <w:tcBorders>
                    <w:tl2br w:val="nil"/>
                    <w:tr2bl w:val="nil"/>
                  </w:tcBorders>
                  <w:vAlign w:val="center"/>
                </w:tcPr>
                <w:p w14:paraId="6A47B9BC">
                  <w:pPr>
                    <w:pStyle w:val="112"/>
                    <w:spacing w:line="240" w:lineRule="auto"/>
                    <w:ind w:firstLine="0" w:firstLineChars="0"/>
                  </w:pPr>
                  <w:r>
                    <w:rPr>
                      <w:rFonts w:hint="eastAsia"/>
                    </w:rPr>
                    <w:t>25</w:t>
                  </w:r>
                </w:p>
              </w:tc>
            </w:tr>
            <w:tr w14:paraId="661654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vAlign w:val="center"/>
                </w:tcPr>
                <w:p w14:paraId="7D7F8614">
                  <w:pPr>
                    <w:pStyle w:val="112"/>
                    <w:tabs>
                      <w:tab w:val="clear" w:pos="630"/>
                    </w:tabs>
                    <w:spacing w:line="240" w:lineRule="auto"/>
                    <w:ind w:left="630" w:firstLine="0" w:firstLineChars="0"/>
                  </w:pPr>
                </w:p>
              </w:tc>
              <w:tc>
                <w:tcPr>
                  <w:tcW w:w="1687" w:type="dxa"/>
                  <w:vMerge w:val="restart"/>
                  <w:tcBorders>
                    <w:tl2br w:val="nil"/>
                    <w:tr2bl w:val="nil"/>
                  </w:tcBorders>
                  <w:vAlign w:val="center"/>
                </w:tcPr>
                <w:p w14:paraId="01CF6315">
                  <w:pPr>
                    <w:pStyle w:val="112"/>
                    <w:spacing w:line="240" w:lineRule="auto"/>
                    <w:ind w:firstLine="0" w:firstLineChars="0"/>
                  </w:pPr>
                  <w:r>
                    <w:t>替代源排放情况</w:t>
                  </w:r>
                </w:p>
              </w:tc>
              <w:tc>
                <w:tcPr>
                  <w:tcW w:w="1107" w:type="dxa"/>
                  <w:tcBorders>
                    <w:tl2br w:val="nil"/>
                    <w:tr2bl w:val="nil"/>
                  </w:tcBorders>
                  <w:vAlign w:val="center"/>
                </w:tcPr>
                <w:p w14:paraId="6F7A90DF">
                  <w:pPr>
                    <w:pStyle w:val="112"/>
                    <w:spacing w:line="240" w:lineRule="auto"/>
                    <w:ind w:firstLine="0" w:firstLineChars="0"/>
                  </w:pPr>
                  <w:r>
                    <w:t>染源名称</w:t>
                  </w:r>
                </w:p>
              </w:tc>
              <w:tc>
                <w:tcPr>
                  <w:tcW w:w="1671" w:type="dxa"/>
                  <w:gridSpan w:val="4"/>
                  <w:tcBorders>
                    <w:tl2br w:val="nil"/>
                    <w:tr2bl w:val="nil"/>
                  </w:tcBorders>
                  <w:vAlign w:val="center"/>
                </w:tcPr>
                <w:p w14:paraId="45BB0436">
                  <w:pPr>
                    <w:pStyle w:val="112"/>
                    <w:spacing w:line="240" w:lineRule="auto"/>
                    <w:ind w:firstLine="0" w:firstLineChars="0"/>
                  </w:pPr>
                  <w:r>
                    <w:t>排污许可证编号</w:t>
                  </w:r>
                </w:p>
              </w:tc>
              <w:tc>
                <w:tcPr>
                  <w:tcW w:w="1222" w:type="dxa"/>
                  <w:tcBorders>
                    <w:tl2br w:val="nil"/>
                    <w:tr2bl w:val="nil"/>
                  </w:tcBorders>
                  <w:vAlign w:val="center"/>
                </w:tcPr>
                <w:p w14:paraId="308DF178">
                  <w:pPr>
                    <w:pStyle w:val="112"/>
                    <w:spacing w:line="240" w:lineRule="auto"/>
                    <w:ind w:firstLine="0" w:firstLineChars="0"/>
                  </w:pPr>
                  <w:r>
                    <w:t>污染物名称</w:t>
                  </w:r>
                </w:p>
              </w:tc>
              <w:tc>
                <w:tcPr>
                  <w:tcW w:w="1325" w:type="dxa"/>
                  <w:gridSpan w:val="3"/>
                  <w:tcBorders>
                    <w:tl2br w:val="nil"/>
                    <w:tr2bl w:val="nil"/>
                  </w:tcBorders>
                  <w:vAlign w:val="center"/>
                </w:tcPr>
                <w:p w14:paraId="67F150AD">
                  <w:pPr>
                    <w:pStyle w:val="112"/>
                    <w:spacing w:line="240" w:lineRule="auto"/>
                    <w:ind w:firstLine="0" w:firstLineChars="0"/>
                  </w:pPr>
                  <w:r>
                    <w:t>排放量/（t/a）</w:t>
                  </w:r>
                </w:p>
              </w:tc>
              <w:tc>
                <w:tcPr>
                  <w:tcW w:w="1755" w:type="dxa"/>
                  <w:gridSpan w:val="3"/>
                  <w:tcBorders>
                    <w:tl2br w:val="nil"/>
                    <w:tr2bl w:val="nil"/>
                  </w:tcBorders>
                  <w:vAlign w:val="center"/>
                </w:tcPr>
                <w:p w14:paraId="44C2F72F">
                  <w:pPr>
                    <w:pStyle w:val="112"/>
                    <w:spacing w:line="240" w:lineRule="auto"/>
                    <w:ind w:firstLine="0" w:firstLineChars="0"/>
                  </w:pPr>
                  <w:r>
                    <w:t>排放浓度/（mg/L）</w:t>
                  </w:r>
                </w:p>
              </w:tc>
            </w:tr>
            <w:tr w14:paraId="781D79E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vAlign w:val="center"/>
                </w:tcPr>
                <w:p w14:paraId="30C06E42">
                  <w:pPr>
                    <w:pStyle w:val="112"/>
                    <w:tabs>
                      <w:tab w:val="clear" w:pos="630"/>
                    </w:tabs>
                    <w:spacing w:line="240" w:lineRule="auto"/>
                    <w:ind w:left="630" w:firstLine="0" w:firstLineChars="0"/>
                    <w:jc w:val="both"/>
                  </w:pPr>
                </w:p>
              </w:tc>
              <w:tc>
                <w:tcPr>
                  <w:tcW w:w="1687" w:type="dxa"/>
                  <w:vMerge w:val="continue"/>
                  <w:tcBorders>
                    <w:tl2br w:val="nil"/>
                    <w:tr2bl w:val="nil"/>
                  </w:tcBorders>
                  <w:vAlign w:val="center"/>
                </w:tcPr>
                <w:p w14:paraId="08906992">
                  <w:pPr>
                    <w:pStyle w:val="112"/>
                    <w:tabs>
                      <w:tab w:val="clear" w:pos="630"/>
                    </w:tabs>
                    <w:spacing w:line="240" w:lineRule="auto"/>
                    <w:ind w:left="630" w:firstLine="0" w:firstLineChars="0"/>
                    <w:jc w:val="both"/>
                  </w:pPr>
                </w:p>
              </w:tc>
              <w:tc>
                <w:tcPr>
                  <w:tcW w:w="1107" w:type="dxa"/>
                  <w:tcBorders>
                    <w:tl2br w:val="nil"/>
                    <w:tr2bl w:val="nil"/>
                  </w:tcBorders>
                  <w:vAlign w:val="center"/>
                </w:tcPr>
                <w:p w14:paraId="47082CFA">
                  <w:pPr>
                    <w:pStyle w:val="112"/>
                    <w:spacing w:line="240" w:lineRule="auto"/>
                    <w:ind w:firstLine="0" w:firstLineChars="0"/>
                  </w:pPr>
                  <w:r>
                    <w:t>/</w:t>
                  </w:r>
                </w:p>
              </w:tc>
              <w:tc>
                <w:tcPr>
                  <w:tcW w:w="1671" w:type="dxa"/>
                  <w:gridSpan w:val="4"/>
                  <w:tcBorders>
                    <w:tl2br w:val="nil"/>
                    <w:tr2bl w:val="nil"/>
                  </w:tcBorders>
                  <w:vAlign w:val="center"/>
                </w:tcPr>
                <w:p w14:paraId="77CE4764">
                  <w:pPr>
                    <w:pStyle w:val="112"/>
                    <w:spacing w:line="240" w:lineRule="auto"/>
                    <w:ind w:firstLine="0" w:firstLineChars="0"/>
                  </w:pPr>
                  <w:r>
                    <w:t>/</w:t>
                  </w:r>
                </w:p>
              </w:tc>
              <w:tc>
                <w:tcPr>
                  <w:tcW w:w="1222" w:type="dxa"/>
                  <w:tcBorders>
                    <w:tl2br w:val="nil"/>
                    <w:tr2bl w:val="nil"/>
                  </w:tcBorders>
                  <w:vAlign w:val="center"/>
                </w:tcPr>
                <w:p w14:paraId="767798FF">
                  <w:pPr>
                    <w:pStyle w:val="112"/>
                    <w:spacing w:line="240" w:lineRule="auto"/>
                    <w:ind w:firstLine="0" w:firstLineChars="0"/>
                  </w:pPr>
                  <w:r>
                    <w:t>/</w:t>
                  </w:r>
                </w:p>
              </w:tc>
              <w:tc>
                <w:tcPr>
                  <w:tcW w:w="1325" w:type="dxa"/>
                  <w:gridSpan w:val="3"/>
                  <w:tcBorders>
                    <w:tl2br w:val="nil"/>
                    <w:tr2bl w:val="nil"/>
                  </w:tcBorders>
                  <w:vAlign w:val="center"/>
                </w:tcPr>
                <w:p w14:paraId="474ED118">
                  <w:pPr>
                    <w:pStyle w:val="112"/>
                    <w:spacing w:line="240" w:lineRule="auto"/>
                    <w:ind w:firstLine="0" w:firstLineChars="0"/>
                  </w:pPr>
                  <w:r>
                    <w:t>/</w:t>
                  </w:r>
                </w:p>
              </w:tc>
              <w:tc>
                <w:tcPr>
                  <w:tcW w:w="1755" w:type="dxa"/>
                  <w:gridSpan w:val="3"/>
                  <w:tcBorders>
                    <w:tl2br w:val="nil"/>
                    <w:tr2bl w:val="nil"/>
                  </w:tcBorders>
                  <w:vAlign w:val="center"/>
                </w:tcPr>
                <w:p w14:paraId="5438E40B">
                  <w:pPr>
                    <w:pStyle w:val="112"/>
                    <w:spacing w:line="240" w:lineRule="auto"/>
                    <w:ind w:firstLine="0" w:firstLineChars="0"/>
                  </w:pPr>
                  <w:r>
                    <w:t>/</w:t>
                  </w:r>
                </w:p>
              </w:tc>
            </w:tr>
            <w:tr w14:paraId="4F3BDF9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vAlign w:val="center"/>
                </w:tcPr>
                <w:p w14:paraId="69F16A9D">
                  <w:pPr>
                    <w:pStyle w:val="112"/>
                    <w:tabs>
                      <w:tab w:val="clear" w:pos="630"/>
                    </w:tabs>
                    <w:spacing w:line="240" w:lineRule="auto"/>
                    <w:ind w:left="630" w:firstLine="0" w:firstLineChars="0"/>
                  </w:pPr>
                </w:p>
              </w:tc>
              <w:tc>
                <w:tcPr>
                  <w:tcW w:w="1687" w:type="dxa"/>
                  <w:tcBorders>
                    <w:tl2br w:val="nil"/>
                    <w:tr2bl w:val="nil"/>
                  </w:tcBorders>
                  <w:vAlign w:val="center"/>
                </w:tcPr>
                <w:p w14:paraId="1456E2E3">
                  <w:pPr>
                    <w:pStyle w:val="112"/>
                    <w:spacing w:line="240" w:lineRule="auto"/>
                    <w:ind w:firstLine="0" w:firstLineChars="0"/>
                  </w:pPr>
                  <w:r>
                    <w:t>生态流量确定</w:t>
                  </w:r>
                </w:p>
              </w:tc>
              <w:tc>
                <w:tcPr>
                  <w:tcW w:w="7080" w:type="dxa"/>
                  <w:gridSpan w:val="12"/>
                  <w:tcBorders>
                    <w:tl2br w:val="nil"/>
                    <w:tr2bl w:val="nil"/>
                  </w:tcBorders>
                  <w:vAlign w:val="center"/>
                </w:tcPr>
                <w:p w14:paraId="70B92094">
                  <w:pPr>
                    <w:pStyle w:val="112"/>
                    <w:spacing w:line="240" w:lineRule="auto"/>
                    <w:ind w:firstLine="0" w:firstLineChars="0"/>
                    <w:jc w:val="both"/>
                  </w:pPr>
                  <w:r>
                    <w:t>生态流量：一般水期（）m³/s；鱼类繁殖期（）m³/s；其他（）m³/s</w:t>
                  </w:r>
                </w:p>
                <w:p w14:paraId="794CEF1D">
                  <w:pPr>
                    <w:pStyle w:val="112"/>
                    <w:spacing w:line="240" w:lineRule="auto"/>
                    <w:ind w:firstLine="0" w:firstLineChars="0"/>
                    <w:jc w:val="both"/>
                  </w:pPr>
                  <w:r>
                    <w:t>生态水位：一般水期（）m；鱼类繁殖期（）m；其他（）m</w:t>
                  </w:r>
                </w:p>
              </w:tc>
            </w:tr>
            <w:tr w14:paraId="433BAD0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restart"/>
                  <w:tcBorders>
                    <w:tl2br w:val="nil"/>
                    <w:tr2bl w:val="nil"/>
                  </w:tcBorders>
                  <w:vAlign w:val="center"/>
                </w:tcPr>
                <w:p w14:paraId="5FADF523">
                  <w:pPr>
                    <w:pStyle w:val="112"/>
                    <w:spacing w:line="240" w:lineRule="auto"/>
                    <w:ind w:firstLine="0" w:firstLineChars="0"/>
                  </w:pPr>
                  <w:r>
                    <w:t>防治措施</w:t>
                  </w:r>
                </w:p>
              </w:tc>
              <w:tc>
                <w:tcPr>
                  <w:tcW w:w="1687" w:type="dxa"/>
                  <w:tcBorders>
                    <w:tl2br w:val="nil"/>
                    <w:tr2bl w:val="nil"/>
                  </w:tcBorders>
                  <w:vAlign w:val="center"/>
                </w:tcPr>
                <w:p w14:paraId="1173279C">
                  <w:pPr>
                    <w:pStyle w:val="112"/>
                    <w:spacing w:line="240" w:lineRule="auto"/>
                    <w:ind w:firstLine="0" w:firstLineChars="0"/>
                  </w:pPr>
                  <w:r>
                    <w:t>环保措施</w:t>
                  </w:r>
                </w:p>
              </w:tc>
              <w:tc>
                <w:tcPr>
                  <w:tcW w:w="7080" w:type="dxa"/>
                  <w:gridSpan w:val="12"/>
                  <w:tcBorders>
                    <w:tl2br w:val="nil"/>
                    <w:tr2bl w:val="nil"/>
                  </w:tcBorders>
                  <w:vAlign w:val="center"/>
                </w:tcPr>
                <w:p w14:paraId="4EF8FC49">
                  <w:pPr>
                    <w:pStyle w:val="112"/>
                    <w:spacing w:line="240" w:lineRule="auto"/>
                    <w:ind w:firstLine="0" w:firstLineChars="0"/>
                    <w:jc w:val="both"/>
                  </w:pPr>
                  <w:r>
                    <w:t>污水处理设施</w:t>
                  </w:r>
                  <w:r>
                    <w:rPr/>
                    <w:sym w:font="Wingdings" w:char="00A8"/>
                  </w:r>
                  <w:r>
                    <w:t>；水文减缓设施</w:t>
                  </w:r>
                  <w:r>
                    <w:rPr/>
                    <w:sym w:font="Wingdings" w:char="00A8"/>
                  </w:r>
                  <w:r>
                    <w:t>；生态流量保障设施</w:t>
                  </w:r>
                  <w:r>
                    <w:rPr/>
                    <w:sym w:font="Wingdings" w:char="00A8"/>
                  </w:r>
                  <w:r>
                    <w:t>；区域削减</w:t>
                  </w:r>
                  <w:r>
                    <w:rPr/>
                    <w:sym w:font="Wingdings" w:char="00A8"/>
                  </w:r>
                  <w:r>
                    <w:t>；依托其他工程措施</w:t>
                  </w:r>
                  <w:r>
                    <w:rPr/>
                    <w:sym w:font="Wingdings" w:char="00A8"/>
                  </w:r>
                  <w:r>
                    <w:t>；其他</w:t>
                  </w:r>
                  <w:r>
                    <w:rPr/>
                    <w:sym w:font="Wingdings" w:char="00A8"/>
                  </w:r>
                </w:p>
              </w:tc>
            </w:tr>
            <w:tr w14:paraId="6B26660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66E60A42">
                  <w:pPr>
                    <w:pStyle w:val="112"/>
                    <w:tabs>
                      <w:tab w:val="clear" w:pos="630"/>
                    </w:tabs>
                    <w:spacing w:line="240" w:lineRule="auto"/>
                    <w:ind w:left="630" w:firstLine="0" w:firstLineChars="0"/>
                  </w:pPr>
                </w:p>
              </w:tc>
              <w:tc>
                <w:tcPr>
                  <w:tcW w:w="1687" w:type="dxa"/>
                  <w:vMerge w:val="restart"/>
                  <w:tcBorders>
                    <w:tl2br w:val="nil"/>
                    <w:tr2bl w:val="nil"/>
                  </w:tcBorders>
                  <w:vAlign w:val="center"/>
                </w:tcPr>
                <w:p w14:paraId="4FF60D3F">
                  <w:pPr>
                    <w:pStyle w:val="112"/>
                    <w:spacing w:line="240" w:lineRule="auto"/>
                    <w:ind w:firstLine="0" w:firstLineChars="0"/>
                  </w:pPr>
                  <w:r>
                    <w:t>监测计划</w:t>
                  </w:r>
                </w:p>
              </w:tc>
              <w:tc>
                <w:tcPr>
                  <w:tcW w:w="1245" w:type="dxa"/>
                  <w:gridSpan w:val="2"/>
                  <w:tcBorders>
                    <w:tl2br w:val="nil"/>
                    <w:tr2bl w:val="nil"/>
                  </w:tcBorders>
                  <w:vAlign w:val="center"/>
                </w:tcPr>
                <w:p w14:paraId="62956545">
                  <w:pPr>
                    <w:pStyle w:val="112"/>
                    <w:spacing w:line="240" w:lineRule="auto"/>
                    <w:ind w:firstLine="0" w:firstLineChars="0"/>
                  </w:pPr>
                </w:p>
              </w:tc>
              <w:tc>
                <w:tcPr>
                  <w:tcW w:w="2899" w:type="dxa"/>
                  <w:gridSpan w:val="6"/>
                  <w:tcBorders>
                    <w:tl2br w:val="nil"/>
                    <w:tr2bl w:val="nil"/>
                  </w:tcBorders>
                  <w:vAlign w:val="center"/>
                </w:tcPr>
                <w:p w14:paraId="4C1296F1">
                  <w:pPr>
                    <w:pStyle w:val="112"/>
                    <w:spacing w:line="240" w:lineRule="auto"/>
                    <w:ind w:firstLine="0" w:firstLineChars="0"/>
                  </w:pPr>
                  <w:r>
                    <w:t>环境质量</w:t>
                  </w:r>
                </w:p>
              </w:tc>
              <w:tc>
                <w:tcPr>
                  <w:tcW w:w="2936" w:type="dxa"/>
                  <w:gridSpan w:val="4"/>
                  <w:tcBorders>
                    <w:tl2br w:val="nil"/>
                    <w:tr2bl w:val="nil"/>
                  </w:tcBorders>
                  <w:vAlign w:val="center"/>
                </w:tcPr>
                <w:p w14:paraId="7AC9B82F">
                  <w:pPr>
                    <w:pStyle w:val="112"/>
                    <w:spacing w:line="240" w:lineRule="auto"/>
                    <w:ind w:firstLine="0" w:firstLineChars="0"/>
                  </w:pPr>
                  <w:r>
                    <w:t>污染源</w:t>
                  </w:r>
                </w:p>
              </w:tc>
            </w:tr>
            <w:tr w14:paraId="0742751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7112E08F">
                  <w:pPr>
                    <w:pStyle w:val="112"/>
                    <w:tabs>
                      <w:tab w:val="clear" w:pos="630"/>
                    </w:tabs>
                    <w:spacing w:line="240" w:lineRule="auto"/>
                    <w:ind w:left="630" w:firstLine="0" w:firstLineChars="0"/>
                    <w:jc w:val="both"/>
                  </w:pPr>
                </w:p>
              </w:tc>
              <w:tc>
                <w:tcPr>
                  <w:tcW w:w="1687" w:type="dxa"/>
                  <w:vMerge w:val="continue"/>
                  <w:tcBorders>
                    <w:tl2br w:val="nil"/>
                    <w:tr2bl w:val="nil"/>
                  </w:tcBorders>
                  <w:vAlign w:val="center"/>
                </w:tcPr>
                <w:p w14:paraId="75FC6FBD">
                  <w:pPr>
                    <w:pStyle w:val="112"/>
                    <w:tabs>
                      <w:tab w:val="clear" w:pos="630"/>
                    </w:tabs>
                    <w:spacing w:line="240" w:lineRule="auto"/>
                    <w:ind w:left="630" w:firstLine="0" w:firstLineChars="0"/>
                    <w:jc w:val="both"/>
                  </w:pPr>
                </w:p>
              </w:tc>
              <w:tc>
                <w:tcPr>
                  <w:tcW w:w="1245" w:type="dxa"/>
                  <w:gridSpan w:val="2"/>
                  <w:tcBorders>
                    <w:tl2br w:val="nil"/>
                    <w:tr2bl w:val="nil"/>
                  </w:tcBorders>
                  <w:vAlign w:val="center"/>
                </w:tcPr>
                <w:p w14:paraId="4DF810A9">
                  <w:pPr>
                    <w:pStyle w:val="112"/>
                    <w:spacing w:line="240" w:lineRule="auto"/>
                    <w:ind w:firstLine="0" w:firstLineChars="0"/>
                  </w:pPr>
                  <w:r>
                    <w:t>监测方式</w:t>
                  </w:r>
                </w:p>
              </w:tc>
              <w:tc>
                <w:tcPr>
                  <w:tcW w:w="2899" w:type="dxa"/>
                  <w:gridSpan w:val="6"/>
                  <w:tcBorders>
                    <w:tl2br w:val="nil"/>
                    <w:tr2bl w:val="nil"/>
                  </w:tcBorders>
                  <w:vAlign w:val="center"/>
                </w:tcPr>
                <w:p w14:paraId="3322E879">
                  <w:pPr>
                    <w:pStyle w:val="112"/>
                    <w:spacing w:line="240" w:lineRule="auto"/>
                    <w:ind w:firstLine="0" w:firstLineChars="0"/>
                  </w:pPr>
                  <w:r>
                    <w:t>手动</w:t>
                  </w:r>
                  <w:r>
                    <w:rPr/>
                    <w:sym w:font="Wingdings" w:char="00A8"/>
                  </w:r>
                  <w:r>
                    <w:t>；自动</w:t>
                  </w:r>
                  <w:r>
                    <w:rPr/>
                    <w:sym w:font="Wingdings" w:char="00A8"/>
                  </w:r>
                  <w:r>
                    <w:t>；无监测</w:t>
                  </w:r>
                  <w:r>
                    <w:rPr/>
                    <w:sym w:font="Wingdings" w:char="00A8"/>
                  </w:r>
                </w:p>
              </w:tc>
              <w:tc>
                <w:tcPr>
                  <w:tcW w:w="2936" w:type="dxa"/>
                  <w:gridSpan w:val="4"/>
                  <w:tcBorders>
                    <w:tl2br w:val="nil"/>
                    <w:tr2bl w:val="nil"/>
                  </w:tcBorders>
                  <w:vAlign w:val="center"/>
                </w:tcPr>
                <w:p w14:paraId="2A4B37A7">
                  <w:pPr>
                    <w:pStyle w:val="112"/>
                    <w:spacing w:line="240" w:lineRule="auto"/>
                    <w:ind w:firstLine="0" w:firstLineChars="0"/>
                  </w:pPr>
                  <w:r>
                    <w:t>手动</w:t>
                  </w:r>
                  <w:r>
                    <w:rPr/>
                    <w:sym w:font="Wingdings" w:char="00A8"/>
                  </w:r>
                  <w:r>
                    <w:t>；自动</w:t>
                  </w:r>
                  <w:r>
                    <w:rPr/>
                    <w:sym w:font="Wingdings" w:char="00A8"/>
                  </w:r>
                  <w:r>
                    <w:t>；无监测</w:t>
                  </w:r>
                  <w:r>
                    <w:rPr/>
                    <w:sym w:font="Wingdings" w:char="00A8"/>
                  </w:r>
                </w:p>
              </w:tc>
            </w:tr>
            <w:tr w14:paraId="085723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atLeast"/>
                <w:tblHeader/>
                <w:jc w:val="center"/>
              </w:trPr>
              <w:tc>
                <w:tcPr>
                  <w:tcW w:w="393" w:type="dxa"/>
                  <w:vMerge w:val="continue"/>
                  <w:tcBorders>
                    <w:tl2br w:val="nil"/>
                    <w:tr2bl w:val="nil"/>
                  </w:tcBorders>
                  <w:vAlign w:val="center"/>
                </w:tcPr>
                <w:p w14:paraId="5C790324">
                  <w:pPr>
                    <w:pStyle w:val="112"/>
                    <w:tabs>
                      <w:tab w:val="clear" w:pos="630"/>
                    </w:tabs>
                    <w:spacing w:line="240" w:lineRule="auto"/>
                    <w:ind w:left="630" w:firstLine="0" w:firstLineChars="0"/>
                    <w:jc w:val="both"/>
                  </w:pPr>
                </w:p>
              </w:tc>
              <w:tc>
                <w:tcPr>
                  <w:tcW w:w="1687" w:type="dxa"/>
                  <w:vMerge w:val="continue"/>
                  <w:tcBorders>
                    <w:tl2br w:val="nil"/>
                    <w:tr2bl w:val="nil"/>
                  </w:tcBorders>
                  <w:vAlign w:val="center"/>
                </w:tcPr>
                <w:p w14:paraId="3070192A">
                  <w:pPr>
                    <w:pStyle w:val="112"/>
                    <w:tabs>
                      <w:tab w:val="clear" w:pos="630"/>
                    </w:tabs>
                    <w:spacing w:line="240" w:lineRule="auto"/>
                    <w:ind w:left="630" w:firstLine="0" w:firstLineChars="0"/>
                    <w:jc w:val="both"/>
                  </w:pPr>
                </w:p>
              </w:tc>
              <w:tc>
                <w:tcPr>
                  <w:tcW w:w="1245" w:type="dxa"/>
                  <w:gridSpan w:val="2"/>
                  <w:tcBorders>
                    <w:tl2br w:val="nil"/>
                    <w:tr2bl w:val="nil"/>
                  </w:tcBorders>
                  <w:vAlign w:val="center"/>
                </w:tcPr>
                <w:p w14:paraId="66617771">
                  <w:pPr>
                    <w:pStyle w:val="112"/>
                    <w:spacing w:line="240" w:lineRule="auto"/>
                    <w:ind w:firstLine="0" w:firstLineChars="0"/>
                  </w:pPr>
                  <w:r>
                    <w:t>监测点位</w:t>
                  </w:r>
                </w:p>
              </w:tc>
              <w:tc>
                <w:tcPr>
                  <w:tcW w:w="2899" w:type="dxa"/>
                  <w:gridSpan w:val="6"/>
                  <w:tcBorders>
                    <w:tl2br w:val="nil"/>
                    <w:tr2bl w:val="nil"/>
                  </w:tcBorders>
                  <w:vAlign w:val="center"/>
                </w:tcPr>
                <w:p w14:paraId="04C528DD">
                  <w:pPr>
                    <w:pStyle w:val="112"/>
                    <w:spacing w:line="240" w:lineRule="auto"/>
                    <w:ind w:firstLine="0" w:firstLineChars="0"/>
                  </w:pPr>
                  <w:r>
                    <w:t>/</w:t>
                  </w:r>
                </w:p>
              </w:tc>
              <w:tc>
                <w:tcPr>
                  <w:tcW w:w="2936" w:type="dxa"/>
                  <w:gridSpan w:val="4"/>
                  <w:tcBorders>
                    <w:tl2br w:val="nil"/>
                    <w:tr2bl w:val="nil"/>
                  </w:tcBorders>
                  <w:vAlign w:val="center"/>
                </w:tcPr>
                <w:p w14:paraId="58F5D76F">
                  <w:pPr>
                    <w:pStyle w:val="112"/>
                    <w:spacing w:line="240" w:lineRule="auto"/>
                    <w:ind w:firstLine="0" w:firstLineChars="0"/>
                  </w:pPr>
                  <w:r>
                    <w:t>/</w:t>
                  </w:r>
                </w:p>
              </w:tc>
            </w:tr>
            <w:tr w14:paraId="1EE6285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6364995F">
                  <w:pPr>
                    <w:pStyle w:val="112"/>
                    <w:tabs>
                      <w:tab w:val="clear" w:pos="630"/>
                    </w:tabs>
                    <w:spacing w:line="240" w:lineRule="auto"/>
                    <w:ind w:left="630" w:firstLine="0" w:firstLineChars="0"/>
                    <w:jc w:val="both"/>
                  </w:pPr>
                </w:p>
              </w:tc>
              <w:tc>
                <w:tcPr>
                  <w:tcW w:w="1687" w:type="dxa"/>
                  <w:vMerge w:val="continue"/>
                  <w:tcBorders>
                    <w:tl2br w:val="nil"/>
                    <w:tr2bl w:val="nil"/>
                  </w:tcBorders>
                  <w:vAlign w:val="center"/>
                </w:tcPr>
                <w:p w14:paraId="75C08BFA">
                  <w:pPr>
                    <w:pStyle w:val="112"/>
                    <w:tabs>
                      <w:tab w:val="clear" w:pos="630"/>
                    </w:tabs>
                    <w:spacing w:line="240" w:lineRule="auto"/>
                    <w:ind w:left="630" w:firstLine="0" w:firstLineChars="0"/>
                    <w:jc w:val="both"/>
                  </w:pPr>
                </w:p>
              </w:tc>
              <w:tc>
                <w:tcPr>
                  <w:tcW w:w="1245" w:type="dxa"/>
                  <w:gridSpan w:val="2"/>
                  <w:tcBorders>
                    <w:tl2br w:val="nil"/>
                    <w:tr2bl w:val="nil"/>
                  </w:tcBorders>
                  <w:vAlign w:val="center"/>
                </w:tcPr>
                <w:p w14:paraId="278BAAD7">
                  <w:pPr>
                    <w:pStyle w:val="112"/>
                    <w:spacing w:line="240" w:lineRule="auto"/>
                    <w:ind w:firstLine="0" w:firstLineChars="0"/>
                  </w:pPr>
                  <w:r>
                    <w:t>监测因子</w:t>
                  </w:r>
                </w:p>
              </w:tc>
              <w:tc>
                <w:tcPr>
                  <w:tcW w:w="2899" w:type="dxa"/>
                  <w:gridSpan w:val="6"/>
                  <w:tcBorders>
                    <w:tl2br w:val="nil"/>
                    <w:tr2bl w:val="nil"/>
                  </w:tcBorders>
                  <w:vAlign w:val="center"/>
                </w:tcPr>
                <w:p w14:paraId="0B8AD947">
                  <w:pPr>
                    <w:jc w:val="center"/>
                    <w:rPr>
                      <w:szCs w:val="21"/>
                    </w:rPr>
                  </w:pPr>
                  <w:r>
                    <w:rPr>
                      <w:szCs w:val="21"/>
                    </w:rPr>
                    <w:t>/</w:t>
                  </w:r>
                </w:p>
              </w:tc>
              <w:tc>
                <w:tcPr>
                  <w:tcW w:w="2936" w:type="dxa"/>
                  <w:gridSpan w:val="4"/>
                  <w:tcBorders>
                    <w:tl2br w:val="nil"/>
                    <w:tr2bl w:val="nil"/>
                  </w:tcBorders>
                  <w:vAlign w:val="center"/>
                </w:tcPr>
                <w:p w14:paraId="185B27BB">
                  <w:pPr>
                    <w:jc w:val="center"/>
                    <w:rPr>
                      <w:szCs w:val="21"/>
                    </w:rPr>
                  </w:pPr>
                  <w:r>
                    <w:rPr>
                      <w:szCs w:val="21"/>
                    </w:rPr>
                    <w:t>/</w:t>
                  </w:r>
                </w:p>
              </w:tc>
            </w:tr>
            <w:tr w14:paraId="668D4CE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vAlign w:val="center"/>
                </w:tcPr>
                <w:p w14:paraId="53075155">
                  <w:pPr>
                    <w:pStyle w:val="112"/>
                    <w:tabs>
                      <w:tab w:val="clear" w:pos="630"/>
                    </w:tabs>
                    <w:spacing w:line="240" w:lineRule="auto"/>
                    <w:ind w:left="630" w:firstLine="0" w:firstLineChars="0"/>
                  </w:pPr>
                </w:p>
              </w:tc>
              <w:tc>
                <w:tcPr>
                  <w:tcW w:w="1687" w:type="dxa"/>
                  <w:tcBorders>
                    <w:tl2br w:val="nil"/>
                    <w:tr2bl w:val="nil"/>
                  </w:tcBorders>
                  <w:vAlign w:val="center"/>
                </w:tcPr>
                <w:p w14:paraId="74A41E35">
                  <w:pPr>
                    <w:pStyle w:val="112"/>
                    <w:spacing w:line="240" w:lineRule="auto"/>
                    <w:ind w:firstLine="0" w:firstLineChars="0"/>
                  </w:pPr>
                  <w:r>
                    <w:t>污染物排放清单</w:t>
                  </w:r>
                </w:p>
              </w:tc>
              <w:tc>
                <w:tcPr>
                  <w:tcW w:w="7080" w:type="dxa"/>
                  <w:gridSpan w:val="12"/>
                  <w:tcBorders>
                    <w:tl2br w:val="nil"/>
                    <w:tr2bl w:val="nil"/>
                  </w:tcBorders>
                  <w:vAlign w:val="center"/>
                </w:tcPr>
                <w:p w14:paraId="2A512312">
                  <w:pPr>
                    <w:pStyle w:val="112"/>
                    <w:spacing w:line="240" w:lineRule="auto"/>
                    <w:ind w:firstLine="0" w:firstLineChars="0"/>
                    <w:jc w:val="both"/>
                  </w:pPr>
                  <w:r>
                    <w:rPr>
                      <w:position w:val="2"/>
                    </w:rPr>
                    <w:t xml:space="preserve">厂区排放量 </w:t>
                  </w:r>
                  <w:r>
                    <w:rPr>
                      <w:rFonts w:eastAsia="Times New Roman"/>
                      <w:position w:val="2"/>
                    </w:rPr>
                    <w:t>COD</w:t>
                  </w:r>
                  <w:r>
                    <w:rPr>
                      <w:position w:val="2"/>
                    </w:rPr>
                    <w:t>：0.</w:t>
                  </w:r>
                  <w:r>
                    <w:rPr>
                      <w:rFonts w:hint="eastAsia"/>
                      <w:position w:val="2"/>
                    </w:rPr>
                    <w:t>336</w:t>
                  </w:r>
                  <w:r>
                    <w:rPr>
                      <w:rFonts w:eastAsia="Times New Roman"/>
                      <w:position w:val="2"/>
                    </w:rPr>
                    <w:t>t/a</w:t>
                  </w:r>
                  <w:r>
                    <w:rPr>
                      <w:position w:val="2"/>
                    </w:rPr>
                    <w:t>，</w:t>
                  </w:r>
                  <w:r>
                    <w:rPr>
                      <w:rFonts w:eastAsia="Times New Roman"/>
                      <w:position w:val="2"/>
                    </w:rPr>
                    <w:t>NH</w:t>
                  </w:r>
                  <w:r>
                    <w:rPr>
                      <w:rFonts w:eastAsia="Times New Roman"/>
                      <w:position w:val="2"/>
                      <w:vertAlign w:val="subscript"/>
                    </w:rPr>
                    <w:t>3</w:t>
                  </w:r>
                  <w:r>
                    <w:rPr>
                      <w:rFonts w:eastAsia="Times New Roman"/>
                      <w:position w:val="2"/>
                    </w:rPr>
                    <w:t>-N</w:t>
                  </w:r>
                  <w:r>
                    <w:rPr>
                      <w:position w:val="2"/>
                    </w:rPr>
                    <w:t>：0.0</w:t>
                  </w:r>
                  <w:r>
                    <w:rPr>
                      <w:rFonts w:hint="eastAsia"/>
                      <w:position w:val="2"/>
                    </w:rPr>
                    <w:t>24</w:t>
                  </w:r>
                  <w:r>
                    <w:rPr>
                      <w:rFonts w:eastAsia="Times New Roman"/>
                      <w:position w:val="2"/>
                    </w:rPr>
                    <w:t>t/a</w:t>
                  </w:r>
                  <w:r>
                    <w:rPr>
                      <w:position w:val="2"/>
                    </w:rPr>
                    <w:t>；</w:t>
                  </w:r>
                </w:p>
              </w:tc>
            </w:tr>
            <w:tr w14:paraId="21BB356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76" w:hRule="atLeast"/>
                <w:tblHeader/>
                <w:jc w:val="center"/>
              </w:trPr>
              <w:tc>
                <w:tcPr>
                  <w:tcW w:w="2080" w:type="dxa"/>
                  <w:gridSpan w:val="2"/>
                  <w:tcBorders>
                    <w:tl2br w:val="nil"/>
                    <w:tr2bl w:val="nil"/>
                  </w:tcBorders>
                  <w:vAlign w:val="center"/>
                </w:tcPr>
                <w:p w14:paraId="52F962B4">
                  <w:pPr>
                    <w:pStyle w:val="112"/>
                    <w:spacing w:line="240" w:lineRule="auto"/>
                    <w:ind w:firstLine="0" w:firstLineChars="0"/>
                  </w:pPr>
                  <w:r>
                    <w:t>评价结论</w:t>
                  </w:r>
                </w:p>
              </w:tc>
              <w:tc>
                <w:tcPr>
                  <w:tcW w:w="7080" w:type="dxa"/>
                  <w:gridSpan w:val="12"/>
                  <w:tcBorders>
                    <w:tl2br w:val="nil"/>
                    <w:tr2bl w:val="nil"/>
                  </w:tcBorders>
                  <w:vAlign w:val="center"/>
                </w:tcPr>
                <w:p w14:paraId="59B6507B">
                  <w:pPr>
                    <w:pStyle w:val="112"/>
                    <w:spacing w:line="240" w:lineRule="auto"/>
                    <w:ind w:firstLine="0" w:firstLineChars="0"/>
                    <w:jc w:val="both"/>
                  </w:pPr>
                  <w:r>
                    <w:t>可以接受</w:t>
                  </w:r>
                  <w:r>
                    <w:rPr/>
                    <w:sym w:font="Wingdings" w:char="00FE"/>
                  </w:r>
                  <w:r>
                    <w:t>；不可以接受</w:t>
                  </w:r>
                  <w:r>
                    <w:rPr/>
                    <w:sym w:font="Wingdings" w:char="00A8"/>
                  </w:r>
                </w:p>
              </w:tc>
            </w:tr>
          </w:tbl>
          <w:p w14:paraId="258A35B2">
            <w:pPr>
              <w:pStyle w:val="60"/>
              <w:adjustRightInd w:val="0"/>
              <w:snapToGrid w:val="0"/>
              <w:spacing w:line="360" w:lineRule="auto"/>
              <w:ind w:firstLine="480" w:firstLineChars="200"/>
              <w:rPr>
                <w:rFonts w:ascii="Times New Roman" w:hAnsi="Times New Roman"/>
                <w:snapToGrid w:val="0"/>
                <w:kern w:val="0"/>
                <w:sz w:val="24"/>
              </w:rPr>
            </w:pPr>
            <w:r>
              <w:rPr>
                <w:rFonts w:ascii="Times New Roman" w:hAnsi="Times New Roman"/>
                <w:bCs/>
                <w:sz w:val="24"/>
              </w:rPr>
              <w:t>2、</w:t>
            </w:r>
            <w:r>
              <w:rPr>
                <w:rFonts w:ascii="Times New Roman" w:hAnsi="Times New Roman"/>
                <w:snapToGrid w:val="0"/>
                <w:kern w:val="0"/>
                <w:sz w:val="24"/>
              </w:rPr>
              <w:t>地下水环境影响分析</w:t>
            </w:r>
          </w:p>
          <w:p w14:paraId="7EE67C91">
            <w:pPr>
              <w:spacing w:line="360" w:lineRule="auto"/>
              <w:ind w:firstLine="480" w:firstLineChars="200"/>
              <w:rPr>
                <w:sz w:val="24"/>
                <w:szCs w:val="24"/>
              </w:rPr>
            </w:pPr>
            <w:r>
              <w:rPr>
                <w:sz w:val="24"/>
                <w:szCs w:val="24"/>
              </w:rPr>
              <w:t>根据《环境影响评价技术导则 地下水环境》（HJ610-2016）可知，本项目行业类别为附录 A 中“</w:t>
            </w:r>
            <w:r>
              <w:rPr>
                <w:rFonts w:hint="eastAsia"/>
                <w:sz w:val="24"/>
                <w:szCs w:val="24"/>
              </w:rPr>
              <w:t>114文教、体育、娱乐用品制造</w:t>
            </w:r>
            <w:r>
              <w:rPr>
                <w:sz w:val="24"/>
                <w:szCs w:val="24"/>
              </w:rPr>
              <w:t>”，报告表对应的地下水环境影响评价项目类别为Ⅳ类，不开展地下水环境影响评价。</w:t>
            </w:r>
          </w:p>
          <w:p w14:paraId="793A0527">
            <w:pPr>
              <w:tabs>
                <w:tab w:val="left" w:pos="2894"/>
              </w:tabs>
              <w:spacing w:line="360" w:lineRule="auto"/>
              <w:ind w:firstLine="480" w:firstLineChars="200"/>
              <w:rPr>
                <w:rFonts w:eastAsia="Calibri"/>
                <w:kern w:val="0"/>
                <w:sz w:val="24"/>
              </w:rPr>
            </w:pPr>
            <w:r>
              <w:rPr>
                <w:sz w:val="24"/>
                <w:szCs w:val="24"/>
              </w:rPr>
              <w:t>项目不取地下水，不会对区域地下水水位等造成影响，项目可能对地下水造成影响的方式主要为污染物通过渗透方式进入地下水环境，项目在确保排水系统与市政污水主管网对接的前提下，并有效防止污水管网“跑、冒、滴、漏”现象的发生，项目废水对地下水环境影响很小</w:t>
            </w:r>
            <w:r>
              <w:rPr>
                <w:sz w:val="24"/>
              </w:rPr>
              <w:t>。</w:t>
            </w:r>
          </w:p>
          <w:p w14:paraId="7DA0F165">
            <w:pPr>
              <w:pStyle w:val="75"/>
            </w:pPr>
            <w:r>
              <w:t>项目区防渗等防止地下水污染预防措施见下表。</w:t>
            </w:r>
          </w:p>
          <w:p w14:paraId="3B57EF54">
            <w:pPr>
              <w:adjustRightInd w:val="0"/>
              <w:snapToGrid w:val="0"/>
              <w:jc w:val="center"/>
              <w:rPr>
                <w:b/>
                <w:sz w:val="24"/>
                <w:szCs w:val="24"/>
              </w:rPr>
            </w:pPr>
            <w:r>
              <w:rPr>
                <w:b/>
                <w:sz w:val="24"/>
                <w:szCs w:val="24"/>
              </w:rPr>
              <w:t>表7-</w:t>
            </w:r>
            <w:r>
              <w:rPr>
                <w:rFonts w:hint="eastAsia"/>
                <w:b/>
                <w:sz w:val="24"/>
                <w:szCs w:val="24"/>
              </w:rPr>
              <w:t>13</w:t>
            </w:r>
            <w:r>
              <w:rPr>
                <w:b/>
                <w:sz w:val="24"/>
                <w:szCs w:val="24"/>
              </w:rPr>
              <w:t xml:space="preserve">  厂区防渗等预防措施表</w:t>
            </w:r>
          </w:p>
          <w:tbl>
            <w:tblPr>
              <w:tblStyle w:val="27"/>
              <w:tblW w:w="907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78"/>
              <w:gridCol w:w="1836"/>
              <w:gridCol w:w="6557"/>
            </w:tblGrid>
            <w:tr w14:paraId="5C5BFC5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14:paraId="5412BCEE">
                  <w:pPr>
                    <w:adjustRightInd w:val="0"/>
                    <w:snapToGrid w:val="0"/>
                    <w:jc w:val="center"/>
                    <w:rPr>
                      <w:bCs/>
                      <w:szCs w:val="21"/>
                    </w:rPr>
                  </w:pPr>
                  <w:r>
                    <w:rPr>
                      <w:bCs/>
                      <w:szCs w:val="21"/>
                    </w:rPr>
                    <w:t>序号</w:t>
                  </w:r>
                </w:p>
              </w:tc>
              <w:tc>
                <w:tcPr>
                  <w:tcW w:w="1836" w:type="dxa"/>
                  <w:vAlign w:val="center"/>
                </w:tcPr>
                <w:p w14:paraId="452709B0">
                  <w:pPr>
                    <w:adjustRightInd w:val="0"/>
                    <w:snapToGrid w:val="0"/>
                    <w:jc w:val="center"/>
                    <w:rPr>
                      <w:bCs/>
                      <w:szCs w:val="21"/>
                    </w:rPr>
                  </w:pPr>
                  <w:r>
                    <w:rPr>
                      <w:bCs/>
                      <w:szCs w:val="21"/>
                    </w:rPr>
                    <w:t>名称</w:t>
                  </w:r>
                </w:p>
              </w:tc>
              <w:tc>
                <w:tcPr>
                  <w:tcW w:w="6557" w:type="dxa"/>
                  <w:vAlign w:val="center"/>
                </w:tcPr>
                <w:p w14:paraId="61D75DF6">
                  <w:pPr>
                    <w:adjustRightInd w:val="0"/>
                    <w:snapToGrid w:val="0"/>
                    <w:jc w:val="center"/>
                    <w:rPr>
                      <w:bCs/>
                      <w:szCs w:val="21"/>
                    </w:rPr>
                  </w:pPr>
                  <w:r>
                    <w:rPr>
                      <w:bCs/>
                      <w:szCs w:val="21"/>
                    </w:rPr>
                    <w:t>措施</w:t>
                  </w:r>
                </w:p>
              </w:tc>
            </w:tr>
            <w:tr w14:paraId="473B78F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14:paraId="411B4D82">
                  <w:pPr>
                    <w:adjustRightInd w:val="0"/>
                    <w:snapToGrid w:val="0"/>
                    <w:jc w:val="center"/>
                    <w:rPr>
                      <w:bCs/>
                      <w:szCs w:val="21"/>
                    </w:rPr>
                  </w:pPr>
                  <w:r>
                    <w:rPr>
                      <w:bCs/>
                      <w:szCs w:val="21"/>
                    </w:rPr>
                    <w:t>1</w:t>
                  </w:r>
                </w:p>
              </w:tc>
              <w:tc>
                <w:tcPr>
                  <w:tcW w:w="1836" w:type="dxa"/>
                  <w:vAlign w:val="center"/>
                </w:tcPr>
                <w:p w14:paraId="17A2A680">
                  <w:pPr>
                    <w:jc w:val="center"/>
                    <w:rPr>
                      <w:rFonts w:eastAsiaTheme="minorEastAsia"/>
                    </w:rPr>
                  </w:pPr>
                  <w:r>
                    <w:rPr>
                      <w:rFonts w:eastAsiaTheme="minorEastAsia"/>
                    </w:rPr>
                    <w:t>垃圾收集点</w:t>
                  </w:r>
                </w:p>
              </w:tc>
              <w:tc>
                <w:tcPr>
                  <w:tcW w:w="6557" w:type="dxa"/>
                  <w:vAlign w:val="center"/>
                </w:tcPr>
                <w:p w14:paraId="662CA07F">
                  <w:pPr>
                    <w:rPr>
                      <w:rFonts w:eastAsiaTheme="minorEastAsia"/>
                    </w:rPr>
                  </w:pPr>
                  <w:r>
                    <w:rPr>
                      <w:rFonts w:eastAsiaTheme="minorEastAsia"/>
                    </w:rPr>
                    <w:t>底部铺设防渗层，其铺设方式为：①40mm厚细石砼；②素水泥砂浆结合层一道；③200mm厚C15混凝土配¢6@200双向筋；④150mm厚级配砂石垫层；⑤素土夯实。</w:t>
                  </w:r>
                </w:p>
              </w:tc>
            </w:tr>
            <w:tr w14:paraId="7F8F071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14:paraId="5A119C27">
                  <w:pPr>
                    <w:adjustRightInd w:val="0"/>
                    <w:snapToGrid w:val="0"/>
                    <w:jc w:val="center"/>
                    <w:rPr>
                      <w:bCs/>
                      <w:szCs w:val="21"/>
                    </w:rPr>
                  </w:pPr>
                  <w:r>
                    <w:rPr>
                      <w:bCs/>
                      <w:szCs w:val="21"/>
                    </w:rPr>
                    <w:t>2</w:t>
                  </w:r>
                </w:p>
              </w:tc>
              <w:tc>
                <w:tcPr>
                  <w:tcW w:w="1836" w:type="dxa"/>
                  <w:vAlign w:val="center"/>
                </w:tcPr>
                <w:p w14:paraId="1F088B48">
                  <w:pPr>
                    <w:adjustRightInd w:val="0"/>
                    <w:snapToGrid w:val="0"/>
                    <w:jc w:val="center"/>
                    <w:rPr>
                      <w:bCs/>
                      <w:szCs w:val="21"/>
                    </w:rPr>
                  </w:pPr>
                  <w:r>
                    <w:rPr>
                      <w:rFonts w:hint="eastAsia"/>
                      <w:bCs/>
                      <w:szCs w:val="21"/>
                      <w:lang w:val="en-US" w:eastAsia="zh-CN"/>
                    </w:rPr>
                    <w:t>沉淀</w:t>
                  </w:r>
                  <w:r>
                    <w:rPr>
                      <w:bCs/>
                      <w:szCs w:val="21"/>
                    </w:rPr>
                    <w:t>池</w:t>
                  </w:r>
                </w:p>
              </w:tc>
              <w:tc>
                <w:tcPr>
                  <w:tcW w:w="6557" w:type="dxa"/>
                  <w:vAlign w:val="center"/>
                </w:tcPr>
                <w:p w14:paraId="07ADEACC">
                  <w:pPr>
                    <w:adjustRightInd w:val="0"/>
                    <w:snapToGrid w:val="0"/>
                    <w:rPr>
                      <w:bCs/>
                      <w:szCs w:val="21"/>
                    </w:rPr>
                  </w:pPr>
                  <w:r>
                    <w:rPr>
                      <w:bCs/>
                      <w:szCs w:val="21"/>
                    </w:rPr>
                    <w:t>底部和墙体铺设防渗层，再用水泥抹面硬化，确保防渗系数小于10</w:t>
                  </w:r>
                  <w:r>
                    <w:rPr>
                      <w:bCs/>
                      <w:szCs w:val="21"/>
                      <w:vertAlign w:val="superscript"/>
                    </w:rPr>
                    <w:t>-7</w:t>
                  </w:r>
                  <w:r>
                    <w:rPr>
                      <w:bCs/>
                      <w:szCs w:val="21"/>
                    </w:rPr>
                    <w:t>cm/s。</w:t>
                  </w:r>
                </w:p>
              </w:tc>
            </w:tr>
            <w:tr w14:paraId="18957BD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14:paraId="7C79A247">
                  <w:pPr>
                    <w:adjustRightInd w:val="0"/>
                    <w:snapToGrid w:val="0"/>
                    <w:jc w:val="center"/>
                    <w:rPr>
                      <w:bCs/>
                      <w:szCs w:val="21"/>
                    </w:rPr>
                  </w:pPr>
                  <w:r>
                    <w:rPr>
                      <w:bCs/>
                      <w:szCs w:val="21"/>
                    </w:rPr>
                    <w:t>3</w:t>
                  </w:r>
                </w:p>
              </w:tc>
              <w:tc>
                <w:tcPr>
                  <w:tcW w:w="1836" w:type="dxa"/>
                  <w:vAlign w:val="center"/>
                </w:tcPr>
                <w:p w14:paraId="18149121">
                  <w:pPr>
                    <w:adjustRightInd w:val="0"/>
                    <w:snapToGrid w:val="0"/>
                    <w:jc w:val="center"/>
                    <w:rPr>
                      <w:bCs/>
                      <w:szCs w:val="21"/>
                    </w:rPr>
                  </w:pPr>
                  <w:r>
                    <w:rPr>
                      <w:bCs/>
                      <w:szCs w:val="21"/>
                    </w:rPr>
                    <w:t>固废库</w:t>
                  </w:r>
                </w:p>
              </w:tc>
              <w:tc>
                <w:tcPr>
                  <w:tcW w:w="6557" w:type="dxa"/>
                  <w:vAlign w:val="center"/>
                </w:tcPr>
                <w:p w14:paraId="2F8EB3D7">
                  <w:pPr>
                    <w:adjustRightInd w:val="0"/>
                    <w:snapToGrid w:val="0"/>
                    <w:rPr>
                      <w:bCs/>
                      <w:szCs w:val="21"/>
                    </w:rPr>
                  </w:pPr>
                  <w:r>
                    <w:rPr>
                      <w:bCs/>
                      <w:szCs w:val="21"/>
                    </w:rPr>
                    <w:t>严格按照《一般工业固体废物贮存、处置场污染控制标准》(GB18599-2001)及其修改单要求制定防渗措施。</w:t>
                  </w:r>
                </w:p>
              </w:tc>
            </w:tr>
            <w:tr w14:paraId="66F615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14:paraId="2CFA623B">
                  <w:pPr>
                    <w:adjustRightInd w:val="0"/>
                    <w:snapToGrid w:val="0"/>
                    <w:jc w:val="center"/>
                    <w:rPr>
                      <w:bCs/>
                      <w:szCs w:val="21"/>
                    </w:rPr>
                  </w:pPr>
                  <w:r>
                    <w:rPr>
                      <w:bCs/>
                      <w:szCs w:val="21"/>
                    </w:rPr>
                    <w:t>4</w:t>
                  </w:r>
                </w:p>
              </w:tc>
              <w:tc>
                <w:tcPr>
                  <w:tcW w:w="1836" w:type="dxa"/>
                  <w:vAlign w:val="center"/>
                </w:tcPr>
                <w:p w14:paraId="709548C3">
                  <w:pPr>
                    <w:jc w:val="center"/>
                    <w:rPr>
                      <w:rFonts w:eastAsiaTheme="minorEastAsia"/>
                    </w:rPr>
                  </w:pPr>
                  <w:r>
                    <w:rPr>
                      <w:rFonts w:eastAsiaTheme="minorEastAsia"/>
                    </w:rPr>
                    <w:t>危废库</w:t>
                  </w:r>
                </w:p>
              </w:tc>
              <w:tc>
                <w:tcPr>
                  <w:tcW w:w="6557" w:type="dxa"/>
                  <w:vAlign w:val="center"/>
                </w:tcPr>
                <w:p w14:paraId="131C05CF">
                  <w:pPr>
                    <w:rPr>
                      <w:rFonts w:eastAsiaTheme="minorEastAsia"/>
                    </w:rPr>
                  </w:pPr>
                  <w:r>
                    <w:rPr>
                      <w:rFonts w:eastAsiaTheme="minorEastAsia"/>
                    </w:rPr>
                    <w:t>1、基础层：场底经平整、压实处理，并保证纵向、横向分别具有不小于2%的坡度。</w:t>
                  </w:r>
                </w:p>
                <w:p w14:paraId="54921961">
                  <w:pPr>
                    <w:rPr>
                      <w:rFonts w:eastAsiaTheme="minorEastAsia"/>
                    </w:rPr>
                  </w:pPr>
                  <w:r>
                    <w:rPr>
                      <w:rFonts w:eastAsiaTheme="minorEastAsia"/>
                    </w:rPr>
                    <w:t>2、防渗层：①场底防渗结构（从下往上）：粘土夯实基础，渗透系数≥1.0×10</w:t>
                  </w:r>
                  <w:r>
                    <w:rPr>
                      <w:rFonts w:eastAsiaTheme="minorEastAsia"/>
                      <w:vertAlign w:val="superscript"/>
                    </w:rPr>
                    <w:t>-5</w:t>
                  </w:r>
                  <w:r>
                    <w:rPr>
                      <w:rFonts w:eastAsiaTheme="minorEastAsia"/>
                    </w:rPr>
                    <w:t>cm/s；GCL膨润土垫，5kg/m</w:t>
                  </w:r>
                  <w:r>
                    <w:rPr>
                      <w:rFonts w:eastAsiaTheme="minorEastAsia"/>
                      <w:vertAlign w:val="superscript"/>
                    </w:rPr>
                    <w:t>2</w:t>
                  </w:r>
                  <w:r>
                    <w:rPr>
                      <w:rFonts w:eastAsiaTheme="minorEastAsia"/>
                    </w:rPr>
                    <w:t>；HDPE膜，2.0mm；无纺土工布，600g/m</w:t>
                  </w:r>
                  <w:r>
                    <w:rPr>
                      <w:rFonts w:eastAsiaTheme="minorEastAsia"/>
                      <w:vertAlign w:val="superscript"/>
                    </w:rPr>
                    <w:t>2</w:t>
                  </w:r>
                  <w:r>
                    <w:rPr>
                      <w:rFonts w:eastAsiaTheme="minorEastAsia"/>
                    </w:rPr>
                    <w:t>；卵石导流层，厚度30cm，粒径16～32mm， 按上细下粗铺设；无纺土工布，200g/m</w:t>
                  </w:r>
                  <w:r>
                    <w:rPr>
                      <w:rFonts w:eastAsiaTheme="minorEastAsia"/>
                      <w:vertAlign w:val="superscript"/>
                    </w:rPr>
                    <w:t>2</w:t>
                  </w:r>
                  <w:r>
                    <w:rPr>
                      <w:rFonts w:eastAsiaTheme="minorEastAsia"/>
                    </w:rPr>
                    <w:t>。②边坡防渗结构（从下往上）：GCL膨润土垫，5kg/m</w:t>
                  </w:r>
                  <w:r>
                    <w:rPr>
                      <w:rFonts w:eastAsiaTheme="minorEastAsia"/>
                      <w:vertAlign w:val="superscript"/>
                    </w:rPr>
                    <w:t>2</w:t>
                  </w:r>
                  <w:r>
                    <w:rPr>
                      <w:rFonts w:eastAsiaTheme="minorEastAsia"/>
                    </w:rPr>
                    <w:t>；HDPE膜，2.0mm；无纺土工布，600g/m</w:t>
                  </w:r>
                  <w:r>
                    <w:rPr>
                      <w:rFonts w:eastAsiaTheme="minorEastAsia"/>
                      <w:vertAlign w:val="superscript"/>
                    </w:rPr>
                    <w:t>2</w:t>
                  </w:r>
                  <w:r>
                    <w:rPr>
                      <w:rFonts w:eastAsiaTheme="minorEastAsia"/>
                    </w:rPr>
                    <w:t>；厚袋装粘土层30cm。</w:t>
                  </w:r>
                </w:p>
              </w:tc>
            </w:tr>
          </w:tbl>
          <w:p w14:paraId="4346CBC8">
            <w:pPr>
              <w:spacing w:line="360" w:lineRule="auto"/>
              <w:ind w:firstLine="439" w:firstLineChars="183"/>
              <w:rPr>
                <w:b/>
                <w:sz w:val="24"/>
                <w:szCs w:val="24"/>
              </w:rPr>
            </w:pPr>
            <w:r>
              <w:rPr>
                <w:kern w:val="0"/>
                <w:sz w:val="24"/>
              </w:rPr>
              <w:t>综上所述，项目采取严格管理和切实的防治措施的前提下，项目废水对周边地表水及地下水的影响较小。</w:t>
            </w:r>
          </w:p>
          <w:p w14:paraId="0507D2AE">
            <w:pPr>
              <w:spacing w:line="360" w:lineRule="auto"/>
              <w:ind w:firstLine="441" w:firstLineChars="183"/>
              <w:rPr>
                <w:b/>
                <w:sz w:val="24"/>
                <w:szCs w:val="24"/>
              </w:rPr>
            </w:pPr>
            <w:r>
              <w:rPr>
                <w:b/>
                <w:sz w:val="24"/>
                <w:szCs w:val="24"/>
              </w:rPr>
              <w:t>三、噪声环境影响分析</w:t>
            </w:r>
          </w:p>
          <w:p w14:paraId="6909EEF6">
            <w:pPr>
              <w:spacing w:line="360" w:lineRule="auto"/>
              <w:ind w:firstLine="480" w:firstLineChars="200"/>
              <w:rPr>
                <w:sz w:val="24"/>
                <w:szCs w:val="24"/>
              </w:rPr>
            </w:pPr>
            <w:r>
              <w:rPr>
                <w:sz w:val="24"/>
              </w:rPr>
              <w:t>本项目</w:t>
            </w:r>
            <w:r>
              <w:rPr>
                <w:sz w:val="24"/>
                <w:szCs w:val="24"/>
              </w:rPr>
              <w:t>噪声主要来自</w:t>
            </w:r>
            <w:r>
              <w:rPr>
                <w:rFonts w:hint="eastAsia"/>
                <w:sz w:val="24"/>
                <w:szCs w:val="24"/>
              </w:rPr>
              <w:t>裁布机、缠带机、水磨机、风机、抛光机</w:t>
            </w:r>
            <w:r>
              <w:rPr>
                <w:sz w:val="24"/>
                <w:szCs w:val="24"/>
              </w:rPr>
              <w:t>等机械设备的运行，</w:t>
            </w:r>
            <w:r>
              <w:rPr>
                <w:sz w:val="24"/>
              </w:rPr>
              <w:t>根据国内同类行业的车间内噪声值的经验数据，噪声值约在65～85dB(A)左右</w:t>
            </w:r>
            <w:r>
              <w:rPr>
                <w:sz w:val="24"/>
                <w:szCs w:val="24"/>
              </w:rPr>
              <w:t>。</w:t>
            </w:r>
          </w:p>
          <w:p w14:paraId="7FDF1ECD">
            <w:pPr>
              <w:spacing w:line="360" w:lineRule="auto"/>
              <w:ind w:firstLine="480" w:firstLineChars="200"/>
              <w:rPr>
                <w:sz w:val="24"/>
                <w:szCs w:val="24"/>
              </w:rPr>
            </w:pPr>
            <w:r>
              <w:rPr>
                <w:rFonts w:hint="eastAsia"/>
                <w:sz w:val="24"/>
                <w:szCs w:val="24"/>
              </w:rPr>
              <w:t>1、</w:t>
            </w:r>
            <w:r>
              <w:rPr>
                <w:sz w:val="24"/>
                <w:szCs w:val="24"/>
              </w:rPr>
              <w:t>噪声污染的控制从以下几个方面进行：</w:t>
            </w:r>
          </w:p>
          <w:p w14:paraId="0CD64782">
            <w:pPr>
              <w:spacing w:line="360" w:lineRule="auto"/>
              <w:ind w:firstLine="480" w:firstLineChars="200"/>
              <w:rPr>
                <w:sz w:val="24"/>
                <w:szCs w:val="24"/>
              </w:rPr>
            </w:pPr>
            <w:r>
              <w:rPr>
                <w:sz w:val="24"/>
                <w:szCs w:val="24"/>
              </w:rPr>
              <w:t>①高噪声设备均安置在厂房内进行隔声处理。</w:t>
            </w:r>
          </w:p>
          <w:p w14:paraId="70F321E7">
            <w:pPr>
              <w:spacing w:line="360" w:lineRule="auto"/>
              <w:ind w:firstLine="480" w:firstLineChars="200"/>
              <w:rPr>
                <w:sz w:val="24"/>
                <w:szCs w:val="24"/>
              </w:rPr>
            </w:pPr>
            <w:r>
              <w:rPr>
                <w:sz w:val="24"/>
                <w:szCs w:val="24"/>
              </w:rPr>
              <w:t>②对高噪声设备采用隔音罩，尽量降低噪声，将操作人员与噪声源分离开等；</w:t>
            </w:r>
          </w:p>
          <w:p w14:paraId="1406B3AE">
            <w:pPr>
              <w:spacing w:line="360" w:lineRule="auto"/>
              <w:ind w:firstLine="480" w:firstLineChars="200"/>
              <w:rPr>
                <w:sz w:val="24"/>
                <w:szCs w:val="24"/>
              </w:rPr>
            </w:pPr>
            <w:r>
              <w:rPr>
                <w:sz w:val="24"/>
                <w:szCs w:val="24"/>
              </w:rPr>
              <w:t>③维持各噪声级值较高的设备处于良好的运转状态；</w:t>
            </w:r>
          </w:p>
          <w:p w14:paraId="698E0FE6">
            <w:pPr>
              <w:spacing w:line="360" w:lineRule="auto"/>
              <w:ind w:firstLine="480" w:firstLineChars="200"/>
              <w:rPr>
                <w:sz w:val="24"/>
                <w:szCs w:val="24"/>
              </w:rPr>
            </w:pPr>
            <w:r>
              <w:rPr>
                <w:sz w:val="24"/>
                <w:szCs w:val="24"/>
              </w:rPr>
              <w:t>④提高零部件的装配精度，加强运转部件的润滑，降低</w:t>
            </w:r>
            <w:r>
              <w:rPr>
                <w:rFonts w:hint="eastAsia"/>
                <w:sz w:val="24"/>
                <w:szCs w:val="24"/>
                <w:lang w:eastAsia="zh-CN"/>
              </w:rPr>
              <w:t>摩擦</w:t>
            </w:r>
            <w:bookmarkStart w:id="7" w:name="_GoBack"/>
            <w:bookmarkEnd w:id="7"/>
            <w:r>
              <w:rPr>
                <w:sz w:val="24"/>
                <w:szCs w:val="24"/>
              </w:rPr>
              <w:t>力，对各连接部位安装弹性钢垫或橡胶衬垫，以减少传动装置间的振动；</w:t>
            </w:r>
          </w:p>
          <w:p w14:paraId="1538617F">
            <w:pPr>
              <w:spacing w:line="360" w:lineRule="auto"/>
              <w:ind w:firstLine="480" w:firstLineChars="200"/>
              <w:rPr>
                <w:sz w:val="24"/>
                <w:szCs w:val="24"/>
              </w:rPr>
            </w:pPr>
            <w:r>
              <w:rPr>
                <w:sz w:val="24"/>
                <w:szCs w:val="24"/>
              </w:rPr>
              <w:t>⑤高噪声设备尽量集中布置，远离厂界围墙，以免噪声影响厂界噪声不达标；</w:t>
            </w:r>
          </w:p>
          <w:p w14:paraId="5B02173C">
            <w:pPr>
              <w:spacing w:line="360" w:lineRule="auto"/>
              <w:ind w:firstLine="480" w:firstLineChars="200"/>
              <w:rPr>
                <w:sz w:val="24"/>
                <w:szCs w:val="24"/>
              </w:rPr>
            </w:pPr>
            <w:r>
              <w:rPr>
                <w:sz w:val="24"/>
                <w:szCs w:val="24"/>
              </w:rPr>
              <w:t>⑥车间采用隔声墙、隔声窗，起到隔声降噪作用。</w:t>
            </w:r>
          </w:p>
          <w:p w14:paraId="7266CA6E">
            <w:pPr>
              <w:spacing w:line="360" w:lineRule="auto"/>
              <w:ind w:firstLine="480" w:firstLineChars="200"/>
              <w:rPr>
                <w:sz w:val="24"/>
                <w:szCs w:val="24"/>
              </w:rPr>
            </w:pPr>
            <w:r>
              <w:rPr>
                <w:rFonts w:hint="eastAsia"/>
                <w:sz w:val="24"/>
                <w:szCs w:val="24"/>
              </w:rPr>
              <w:t>2、</w:t>
            </w:r>
            <w:r>
              <w:rPr>
                <w:sz w:val="24"/>
                <w:szCs w:val="24"/>
              </w:rPr>
              <w:t>噪声影响预测分析预测模式：</w:t>
            </w:r>
          </w:p>
          <w:p w14:paraId="2CE002A1">
            <w:pPr>
              <w:spacing w:line="360" w:lineRule="auto"/>
              <w:ind w:firstLine="480" w:firstLineChars="200"/>
              <w:rPr>
                <w:sz w:val="24"/>
                <w:szCs w:val="24"/>
              </w:rPr>
            </w:pPr>
            <w:r>
              <w:rPr>
                <w:sz w:val="24"/>
                <w:szCs w:val="24"/>
              </w:rPr>
              <w:t>基准预测点噪声级叠加公式</w:t>
            </w:r>
            <w:r>
              <w:rPr>
                <w:rFonts w:hint="eastAsia"/>
                <w:sz w:val="24"/>
                <w:szCs w:val="24"/>
              </w:rPr>
              <w:t>：</w:t>
            </w:r>
          </w:p>
          <w:p w14:paraId="5FC5E578">
            <w:pPr>
              <w:spacing w:line="360" w:lineRule="auto"/>
              <w:jc w:val="center"/>
              <w:rPr>
                <w:sz w:val="24"/>
                <w:szCs w:val="24"/>
              </w:rPr>
            </w:pPr>
            <w:r>
              <w:drawing>
                <wp:inline distT="0" distB="0" distL="114300" distR="114300">
                  <wp:extent cx="1539240" cy="401955"/>
                  <wp:effectExtent l="0" t="0" r="3810" b="17145"/>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17" cstate="print"/>
                          <a:srcRect l="9653" t="5479" r="12355"/>
                          <a:stretch>
                            <a:fillRect/>
                          </a:stretch>
                        </pic:blipFill>
                        <pic:spPr>
                          <a:xfrm>
                            <a:off x="0" y="0"/>
                            <a:ext cx="1539240" cy="401955"/>
                          </a:xfrm>
                          <a:prstGeom prst="rect">
                            <a:avLst/>
                          </a:prstGeom>
                          <a:noFill/>
                          <a:ln>
                            <a:noFill/>
                          </a:ln>
                        </pic:spPr>
                      </pic:pic>
                    </a:graphicData>
                  </a:graphic>
                </wp:inline>
              </w:drawing>
            </w:r>
          </w:p>
          <w:p w14:paraId="4080A2B6">
            <w:pPr>
              <w:spacing w:line="360" w:lineRule="auto"/>
              <w:ind w:firstLine="480" w:firstLineChars="200"/>
              <w:rPr>
                <w:sz w:val="24"/>
                <w:szCs w:val="24"/>
              </w:rPr>
            </w:pPr>
            <w:r>
              <w:rPr>
                <w:sz w:val="24"/>
                <w:szCs w:val="24"/>
              </w:rPr>
              <w:t>式中：Lpe—叠加后总声级，dB(A)。</w:t>
            </w:r>
          </w:p>
          <w:p w14:paraId="08F7BC12">
            <w:pPr>
              <w:spacing w:line="360" w:lineRule="auto"/>
              <w:ind w:firstLine="1200" w:firstLineChars="500"/>
              <w:rPr>
                <w:sz w:val="24"/>
                <w:szCs w:val="24"/>
              </w:rPr>
            </w:pPr>
            <w:r>
              <w:rPr>
                <w:sz w:val="24"/>
                <w:szCs w:val="24"/>
              </w:rPr>
              <w:t>Lpi—i 声源至基准预测点的声级，dB(A)。</w:t>
            </w:r>
          </w:p>
          <w:p w14:paraId="5276A932">
            <w:pPr>
              <w:spacing w:line="360" w:lineRule="auto"/>
              <w:ind w:firstLine="1200" w:firstLineChars="500"/>
              <w:rPr>
                <w:sz w:val="24"/>
                <w:szCs w:val="24"/>
              </w:rPr>
            </w:pPr>
            <w:r>
              <w:rPr>
                <w:sz w:val="24"/>
                <w:szCs w:val="24"/>
              </w:rPr>
              <w:t>n—噪声源数目</w:t>
            </w:r>
            <w:r>
              <w:rPr>
                <w:rFonts w:hint="eastAsia"/>
                <w:sz w:val="24"/>
                <w:szCs w:val="24"/>
              </w:rPr>
              <w:t>。</w:t>
            </w:r>
          </w:p>
          <w:p w14:paraId="033FF045">
            <w:pPr>
              <w:spacing w:line="360" w:lineRule="auto"/>
              <w:ind w:firstLine="480" w:firstLineChars="200"/>
              <w:rPr>
                <w:sz w:val="24"/>
                <w:szCs w:val="24"/>
              </w:rPr>
            </w:pPr>
            <w:r>
              <w:rPr>
                <w:sz w:val="24"/>
                <w:szCs w:val="24"/>
              </w:rPr>
              <w:t>用上述公式计算出各噪声源点至基准预测点的总声压级，然后以基准预测点的噪声强度为工程噪声源强。</w:t>
            </w:r>
          </w:p>
          <w:p w14:paraId="3EBB5654">
            <w:pPr>
              <w:spacing w:line="360" w:lineRule="auto"/>
              <w:ind w:firstLine="480" w:firstLineChars="200"/>
              <w:rPr>
                <w:sz w:val="24"/>
                <w:szCs w:val="24"/>
              </w:rPr>
            </w:pPr>
            <w:r>
              <w:rPr>
                <w:sz w:val="24"/>
                <w:szCs w:val="24"/>
              </w:rPr>
              <w:t>计算预测点的声级：</w:t>
            </w:r>
          </w:p>
          <w:p w14:paraId="222DE5DC">
            <w:pPr>
              <w:spacing w:line="360" w:lineRule="auto"/>
              <w:ind w:firstLine="480" w:firstLineChars="200"/>
              <w:rPr>
                <w:sz w:val="24"/>
                <w:szCs w:val="24"/>
              </w:rPr>
            </w:pPr>
            <w:r>
              <w:rPr>
                <w:sz w:val="24"/>
                <w:szCs w:val="24"/>
              </w:rPr>
              <w:t>L</w:t>
            </w:r>
            <w:r>
              <w:rPr>
                <w:sz w:val="24"/>
                <w:szCs w:val="24"/>
                <w:vertAlign w:val="subscript"/>
              </w:rPr>
              <w:t xml:space="preserve">p </w:t>
            </w:r>
            <w:r>
              <w:rPr>
                <w:sz w:val="24"/>
                <w:szCs w:val="24"/>
              </w:rPr>
              <w:t xml:space="preserve">(r) </w:t>
            </w:r>
            <w:r>
              <w:rPr>
                <w:rFonts w:hint="eastAsia"/>
                <w:sz w:val="24"/>
                <w:szCs w:val="24"/>
              </w:rPr>
              <w:t>=</w:t>
            </w:r>
            <w:r>
              <w:rPr>
                <w:sz w:val="24"/>
                <w:szCs w:val="24"/>
              </w:rPr>
              <w:t xml:space="preserve"> L</w:t>
            </w:r>
            <w:r>
              <w:rPr>
                <w:sz w:val="24"/>
                <w:szCs w:val="24"/>
                <w:vertAlign w:val="subscript"/>
              </w:rPr>
              <w:t>p</w:t>
            </w:r>
            <w:r>
              <w:rPr>
                <w:sz w:val="24"/>
                <w:szCs w:val="24"/>
              </w:rPr>
              <w:t xml:space="preserve"> (r</w:t>
            </w:r>
            <w:r>
              <w:rPr>
                <w:sz w:val="24"/>
                <w:szCs w:val="24"/>
                <w:vertAlign w:val="subscript"/>
              </w:rPr>
              <w:t>0</w:t>
            </w:r>
            <w:r>
              <w:rPr>
                <w:sz w:val="24"/>
                <w:szCs w:val="24"/>
              </w:rPr>
              <w:t xml:space="preserve"> )</w:t>
            </w:r>
            <w:r>
              <w:rPr>
                <w:rFonts w:hint="eastAsia" w:ascii="宋体" w:hAnsi="宋体" w:cs="宋体"/>
                <w:sz w:val="24"/>
                <w:szCs w:val="24"/>
              </w:rPr>
              <w:t>－</w:t>
            </w:r>
            <w:r>
              <w:rPr>
                <w:sz w:val="24"/>
                <w:szCs w:val="24"/>
              </w:rPr>
              <w:t>( A</w:t>
            </w:r>
            <w:r>
              <w:rPr>
                <w:sz w:val="24"/>
                <w:szCs w:val="24"/>
                <w:vertAlign w:val="subscript"/>
              </w:rPr>
              <w:t>div</w:t>
            </w:r>
            <w:r>
              <w:rPr>
                <w:rFonts w:hint="eastAsia"/>
                <w:sz w:val="24"/>
                <w:szCs w:val="24"/>
              </w:rPr>
              <w:t>+</w:t>
            </w:r>
            <w:r>
              <w:rPr>
                <w:sz w:val="24"/>
                <w:szCs w:val="24"/>
              </w:rPr>
              <w:t xml:space="preserve"> A</w:t>
            </w:r>
            <w:r>
              <w:rPr>
                <w:sz w:val="24"/>
                <w:szCs w:val="24"/>
                <w:vertAlign w:val="subscript"/>
              </w:rPr>
              <w:t>ba</w:t>
            </w:r>
            <w:r>
              <w:rPr>
                <w:sz w:val="24"/>
                <w:szCs w:val="24"/>
              </w:rPr>
              <w:t>r</w:t>
            </w:r>
            <w:r>
              <w:rPr>
                <w:rFonts w:hint="eastAsia"/>
                <w:sz w:val="24"/>
                <w:szCs w:val="24"/>
              </w:rPr>
              <w:t>+</w:t>
            </w:r>
            <w:r>
              <w:rPr>
                <w:sz w:val="24"/>
                <w:szCs w:val="24"/>
              </w:rPr>
              <w:t>A</w:t>
            </w:r>
            <w:r>
              <w:rPr>
                <w:sz w:val="24"/>
                <w:szCs w:val="24"/>
                <w:vertAlign w:val="subscript"/>
              </w:rPr>
              <w:t>atm</w:t>
            </w:r>
            <w:r>
              <w:rPr>
                <w:rFonts w:hint="eastAsia"/>
                <w:sz w:val="24"/>
                <w:szCs w:val="24"/>
              </w:rPr>
              <w:t>+</w:t>
            </w:r>
            <w:r>
              <w:rPr>
                <w:sz w:val="24"/>
                <w:szCs w:val="24"/>
              </w:rPr>
              <w:t>A</w:t>
            </w:r>
            <w:r>
              <w:rPr>
                <w:sz w:val="24"/>
                <w:szCs w:val="24"/>
                <w:vertAlign w:val="subscript"/>
              </w:rPr>
              <w:t>gr</w:t>
            </w:r>
            <w:r>
              <w:rPr>
                <w:rFonts w:hint="eastAsia"/>
                <w:sz w:val="24"/>
                <w:szCs w:val="24"/>
              </w:rPr>
              <w:t>+</w:t>
            </w:r>
            <w:r>
              <w:rPr>
                <w:sz w:val="24"/>
                <w:szCs w:val="24"/>
              </w:rPr>
              <w:t>A</w:t>
            </w:r>
            <w:r>
              <w:rPr>
                <w:sz w:val="24"/>
                <w:szCs w:val="24"/>
                <w:vertAlign w:val="subscript"/>
              </w:rPr>
              <w:t>misc</w:t>
            </w:r>
            <w:r>
              <w:rPr>
                <w:sz w:val="24"/>
                <w:szCs w:val="24"/>
              </w:rPr>
              <w:t xml:space="preserve"> )</w:t>
            </w:r>
          </w:p>
          <w:p w14:paraId="5329B1DE">
            <w:pPr>
              <w:spacing w:line="360" w:lineRule="auto"/>
              <w:ind w:firstLine="480" w:firstLineChars="200"/>
              <w:rPr>
                <w:sz w:val="24"/>
                <w:szCs w:val="24"/>
              </w:rPr>
            </w:pPr>
            <w:r>
              <w:rPr>
                <w:sz w:val="24"/>
                <w:szCs w:val="24"/>
              </w:rPr>
              <w:t>式中：L</w:t>
            </w:r>
            <w:r>
              <w:rPr>
                <w:sz w:val="24"/>
                <w:szCs w:val="24"/>
                <w:vertAlign w:val="subscript"/>
              </w:rPr>
              <w:t>p</w:t>
            </w:r>
            <w:r>
              <w:rPr>
                <w:sz w:val="24"/>
                <w:szCs w:val="24"/>
              </w:rPr>
              <w:t>(r)——距声源r处的A声级，dB；</w:t>
            </w:r>
          </w:p>
          <w:p w14:paraId="6F567051">
            <w:pPr>
              <w:spacing w:line="360" w:lineRule="auto"/>
              <w:ind w:firstLine="1200" w:firstLineChars="500"/>
              <w:rPr>
                <w:sz w:val="24"/>
                <w:szCs w:val="24"/>
              </w:rPr>
            </w:pPr>
            <w:r>
              <w:rPr>
                <w:sz w:val="24"/>
                <w:szCs w:val="24"/>
              </w:rPr>
              <w:t>L</w:t>
            </w:r>
            <w:r>
              <w:rPr>
                <w:sz w:val="24"/>
                <w:szCs w:val="24"/>
                <w:vertAlign w:val="subscript"/>
              </w:rPr>
              <w:t>p</w:t>
            </w:r>
            <w:r>
              <w:rPr>
                <w:sz w:val="24"/>
                <w:szCs w:val="24"/>
              </w:rPr>
              <w:t>(r</w:t>
            </w:r>
            <w:r>
              <w:rPr>
                <w:sz w:val="24"/>
                <w:szCs w:val="24"/>
                <w:vertAlign w:val="subscript"/>
              </w:rPr>
              <w:t>0</w:t>
            </w:r>
            <w:r>
              <w:rPr>
                <w:sz w:val="24"/>
                <w:szCs w:val="24"/>
              </w:rPr>
              <w:t>)——参考位置r</w:t>
            </w:r>
            <w:r>
              <w:rPr>
                <w:sz w:val="24"/>
                <w:szCs w:val="24"/>
                <w:vertAlign w:val="subscript"/>
              </w:rPr>
              <w:t>0</w:t>
            </w:r>
            <w:r>
              <w:rPr>
                <w:sz w:val="24"/>
                <w:szCs w:val="24"/>
              </w:rPr>
              <w:t>处的</w:t>
            </w:r>
            <w:r>
              <w:rPr>
                <w:rFonts w:hint="eastAsia"/>
                <w:sz w:val="24"/>
                <w:szCs w:val="24"/>
              </w:rPr>
              <w:t>A</w:t>
            </w:r>
            <w:r>
              <w:rPr>
                <w:sz w:val="24"/>
                <w:szCs w:val="24"/>
              </w:rPr>
              <w:t>声级</w:t>
            </w:r>
            <w:r>
              <w:rPr>
                <w:rFonts w:hint="eastAsia"/>
                <w:sz w:val="24"/>
                <w:szCs w:val="24"/>
              </w:rPr>
              <w:t>，</w:t>
            </w:r>
            <w:r>
              <w:rPr>
                <w:sz w:val="24"/>
                <w:szCs w:val="24"/>
              </w:rPr>
              <w:t>dB；</w:t>
            </w:r>
          </w:p>
          <w:p w14:paraId="45C62D37">
            <w:pPr>
              <w:spacing w:line="360" w:lineRule="auto"/>
              <w:ind w:firstLine="1200" w:firstLineChars="500"/>
              <w:rPr>
                <w:sz w:val="24"/>
                <w:szCs w:val="24"/>
              </w:rPr>
            </w:pPr>
            <w:r>
              <w:rPr>
                <w:sz w:val="24"/>
                <w:szCs w:val="24"/>
              </w:rPr>
              <w:t>A</w:t>
            </w:r>
            <w:r>
              <w:rPr>
                <w:sz w:val="24"/>
                <w:szCs w:val="24"/>
                <w:vertAlign w:val="subscript"/>
              </w:rPr>
              <w:t>div</w:t>
            </w:r>
            <w:r>
              <w:rPr>
                <w:sz w:val="24"/>
                <w:szCs w:val="24"/>
              </w:rPr>
              <w:t>——声波几何发散引起的</w:t>
            </w:r>
            <w:r>
              <w:rPr>
                <w:rFonts w:hint="eastAsia"/>
                <w:sz w:val="24"/>
                <w:szCs w:val="24"/>
              </w:rPr>
              <w:t>A</w:t>
            </w:r>
            <w:r>
              <w:rPr>
                <w:sz w:val="24"/>
                <w:szCs w:val="24"/>
              </w:rPr>
              <w:t>声级衰减量，dB，Adiv=20lg(r/r</w:t>
            </w:r>
            <w:r>
              <w:rPr>
                <w:sz w:val="24"/>
                <w:szCs w:val="24"/>
                <w:vertAlign w:val="subscript"/>
              </w:rPr>
              <w:t>0</w:t>
            </w:r>
            <w:r>
              <w:rPr>
                <w:sz w:val="24"/>
                <w:szCs w:val="24"/>
              </w:rPr>
              <w:t>)；</w:t>
            </w:r>
          </w:p>
          <w:p w14:paraId="29289917">
            <w:pPr>
              <w:spacing w:line="360" w:lineRule="auto"/>
              <w:ind w:firstLine="1200" w:firstLineChars="500"/>
              <w:rPr>
                <w:sz w:val="24"/>
                <w:szCs w:val="24"/>
              </w:rPr>
            </w:pPr>
            <w:r>
              <w:rPr>
                <w:sz w:val="24"/>
                <w:szCs w:val="24"/>
              </w:rPr>
              <w:t>A</w:t>
            </w:r>
            <w:r>
              <w:rPr>
                <w:sz w:val="24"/>
                <w:szCs w:val="24"/>
                <w:vertAlign w:val="subscript"/>
              </w:rPr>
              <w:t>bar</w:t>
            </w:r>
            <w:r>
              <w:rPr>
                <w:sz w:val="24"/>
                <w:szCs w:val="24"/>
              </w:rPr>
              <w:t>——遮挡物引起的</w:t>
            </w:r>
            <w:r>
              <w:rPr>
                <w:rFonts w:hint="eastAsia"/>
                <w:sz w:val="24"/>
                <w:szCs w:val="24"/>
              </w:rPr>
              <w:t>A</w:t>
            </w:r>
            <w:r>
              <w:rPr>
                <w:sz w:val="24"/>
                <w:szCs w:val="24"/>
              </w:rPr>
              <w:t>声级衰减量dB；</w:t>
            </w:r>
          </w:p>
          <w:p w14:paraId="075E56FC">
            <w:pPr>
              <w:spacing w:line="360" w:lineRule="auto"/>
              <w:ind w:firstLine="960" w:firstLineChars="400"/>
              <w:rPr>
                <w:sz w:val="24"/>
                <w:szCs w:val="24"/>
              </w:rPr>
            </w:pPr>
            <w:r>
              <w:rPr>
                <w:sz w:val="24"/>
                <w:szCs w:val="24"/>
              </w:rPr>
              <w:t xml:space="preserve"> </w:t>
            </w:r>
            <w:r>
              <w:rPr>
                <w:rFonts w:hint="eastAsia"/>
                <w:sz w:val="24"/>
                <w:szCs w:val="24"/>
              </w:rPr>
              <w:t xml:space="preserve"> </w:t>
            </w:r>
            <w:r>
              <w:rPr>
                <w:sz w:val="24"/>
                <w:szCs w:val="24"/>
              </w:rPr>
              <w:t>A</w:t>
            </w:r>
            <w:r>
              <w:rPr>
                <w:sz w:val="24"/>
                <w:szCs w:val="24"/>
                <w:vertAlign w:val="subscript"/>
              </w:rPr>
              <w:t>atm</w:t>
            </w:r>
            <w:r>
              <w:rPr>
                <w:sz w:val="24"/>
                <w:szCs w:val="24"/>
              </w:rPr>
              <w:t>——空气吸收引起的</w:t>
            </w:r>
            <w:r>
              <w:rPr>
                <w:rFonts w:hint="eastAsia"/>
                <w:sz w:val="24"/>
                <w:szCs w:val="24"/>
              </w:rPr>
              <w:t>A</w:t>
            </w:r>
            <w:r>
              <w:rPr>
                <w:sz w:val="24"/>
                <w:szCs w:val="24"/>
              </w:rPr>
              <w:t>声级衰减量dB；</w:t>
            </w:r>
          </w:p>
          <w:p w14:paraId="5DA00365">
            <w:pPr>
              <w:spacing w:line="360" w:lineRule="auto"/>
              <w:ind w:firstLine="960" w:firstLineChars="400"/>
              <w:rPr>
                <w:sz w:val="24"/>
                <w:szCs w:val="24"/>
              </w:rPr>
            </w:pPr>
            <w:r>
              <w:rPr>
                <w:sz w:val="24"/>
                <w:szCs w:val="24"/>
              </w:rPr>
              <w:t xml:space="preserve"> </w:t>
            </w:r>
            <w:r>
              <w:rPr>
                <w:rFonts w:hint="eastAsia"/>
                <w:sz w:val="24"/>
                <w:szCs w:val="24"/>
              </w:rPr>
              <w:t xml:space="preserve"> </w:t>
            </w:r>
            <w:r>
              <w:rPr>
                <w:sz w:val="24"/>
                <w:szCs w:val="24"/>
              </w:rPr>
              <w:t>A</w:t>
            </w:r>
            <w:r>
              <w:rPr>
                <w:sz w:val="24"/>
                <w:szCs w:val="24"/>
                <w:vertAlign w:val="subscript"/>
              </w:rPr>
              <w:t>gr</w:t>
            </w:r>
            <w:r>
              <w:rPr>
                <w:sz w:val="24"/>
                <w:szCs w:val="24"/>
              </w:rPr>
              <w:t>——地面效应引起的倍频带衰减量dB；</w:t>
            </w:r>
          </w:p>
          <w:p w14:paraId="065D0547">
            <w:pPr>
              <w:spacing w:line="360" w:lineRule="auto"/>
              <w:ind w:firstLine="960" w:firstLineChars="400"/>
              <w:rPr>
                <w:sz w:val="24"/>
                <w:szCs w:val="24"/>
              </w:rPr>
            </w:pPr>
            <w:r>
              <w:rPr>
                <w:sz w:val="24"/>
                <w:szCs w:val="24"/>
              </w:rPr>
              <w:t xml:space="preserve"> </w:t>
            </w:r>
            <w:r>
              <w:rPr>
                <w:rFonts w:hint="eastAsia"/>
                <w:sz w:val="24"/>
                <w:szCs w:val="24"/>
              </w:rPr>
              <w:t xml:space="preserve"> </w:t>
            </w:r>
            <w:r>
              <w:rPr>
                <w:sz w:val="24"/>
                <w:szCs w:val="24"/>
              </w:rPr>
              <w:t>A</w:t>
            </w:r>
            <w:r>
              <w:rPr>
                <w:sz w:val="24"/>
                <w:szCs w:val="24"/>
                <w:vertAlign w:val="subscript"/>
              </w:rPr>
              <w:t>exc</w:t>
            </w:r>
            <w:r>
              <w:rPr>
                <w:sz w:val="24"/>
                <w:szCs w:val="24"/>
              </w:rPr>
              <w:t>——附加</w:t>
            </w:r>
            <w:r>
              <w:rPr>
                <w:rFonts w:hint="eastAsia"/>
                <w:sz w:val="24"/>
                <w:szCs w:val="24"/>
              </w:rPr>
              <w:t>A</w:t>
            </w:r>
            <w:r>
              <w:rPr>
                <w:sz w:val="24"/>
                <w:szCs w:val="24"/>
              </w:rPr>
              <w:t>声级衰减量dB，A</w:t>
            </w:r>
            <w:r>
              <w:rPr>
                <w:sz w:val="24"/>
                <w:szCs w:val="24"/>
                <w:vertAlign w:val="subscript"/>
              </w:rPr>
              <w:t>exc</w:t>
            </w:r>
            <w:r>
              <w:rPr>
                <w:sz w:val="24"/>
                <w:szCs w:val="24"/>
              </w:rPr>
              <w:t>=5lg(r-r</w:t>
            </w:r>
            <w:r>
              <w:rPr>
                <w:sz w:val="24"/>
                <w:szCs w:val="24"/>
                <w:vertAlign w:val="subscript"/>
              </w:rPr>
              <w:t>0</w:t>
            </w:r>
            <w:r>
              <w:rPr>
                <w:sz w:val="24"/>
                <w:szCs w:val="24"/>
              </w:rPr>
              <w:t>)</w:t>
            </w:r>
          </w:p>
          <w:p w14:paraId="6CFD36AE">
            <w:pPr>
              <w:spacing w:line="360" w:lineRule="auto"/>
              <w:ind w:firstLine="480" w:firstLineChars="200"/>
              <w:rPr>
                <w:sz w:val="24"/>
                <w:szCs w:val="24"/>
              </w:rPr>
            </w:pPr>
            <w:r>
              <w:rPr>
                <w:rFonts w:hint="eastAsia"/>
                <w:sz w:val="24"/>
                <w:szCs w:val="24"/>
              </w:rPr>
              <w:t>3、预测结果和影响分析</w:t>
            </w:r>
          </w:p>
          <w:p w14:paraId="258644B7">
            <w:pPr>
              <w:spacing w:line="360" w:lineRule="auto"/>
              <w:ind w:firstLine="480" w:firstLineChars="200"/>
              <w:rPr>
                <w:sz w:val="24"/>
                <w:szCs w:val="24"/>
              </w:rPr>
            </w:pPr>
            <w:r>
              <w:rPr>
                <w:sz w:val="24"/>
                <w:szCs w:val="24"/>
              </w:rPr>
              <w:t>本环评建议采取以下措施来进一步降低噪声：首先是优化厂内布局，合理布置车间；其次尽量选用低噪声设备，合理安排工作时间，坚决避免夜间生产；再次采用隔声、屏蔽、减震和个体防护等措施。另外，合理安排操作规范，尽可能降低搬运过程中原材料、产品间碰撞产生的突发性噪声。根据以上分析，只要企业重视保护声环境，认真落实隔声降噪措施，并合理安排设备运行时间，经过预测，设备噪声采用隔声、减震措施后，经过厂区距离衰减</w:t>
            </w:r>
            <w:r>
              <w:rPr>
                <w:rFonts w:hint="eastAsia"/>
                <w:sz w:val="24"/>
                <w:szCs w:val="24"/>
              </w:rPr>
              <w:t>，</w:t>
            </w:r>
            <w:r>
              <w:rPr>
                <w:sz w:val="24"/>
                <w:szCs w:val="24"/>
              </w:rPr>
              <w:t>厂界噪声能够</w:t>
            </w:r>
            <w:r>
              <w:rPr>
                <w:rFonts w:hint="eastAsia"/>
                <w:sz w:val="24"/>
                <w:szCs w:val="24"/>
              </w:rPr>
              <w:t>满足</w:t>
            </w:r>
            <w:r>
              <w:rPr>
                <w:sz w:val="24"/>
                <w:szCs w:val="24"/>
              </w:rPr>
              <w:t>《工业企业厂界环境噪声排放标准》（GB 12348-2008）</w:t>
            </w:r>
            <w:r>
              <w:rPr>
                <w:rFonts w:hint="eastAsia"/>
                <w:sz w:val="24"/>
                <w:szCs w:val="24"/>
              </w:rPr>
              <w:t>2</w:t>
            </w:r>
            <w:r>
              <w:rPr>
                <w:sz w:val="24"/>
                <w:szCs w:val="24"/>
              </w:rPr>
              <w:t>类标准（昼间6</w:t>
            </w:r>
            <w:r>
              <w:rPr>
                <w:rFonts w:hint="eastAsia"/>
                <w:sz w:val="24"/>
                <w:szCs w:val="24"/>
              </w:rPr>
              <w:t>0</w:t>
            </w:r>
            <w:r>
              <w:rPr>
                <w:sz w:val="24"/>
                <w:szCs w:val="24"/>
              </w:rPr>
              <w:t>dB、夜间5</w:t>
            </w:r>
            <w:r>
              <w:rPr>
                <w:rFonts w:hint="eastAsia"/>
                <w:sz w:val="24"/>
                <w:szCs w:val="24"/>
              </w:rPr>
              <w:t>0</w:t>
            </w:r>
            <w:r>
              <w:rPr>
                <w:sz w:val="24"/>
                <w:szCs w:val="24"/>
              </w:rPr>
              <w:t>dB）的要求，对周围环境影响较小</w:t>
            </w:r>
            <w:r>
              <w:rPr>
                <w:sz w:val="24"/>
              </w:rPr>
              <w:t>。</w:t>
            </w:r>
          </w:p>
          <w:p w14:paraId="64FD99E6">
            <w:pPr>
              <w:spacing w:line="360" w:lineRule="auto"/>
              <w:ind w:firstLine="482" w:firstLineChars="200"/>
              <w:rPr>
                <w:b/>
                <w:sz w:val="24"/>
              </w:rPr>
            </w:pPr>
            <w:r>
              <w:rPr>
                <w:b/>
                <w:sz w:val="24"/>
              </w:rPr>
              <w:t>四、固体废物环境影响分析</w:t>
            </w:r>
          </w:p>
          <w:p w14:paraId="10514811">
            <w:pPr>
              <w:adjustRightInd w:val="0"/>
              <w:snapToGrid w:val="0"/>
              <w:spacing w:line="360" w:lineRule="auto"/>
              <w:ind w:firstLine="480"/>
              <w:rPr>
                <w:sz w:val="24"/>
              </w:rPr>
            </w:pPr>
            <w:r>
              <w:rPr>
                <w:sz w:val="24"/>
              </w:rPr>
              <w:t>本项目营运期固体废物分为一般工业固废、危险废物和职工生活垃圾。</w:t>
            </w:r>
          </w:p>
          <w:p w14:paraId="3863B26E">
            <w:pPr>
              <w:adjustRightInd w:val="0"/>
              <w:snapToGrid w:val="0"/>
              <w:spacing w:line="360" w:lineRule="auto"/>
              <w:ind w:firstLine="480"/>
              <w:rPr>
                <w:sz w:val="24"/>
              </w:rPr>
            </w:pPr>
            <w:r>
              <w:rPr>
                <w:sz w:val="24"/>
              </w:rPr>
              <w:t>1、一般工业固废</w:t>
            </w:r>
          </w:p>
          <w:p w14:paraId="35BE2F68">
            <w:pPr>
              <w:spacing w:line="360" w:lineRule="auto"/>
              <w:ind w:firstLine="480" w:firstLineChars="200"/>
              <w:rPr>
                <w:bCs/>
                <w:sz w:val="24"/>
              </w:rPr>
            </w:pPr>
            <w:r>
              <w:rPr>
                <w:rFonts w:hint="eastAsia"/>
                <w:sz w:val="24"/>
              </w:rPr>
              <w:t>本项目一般工业固废主要为下脚料、不合格品、废包装，下脚料、</w:t>
            </w:r>
            <w:r>
              <w:rPr>
                <w:sz w:val="24"/>
              </w:rPr>
              <w:t>不合格品产生量约为</w:t>
            </w:r>
            <w:r>
              <w:rPr>
                <w:rFonts w:hint="eastAsia"/>
                <w:sz w:val="24"/>
              </w:rPr>
              <w:t>3</w:t>
            </w:r>
            <w:r>
              <w:rPr>
                <w:sz w:val="24"/>
              </w:rPr>
              <w:t>t/a，废包装产生量约为0.</w:t>
            </w:r>
            <w:r>
              <w:rPr>
                <w:rFonts w:hint="eastAsia"/>
                <w:sz w:val="24"/>
              </w:rPr>
              <w:t>2</w:t>
            </w:r>
            <w:r>
              <w:rPr>
                <w:sz w:val="24"/>
              </w:rPr>
              <w:t>t/a，以上一般工业固废</w:t>
            </w:r>
            <w:r>
              <w:rPr>
                <w:rFonts w:hint="eastAsia"/>
                <w:sz w:val="24"/>
              </w:rPr>
              <w:t>分类</w:t>
            </w:r>
            <w:r>
              <w:rPr>
                <w:sz w:val="24"/>
              </w:rPr>
              <w:t>收集后，由物资回收部门回收处置</w:t>
            </w:r>
            <w:r>
              <w:rPr>
                <w:sz w:val="24"/>
                <w:szCs w:val="24"/>
              </w:rPr>
              <w:t>。</w:t>
            </w:r>
          </w:p>
          <w:p w14:paraId="01DBDAAC">
            <w:pPr>
              <w:spacing w:line="360" w:lineRule="auto"/>
              <w:ind w:firstLine="480" w:firstLineChars="200"/>
              <w:jc w:val="left"/>
              <w:rPr>
                <w:sz w:val="24"/>
                <w:szCs w:val="24"/>
              </w:rPr>
            </w:pPr>
            <w:r>
              <w:rPr>
                <w:rFonts w:hint="eastAsia"/>
                <w:sz w:val="24"/>
                <w:szCs w:val="24"/>
              </w:rPr>
              <w:t>（1）</w:t>
            </w:r>
            <w:r>
              <w:rPr>
                <w:sz w:val="24"/>
                <w:szCs w:val="24"/>
              </w:rPr>
              <w:t>一般固废的收集和贮存</w:t>
            </w:r>
          </w:p>
          <w:p w14:paraId="78679E88">
            <w:pPr>
              <w:spacing w:line="360" w:lineRule="auto"/>
              <w:ind w:firstLine="480" w:firstLineChars="200"/>
              <w:jc w:val="left"/>
              <w:rPr>
                <w:sz w:val="24"/>
                <w:szCs w:val="24"/>
              </w:rPr>
            </w:pPr>
            <w:r>
              <w:rPr>
                <w:sz w:val="24"/>
                <w:szCs w:val="24"/>
              </w:rPr>
              <w:t>一般固废库必须设置识别一般固废的明显标志，</w:t>
            </w:r>
            <w:r>
              <w:rPr>
                <w:rFonts w:hint="eastAsia"/>
                <w:sz w:val="24"/>
                <w:szCs w:val="24"/>
                <w:lang w:eastAsia="zh-CN"/>
              </w:rPr>
              <w:t>下脚料</w:t>
            </w:r>
            <w:r>
              <w:rPr>
                <w:sz w:val="24"/>
                <w:szCs w:val="24"/>
              </w:rPr>
              <w:t>、不合格品、废包装属于一般工业固体废弃物，按照《一般工业固体废弃物贮存、处置场污染控制标准》（GB 18599-2001）及2013年第36号修改单相关规定和要求执行。</w:t>
            </w:r>
          </w:p>
          <w:p w14:paraId="1569B41E">
            <w:pPr>
              <w:spacing w:line="360" w:lineRule="auto"/>
              <w:ind w:firstLine="480" w:firstLineChars="200"/>
              <w:jc w:val="left"/>
              <w:rPr>
                <w:rFonts w:hint="eastAsia"/>
                <w:sz w:val="24"/>
                <w:szCs w:val="24"/>
                <w:lang w:eastAsia="zh-CN"/>
              </w:rPr>
            </w:pPr>
            <w:r>
              <w:rPr>
                <w:rFonts w:hint="eastAsia"/>
                <w:sz w:val="24"/>
                <w:szCs w:val="24"/>
                <w:lang w:eastAsia="zh-CN"/>
              </w:rPr>
              <w:t>本项目</w:t>
            </w:r>
            <w:r>
              <w:rPr>
                <w:sz w:val="24"/>
                <w:szCs w:val="24"/>
              </w:rPr>
              <w:t>一般固废库位于</w:t>
            </w:r>
            <w:r>
              <w:rPr>
                <w:rFonts w:hint="eastAsia"/>
                <w:sz w:val="24"/>
                <w:szCs w:val="24"/>
              </w:rPr>
              <w:t>车间东侧</w:t>
            </w:r>
            <w:r>
              <w:rPr>
                <w:sz w:val="24"/>
                <w:szCs w:val="24"/>
              </w:rPr>
              <w:t>，占地面积约</w:t>
            </w:r>
            <w:r>
              <w:rPr>
                <w:rFonts w:hint="eastAsia"/>
                <w:sz w:val="24"/>
                <w:szCs w:val="24"/>
              </w:rPr>
              <w:t>10</w:t>
            </w:r>
            <w:r>
              <w:rPr>
                <w:sz w:val="24"/>
                <w:szCs w:val="24"/>
              </w:rPr>
              <w:t>m</w:t>
            </w:r>
            <w:r>
              <w:rPr>
                <w:sz w:val="24"/>
                <w:szCs w:val="24"/>
                <w:vertAlign w:val="superscript"/>
              </w:rPr>
              <w:t>2</w:t>
            </w:r>
            <w:r>
              <w:rPr>
                <w:sz w:val="24"/>
                <w:szCs w:val="24"/>
              </w:rPr>
              <w:t>，根据项目的一般固废数量、存储周期分析，能够容纳本项目产生的一般固废</w:t>
            </w:r>
            <w:r>
              <w:rPr>
                <w:rFonts w:hint="eastAsia"/>
                <w:sz w:val="24"/>
                <w:szCs w:val="24"/>
                <w:lang w:eastAsia="zh-CN"/>
              </w:rPr>
              <w:t>。一般固废库必须设置识别一般固废的明显标志，地面进行硬化且无裂隙；建立产生、收集、贮存、运输、利用、处置全过程的污染环境防治责任制度，建立管理台账。由专人负责一般固废的收集和管理工作。</w:t>
            </w:r>
          </w:p>
          <w:p w14:paraId="66A010D0">
            <w:pPr>
              <w:spacing w:line="360" w:lineRule="auto"/>
              <w:ind w:firstLine="480" w:firstLineChars="200"/>
              <w:jc w:val="left"/>
              <w:rPr>
                <w:sz w:val="24"/>
                <w:szCs w:val="24"/>
              </w:rPr>
            </w:pPr>
            <w:r>
              <w:rPr>
                <w:rFonts w:hint="eastAsia"/>
                <w:sz w:val="24"/>
                <w:szCs w:val="24"/>
              </w:rPr>
              <w:t>（2）</w:t>
            </w:r>
            <w:r>
              <w:rPr>
                <w:sz w:val="24"/>
                <w:szCs w:val="24"/>
              </w:rPr>
              <w:t>一般固废的转移及运输</w:t>
            </w:r>
          </w:p>
          <w:p w14:paraId="5A1158F4">
            <w:pPr>
              <w:spacing w:line="360" w:lineRule="auto"/>
              <w:ind w:firstLine="480" w:firstLineChars="200"/>
              <w:jc w:val="left"/>
              <w:rPr>
                <w:rFonts w:hint="eastAsia"/>
                <w:sz w:val="24"/>
                <w:szCs w:val="24"/>
              </w:rPr>
            </w:pPr>
            <w:r>
              <w:rPr>
                <w:rFonts w:hint="eastAsia"/>
                <w:sz w:val="24"/>
                <w:szCs w:val="24"/>
              </w:rPr>
              <w:t>委托他人运输、利用，需对受托方的主体资格和技术能力进行核实，依法签订书面合同，在合同中约定污染防治要求。</w:t>
            </w:r>
            <w:r>
              <w:rPr>
                <w:sz w:val="24"/>
                <w:szCs w:val="24"/>
              </w:rPr>
              <w:t>禁止将一般固废混入生活垃圾。</w:t>
            </w:r>
          </w:p>
          <w:p w14:paraId="0130DB90">
            <w:pPr>
              <w:spacing w:line="360" w:lineRule="auto"/>
              <w:ind w:firstLine="480" w:firstLineChars="200"/>
              <w:rPr>
                <w:sz w:val="24"/>
                <w:szCs w:val="24"/>
              </w:rPr>
            </w:pPr>
            <w:r>
              <w:rPr>
                <w:rFonts w:hint="eastAsia"/>
                <w:sz w:val="24"/>
                <w:szCs w:val="24"/>
              </w:rPr>
              <w:t>该项目在严格按照一般固废处理的相关规定的前提下，固体废物能够达到零排放，因此对周围环境基本无影响。</w:t>
            </w:r>
          </w:p>
          <w:p w14:paraId="1D6395D5">
            <w:pPr>
              <w:spacing w:line="360" w:lineRule="auto"/>
              <w:ind w:firstLine="480" w:firstLineChars="200"/>
              <w:rPr>
                <w:bCs/>
                <w:sz w:val="24"/>
              </w:rPr>
            </w:pPr>
            <w:r>
              <w:rPr>
                <w:rFonts w:hint="eastAsia"/>
                <w:bCs/>
                <w:sz w:val="24"/>
              </w:rPr>
              <w:t>2、危险废物</w:t>
            </w:r>
          </w:p>
          <w:p w14:paraId="0ADCAB0E">
            <w:pPr>
              <w:spacing w:line="360" w:lineRule="auto"/>
              <w:ind w:firstLine="480"/>
              <w:jc w:val="left"/>
              <w:rPr>
                <w:sz w:val="24"/>
              </w:rPr>
            </w:pPr>
            <w:r>
              <w:rPr>
                <w:rFonts w:hint="eastAsia"/>
                <w:sz w:val="24"/>
                <w:szCs w:val="24"/>
              </w:rPr>
              <w:t>本项目危险废物主要包括</w:t>
            </w:r>
            <w:r>
              <w:rPr>
                <w:sz w:val="24"/>
                <w:szCs w:val="24"/>
              </w:rPr>
              <w:t>漆渣、废</w:t>
            </w:r>
            <w:r>
              <w:rPr>
                <w:rFonts w:hint="eastAsia"/>
                <w:sz w:val="24"/>
                <w:szCs w:val="24"/>
              </w:rPr>
              <w:t>包装桶（油漆桶、稀料桶、环氧树脂胶桶等）、</w:t>
            </w:r>
            <w:r>
              <w:rPr>
                <w:sz w:val="24"/>
                <w:szCs w:val="24"/>
              </w:rPr>
              <w:t>废过滤材料、废催化剂</w:t>
            </w:r>
            <w:r>
              <w:rPr>
                <w:rFonts w:hint="eastAsia"/>
                <w:sz w:val="24"/>
                <w:szCs w:val="24"/>
              </w:rPr>
              <w:t>、</w:t>
            </w:r>
            <w:r>
              <w:rPr>
                <w:rFonts w:hint="eastAsia" w:eastAsia="新宋体"/>
                <w:sz w:val="24"/>
                <w:szCs w:val="24"/>
              </w:rPr>
              <w:t>水喷淋装置</w:t>
            </w:r>
            <w:r>
              <w:rPr>
                <w:rFonts w:hint="eastAsia"/>
                <w:sz w:val="24"/>
                <w:szCs w:val="24"/>
              </w:rPr>
              <w:t>废液。</w:t>
            </w:r>
          </w:p>
          <w:p w14:paraId="6F95528E">
            <w:pPr>
              <w:spacing w:line="360" w:lineRule="auto"/>
              <w:ind w:firstLine="480" w:firstLineChars="200"/>
              <w:rPr>
                <w:sz w:val="24"/>
                <w:szCs w:val="24"/>
              </w:rPr>
            </w:pPr>
            <w:r>
              <w:rPr>
                <w:sz w:val="24"/>
                <w:szCs w:val="24"/>
              </w:rPr>
              <w:t>①漆渣：喷漆过程油漆固形物在产品表面附着率为60%，形成漆渣约5%，形成漆雾量约为35%。本项目喷漆室油漆用量约为</w:t>
            </w:r>
            <w:r>
              <w:rPr>
                <w:rFonts w:hint="eastAsia"/>
                <w:sz w:val="24"/>
                <w:szCs w:val="24"/>
              </w:rPr>
              <w:t>1</w:t>
            </w:r>
            <w:r>
              <w:rPr>
                <w:sz w:val="24"/>
                <w:szCs w:val="24"/>
              </w:rPr>
              <w:t>t/a，油漆固形物约</w:t>
            </w:r>
            <w:r>
              <w:rPr>
                <w:rFonts w:hint="eastAsia"/>
                <w:sz w:val="24"/>
                <w:szCs w:val="24"/>
              </w:rPr>
              <w:t>0.75</w:t>
            </w:r>
            <w:r>
              <w:rPr>
                <w:sz w:val="24"/>
                <w:szCs w:val="24"/>
              </w:rPr>
              <w:t>t/a，经计算，漆渣产生量约为</w:t>
            </w:r>
            <w:r>
              <w:rPr>
                <w:rFonts w:hint="eastAsia"/>
                <w:sz w:val="24"/>
                <w:szCs w:val="24"/>
              </w:rPr>
              <w:t>0.04</w:t>
            </w:r>
            <w:r>
              <w:rPr>
                <w:sz w:val="24"/>
                <w:szCs w:val="24"/>
              </w:rPr>
              <w:t>t/a，漆雾产生量约为</w:t>
            </w:r>
            <w:r>
              <w:rPr>
                <w:rFonts w:hint="eastAsia"/>
                <w:sz w:val="24"/>
                <w:szCs w:val="24"/>
              </w:rPr>
              <w:t>0.26</w:t>
            </w:r>
            <w:r>
              <w:rPr>
                <w:sz w:val="24"/>
                <w:szCs w:val="24"/>
              </w:rPr>
              <w:t>t/a。</w:t>
            </w:r>
            <w:r>
              <w:rPr>
                <w:rFonts w:hint="eastAsia"/>
                <w:sz w:val="24"/>
                <w:szCs w:val="24"/>
              </w:rPr>
              <w:t>水喷淋装置</w:t>
            </w:r>
            <w:r>
              <w:rPr>
                <w:sz w:val="24"/>
                <w:szCs w:val="24"/>
                <w:lang w:val="zh-CN"/>
              </w:rPr>
              <w:t>对漆雾的处理效率约为</w:t>
            </w:r>
            <w:r>
              <w:rPr>
                <w:sz w:val="24"/>
                <w:szCs w:val="24"/>
              </w:rPr>
              <w:t>80%，则</w:t>
            </w:r>
            <w:r>
              <w:rPr>
                <w:rFonts w:hint="eastAsia"/>
                <w:sz w:val="24"/>
                <w:szCs w:val="24"/>
              </w:rPr>
              <w:t>水喷淋装置</w:t>
            </w:r>
            <w:r>
              <w:rPr>
                <w:sz w:val="24"/>
                <w:szCs w:val="24"/>
              </w:rPr>
              <w:t>漆雾去除量约为0.</w:t>
            </w:r>
            <w:r>
              <w:rPr>
                <w:rFonts w:hint="eastAsia"/>
                <w:sz w:val="24"/>
                <w:szCs w:val="24"/>
              </w:rPr>
              <w:t>21</w:t>
            </w:r>
            <w:r>
              <w:rPr>
                <w:sz w:val="24"/>
                <w:szCs w:val="24"/>
              </w:rPr>
              <w:t>t/a。本项目漆渣产生量合计约为</w:t>
            </w:r>
            <w:r>
              <w:rPr>
                <w:rFonts w:hint="eastAsia"/>
                <w:sz w:val="24"/>
                <w:szCs w:val="24"/>
              </w:rPr>
              <w:t>0.25</w:t>
            </w:r>
            <w:r>
              <w:rPr>
                <w:sz w:val="24"/>
                <w:szCs w:val="24"/>
              </w:rPr>
              <w:t>t/a。漆渣属于《国家危险废物名录》（2021版）中的 “HW12染料、涂料废物”，废物代码900-252-12，危险特性为T、I，由具有危险废物处置资质的单位进行回收处置。</w:t>
            </w:r>
          </w:p>
          <w:p w14:paraId="68661048">
            <w:pPr>
              <w:spacing w:line="360" w:lineRule="auto"/>
              <w:ind w:firstLine="480" w:firstLineChars="200"/>
              <w:rPr>
                <w:sz w:val="24"/>
                <w:szCs w:val="24"/>
              </w:rPr>
            </w:pPr>
            <w:r>
              <w:rPr>
                <w:sz w:val="24"/>
                <w:szCs w:val="24"/>
              </w:rPr>
              <w:t>②废</w:t>
            </w:r>
            <w:r>
              <w:rPr>
                <w:rFonts w:hint="eastAsia"/>
                <w:sz w:val="24"/>
                <w:szCs w:val="24"/>
              </w:rPr>
              <w:t>包装</w:t>
            </w:r>
            <w:r>
              <w:rPr>
                <w:sz w:val="24"/>
                <w:szCs w:val="24"/>
              </w:rPr>
              <w:t>桶：主要为</w:t>
            </w:r>
            <w:r>
              <w:rPr>
                <w:rFonts w:hint="eastAsia"/>
                <w:sz w:val="24"/>
                <w:szCs w:val="24"/>
              </w:rPr>
              <w:t>油漆、稀料、环氧树脂胶</w:t>
            </w:r>
            <w:r>
              <w:rPr>
                <w:sz w:val="24"/>
                <w:szCs w:val="24"/>
              </w:rPr>
              <w:t>，属于《国家危险废物名录》（2021版）中HW49其他废物，废物代码900-041-49，危险特性为T/In，年产生量约为</w:t>
            </w:r>
            <w:r>
              <w:rPr>
                <w:rFonts w:hint="eastAsia"/>
                <w:sz w:val="24"/>
                <w:szCs w:val="24"/>
              </w:rPr>
              <w:t>130</w:t>
            </w:r>
            <w:r>
              <w:rPr>
                <w:sz w:val="24"/>
                <w:szCs w:val="24"/>
              </w:rPr>
              <w:t>个/a，由具有危险废物处置资质的单位进行回收处置。</w:t>
            </w:r>
          </w:p>
          <w:p w14:paraId="08145B97">
            <w:pPr>
              <w:spacing w:line="360" w:lineRule="auto"/>
              <w:ind w:firstLine="480" w:firstLineChars="200"/>
              <w:rPr>
                <w:sz w:val="24"/>
                <w:szCs w:val="24"/>
              </w:rPr>
            </w:pPr>
            <w:r>
              <w:rPr>
                <w:sz w:val="24"/>
                <w:szCs w:val="24"/>
              </w:rPr>
              <w:t>③废过滤材料：是废气处理装置内置的过滤吸附材料，指废过滤棉、废活性炭等，属于《国家危险废物名录》（2021版）中“HW49 其他废物”，废物代码900-041-49，危险特性为T/In。根据环保设备厂家提供资料，催化燃烧废气处理装置内置活性炭量约为</w:t>
            </w:r>
            <w:r>
              <w:rPr>
                <w:rFonts w:hint="eastAsia"/>
                <w:sz w:val="24"/>
                <w:szCs w:val="24"/>
              </w:rPr>
              <w:t>0.8</w:t>
            </w:r>
            <w:r>
              <w:rPr>
                <w:sz w:val="24"/>
                <w:szCs w:val="24"/>
              </w:rPr>
              <w:t>t（约</w:t>
            </w:r>
            <w:r>
              <w:rPr>
                <w:rFonts w:hint="eastAsia"/>
                <w:sz w:val="24"/>
                <w:szCs w:val="24"/>
              </w:rPr>
              <w:t>4</w:t>
            </w:r>
            <w:r>
              <w:rPr>
                <w:sz w:val="24"/>
                <w:szCs w:val="24"/>
              </w:rPr>
              <w:t>m</w:t>
            </w:r>
            <w:r>
              <w:rPr>
                <w:sz w:val="24"/>
                <w:szCs w:val="24"/>
                <w:vertAlign w:val="superscript"/>
              </w:rPr>
              <w:t>3</w:t>
            </w:r>
            <w:r>
              <w:rPr>
                <w:sz w:val="24"/>
                <w:szCs w:val="24"/>
              </w:rPr>
              <w:t>），活性炭的寿命约为6000-8000h，根据项目喷漆时间，约每3年更换一次，为保险起见，按每2年更换一次计，则废活性炭平均年产生量为</w:t>
            </w:r>
            <w:r>
              <w:rPr>
                <w:rFonts w:hint="eastAsia"/>
                <w:sz w:val="24"/>
                <w:szCs w:val="24"/>
              </w:rPr>
              <w:t>0.4</w:t>
            </w:r>
            <w:r>
              <w:rPr>
                <w:sz w:val="24"/>
                <w:szCs w:val="24"/>
              </w:rPr>
              <w:t>t/a；催化燃烧废气处理装置内置过滤棉用量约为0.0</w:t>
            </w:r>
            <w:r>
              <w:rPr>
                <w:rFonts w:hint="eastAsia"/>
                <w:sz w:val="24"/>
                <w:szCs w:val="24"/>
              </w:rPr>
              <w:t>2</w:t>
            </w:r>
            <w:r>
              <w:rPr>
                <w:sz w:val="24"/>
                <w:szCs w:val="24"/>
              </w:rPr>
              <w:t>t，根据网上查阅资料，过滤棉使用量按照每吨过滤棉吸附14.2吨漆雾计算，吸附的漆雾量约为</w:t>
            </w:r>
            <w:r>
              <w:rPr>
                <w:rFonts w:hint="eastAsia"/>
                <w:sz w:val="24"/>
                <w:szCs w:val="24"/>
              </w:rPr>
              <w:t>0.05</w:t>
            </w:r>
            <w:r>
              <w:rPr>
                <w:sz w:val="24"/>
                <w:szCs w:val="24"/>
              </w:rPr>
              <w:t>t/a，则需过滤棉量约为0.0</w:t>
            </w:r>
            <w:r>
              <w:rPr>
                <w:rFonts w:hint="eastAsia"/>
                <w:sz w:val="24"/>
                <w:szCs w:val="24"/>
              </w:rPr>
              <w:t>04</w:t>
            </w:r>
            <w:r>
              <w:rPr>
                <w:sz w:val="24"/>
                <w:szCs w:val="24"/>
              </w:rPr>
              <w:t>t/a</w:t>
            </w:r>
            <w:r>
              <w:rPr>
                <w:rFonts w:hint="eastAsia"/>
                <w:sz w:val="24"/>
                <w:szCs w:val="24"/>
              </w:rPr>
              <w:t>&lt;0.02t</w:t>
            </w:r>
            <w:r>
              <w:rPr>
                <w:sz w:val="24"/>
                <w:szCs w:val="24"/>
              </w:rPr>
              <w:t>。为保证吸附处理效率，本项目每年更换一次过滤棉，则废过滤棉年产生量约为</w:t>
            </w:r>
            <w:r>
              <w:rPr>
                <w:rFonts w:hint="eastAsia"/>
                <w:sz w:val="24"/>
                <w:szCs w:val="24"/>
              </w:rPr>
              <w:t>0.07</w:t>
            </w:r>
            <w:r>
              <w:rPr>
                <w:sz w:val="24"/>
                <w:szCs w:val="24"/>
              </w:rPr>
              <w:t>t/a</w:t>
            </w:r>
            <w:r>
              <w:rPr>
                <w:rFonts w:hint="eastAsia"/>
                <w:sz w:val="24"/>
                <w:szCs w:val="24"/>
              </w:rPr>
              <w:t>（含漆雾）</w:t>
            </w:r>
            <w:r>
              <w:rPr>
                <w:sz w:val="24"/>
                <w:szCs w:val="24"/>
              </w:rPr>
              <w:t>。综上，项目废过滤材料合计产生量0.</w:t>
            </w:r>
            <w:r>
              <w:rPr>
                <w:rFonts w:hint="eastAsia"/>
                <w:sz w:val="24"/>
                <w:szCs w:val="24"/>
              </w:rPr>
              <w:t>47</w:t>
            </w:r>
            <w:r>
              <w:rPr>
                <w:sz w:val="24"/>
                <w:szCs w:val="24"/>
              </w:rPr>
              <w:t>t/a，由具有危险废物处置资质的单位进行回收处置</w:t>
            </w:r>
            <w:r>
              <w:rPr>
                <w:bCs/>
                <w:color w:val="000000"/>
                <w:sz w:val="24"/>
                <w:szCs w:val="24"/>
              </w:rPr>
              <w:t>。</w:t>
            </w:r>
          </w:p>
          <w:p w14:paraId="7CF2BCA0">
            <w:pPr>
              <w:spacing w:line="360" w:lineRule="auto"/>
              <w:ind w:firstLine="480"/>
              <w:jc w:val="left"/>
              <w:rPr>
                <w:color w:val="auto"/>
                <w:sz w:val="24"/>
              </w:rPr>
            </w:pPr>
            <w:r>
              <w:rPr>
                <w:sz w:val="24"/>
                <w:szCs w:val="24"/>
              </w:rPr>
              <w:t>④废催化剂：催化氧化装置使用的贵金属催化剂，约每3年更换一次，一次更换量约为0.0</w:t>
            </w:r>
            <w:r>
              <w:rPr>
                <w:rFonts w:hint="eastAsia"/>
                <w:sz w:val="24"/>
                <w:szCs w:val="24"/>
              </w:rPr>
              <w:t>06</w:t>
            </w:r>
            <w:r>
              <w:rPr>
                <w:sz w:val="24"/>
                <w:szCs w:val="24"/>
              </w:rPr>
              <w:t>t，则废催化剂年产生量约为0.002t/a</w:t>
            </w:r>
            <w:r>
              <w:rPr>
                <w:rFonts w:hint="eastAsia"/>
                <w:sz w:val="24"/>
                <w:szCs w:val="24"/>
              </w:rPr>
              <w:t>。</w:t>
            </w:r>
            <w:r>
              <w:rPr>
                <w:sz w:val="24"/>
                <w:szCs w:val="24"/>
              </w:rPr>
              <w:t>根据</w:t>
            </w:r>
            <w:r>
              <w:rPr>
                <w:kern w:val="0"/>
                <w:sz w:val="24"/>
                <w:szCs w:val="24"/>
              </w:rPr>
              <w:t>《国家危险废物名录》</w:t>
            </w:r>
            <w:r>
              <w:rPr>
                <w:sz w:val="24"/>
                <w:szCs w:val="24"/>
              </w:rPr>
              <w:t>（2021版）</w:t>
            </w:r>
            <w:r>
              <w:rPr>
                <w:kern w:val="0"/>
                <w:sz w:val="24"/>
                <w:szCs w:val="24"/>
              </w:rPr>
              <w:t>，</w:t>
            </w:r>
            <w:r>
              <w:rPr>
                <w:sz w:val="24"/>
                <w:szCs w:val="24"/>
              </w:rPr>
              <w:t>催化氧化装置产生贵金属的废催化剂没有直接对应的危险废物类别，本项目根据环境治理环节产生及含有贵金属的特性，</w:t>
            </w:r>
            <w:r>
              <w:rPr>
                <w:rFonts w:hint="eastAsia"/>
                <w:kern w:val="0"/>
                <w:sz w:val="24"/>
                <w:szCs w:val="24"/>
              </w:rPr>
              <w:t>废物类别定为</w:t>
            </w:r>
            <w:r>
              <w:rPr>
                <w:sz w:val="24"/>
                <w:szCs w:val="24"/>
              </w:rPr>
              <w:t>HW</w:t>
            </w:r>
            <w:r>
              <w:rPr>
                <w:rFonts w:hint="eastAsia"/>
                <w:sz w:val="24"/>
                <w:szCs w:val="24"/>
              </w:rPr>
              <w:t>50废催化剂</w:t>
            </w:r>
            <w:r>
              <w:rPr>
                <w:sz w:val="24"/>
                <w:szCs w:val="24"/>
              </w:rPr>
              <w:t>，废物代码</w:t>
            </w:r>
            <w:r>
              <w:rPr>
                <w:rFonts w:hint="eastAsia"/>
                <w:sz w:val="24"/>
                <w:szCs w:val="24"/>
              </w:rPr>
              <w:t>定为</w:t>
            </w:r>
            <w:r>
              <w:rPr>
                <w:sz w:val="24"/>
                <w:szCs w:val="24"/>
              </w:rPr>
              <w:t>9</w:t>
            </w:r>
            <w:r>
              <w:rPr>
                <w:rFonts w:hint="eastAsia"/>
                <w:sz w:val="24"/>
                <w:szCs w:val="24"/>
              </w:rPr>
              <w:t>772-007-50</w:t>
            </w:r>
            <w:r>
              <w:rPr>
                <w:kern w:val="0"/>
                <w:sz w:val="24"/>
                <w:szCs w:val="24"/>
              </w:rPr>
              <w:t>烟气</w:t>
            </w:r>
            <w:r>
              <w:rPr>
                <w:color w:val="auto"/>
                <w:kern w:val="0"/>
                <w:sz w:val="24"/>
                <w:szCs w:val="24"/>
              </w:rPr>
              <w:t>脱硝过程中产生的废钒钛系催化剂</w:t>
            </w:r>
            <w:r>
              <w:rPr>
                <w:color w:val="auto"/>
                <w:sz w:val="24"/>
                <w:szCs w:val="24"/>
              </w:rPr>
              <w:t>，危险特性为T</w:t>
            </w:r>
            <w:r>
              <w:rPr>
                <w:rFonts w:hint="eastAsia"/>
                <w:color w:val="auto"/>
                <w:sz w:val="24"/>
                <w:szCs w:val="24"/>
              </w:rPr>
              <w:t>。</w:t>
            </w:r>
            <w:r>
              <w:rPr>
                <w:color w:val="auto"/>
                <w:sz w:val="24"/>
                <w:szCs w:val="24"/>
              </w:rPr>
              <w:t>委托有危险废物处置资质的单位进行回收处置。</w:t>
            </w:r>
          </w:p>
          <w:p w14:paraId="059490F4">
            <w:pPr>
              <w:spacing w:line="360" w:lineRule="auto"/>
              <w:ind w:firstLine="480"/>
              <w:jc w:val="left"/>
              <w:rPr>
                <w:sz w:val="24"/>
              </w:rPr>
            </w:pPr>
            <w:r>
              <w:rPr>
                <w:color w:val="auto"/>
                <w:sz w:val="24"/>
                <w:szCs w:val="24"/>
              </w:rPr>
              <w:t>⑤</w:t>
            </w:r>
            <w:r>
              <w:rPr>
                <w:rFonts w:hint="eastAsia"/>
                <w:color w:val="auto"/>
                <w:sz w:val="24"/>
                <w:szCs w:val="24"/>
              </w:rPr>
              <w:t>水喷淋装置</w:t>
            </w:r>
            <w:r>
              <w:rPr>
                <w:color w:val="auto"/>
                <w:sz w:val="24"/>
                <w:szCs w:val="24"/>
              </w:rPr>
              <w:t>废液：项目运营期间</w:t>
            </w:r>
            <w:r>
              <w:rPr>
                <w:rFonts w:hint="eastAsia"/>
                <w:color w:val="auto"/>
                <w:sz w:val="24"/>
                <w:szCs w:val="24"/>
                <w:lang w:eastAsia="zh-CN"/>
              </w:rPr>
              <w:t>喷漆工序</w:t>
            </w:r>
            <w:r>
              <w:rPr>
                <w:rFonts w:hint="eastAsia"/>
                <w:color w:val="auto"/>
                <w:sz w:val="24"/>
                <w:lang w:eastAsia="zh-CN"/>
              </w:rPr>
              <w:t>使用</w:t>
            </w:r>
            <w:r>
              <w:rPr>
                <w:rFonts w:eastAsia="新宋体"/>
                <w:color w:val="auto"/>
                <w:sz w:val="24"/>
                <w:szCs w:val="24"/>
              </w:rPr>
              <w:t>水喷淋装置</w:t>
            </w:r>
            <w:r>
              <w:rPr>
                <w:rFonts w:hint="eastAsia" w:eastAsia="新宋体"/>
                <w:color w:val="auto"/>
                <w:sz w:val="24"/>
                <w:szCs w:val="24"/>
                <w:lang w:eastAsia="zh-CN"/>
              </w:rPr>
              <w:t>除漆雾，产生的</w:t>
            </w:r>
            <w:r>
              <w:rPr>
                <w:color w:val="auto"/>
                <w:sz w:val="24"/>
                <w:szCs w:val="24"/>
              </w:rPr>
              <w:t>废水经沉淀分离漆渣后循环使用，</w:t>
            </w:r>
            <w:r>
              <w:rPr>
                <w:rFonts w:hint="eastAsia"/>
                <w:color w:val="auto"/>
                <w:sz w:val="24"/>
                <w:szCs w:val="24"/>
              </w:rPr>
              <w:t>定期补充</w:t>
            </w:r>
            <w:r>
              <w:rPr>
                <w:color w:val="auto"/>
                <w:sz w:val="24"/>
                <w:szCs w:val="24"/>
              </w:rPr>
              <w:t>，</w:t>
            </w:r>
            <w:r>
              <w:rPr>
                <w:rFonts w:hint="eastAsia"/>
                <w:color w:val="auto"/>
                <w:sz w:val="24"/>
                <w:szCs w:val="24"/>
              </w:rPr>
              <w:t>产生少量废液</w:t>
            </w:r>
            <w:r>
              <w:rPr>
                <w:rFonts w:hint="eastAsia"/>
                <w:color w:val="auto"/>
                <w:sz w:val="24"/>
                <w:szCs w:val="24"/>
                <w:lang w:eastAsia="zh-CN"/>
              </w:rPr>
              <w:t>，产生量为</w:t>
            </w:r>
            <w:r>
              <w:rPr>
                <w:rFonts w:hint="eastAsia"/>
                <w:color w:val="auto"/>
                <w:sz w:val="24"/>
                <w:szCs w:val="24"/>
                <w:lang w:val="en-US" w:eastAsia="zh-CN"/>
              </w:rPr>
              <w:t>2t/a，</w:t>
            </w:r>
            <w:r>
              <w:rPr>
                <w:rFonts w:hint="eastAsia"/>
                <w:color w:val="auto"/>
                <w:sz w:val="24"/>
                <w:szCs w:val="24"/>
              </w:rPr>
              <w:t>委托有危废处置资质的单位处置</w:t>
            </w:r>
            <w:r>
              <w:rPr>
                <w:color w:val="auto"/>
                <w:sz w:val="24"/>
                <w:szCs w:val="24"/>
              </w:rPr>
              <w:t>；主要为</w:t>
            </w:r>
            <w:r>
              <w:rPr>
                <w:rFonts w:hint="eastAsia"/>
                <w:color w:val="auto"/>
                <w:sz w:val="24"/>
                <w:szCs w:val="24"/>
              </w:rPr>
              <w:t>水喷淋装置</w:t>
            </w:r>
            <w:r>
              <w:rPr>
                <w:color w:val="auto"/>
                <w:sz w:val="24"/>
                <w:szCs w:val="24"/>
              </w:rPr>
              <w:t>定期更换的废液，属于《国家危险废物名录》（2021版）中的 “HW12染料、涂料废物”，废物代码900-25</w:t>
            </w:r>
            <w:r>
              <w:rPr>
                <w:sz w:val="24"/>
                <w:szCs w:val="24"/>
              </w:rPr>
              <w:t>2-12，危险特性为T、I，年产生量约为</w:t>
            </w:r>
            <w:r>
              <w:rPr>
                <w:rFonts w:hint="eastAsia"/>
                <w:sz w:val="24"/>
                <w:szCs w:val="24"/>
              </w:rPr>
              <w:t>2</w:t>
            </w:r>
            <w:r>
              <w:rPr>
                <w:sz w:val="24"/>
                <w:szCs w:val="24"/>
              </w:rPr>
              <w:t>t/a，由具有危险废物处置资质的单位进行回收处置</w:t>
            </w:r>
            <w:r>
              <w:rPr>
                <w:rFonts w:hint="eastAsia"/>
                <w:sz w:val="24"/>
                <w:szCs w:val="24"/>
              </w:rPr>
              <w:t>。</w:t>
            </w:r>
          </w:p>
          <w:p w14:paraId="5952C15D">
            <w:pPr>
              <w:spacing w:line="360" w:lineRule="auto"/>
              <w:ind w:firstLine="480" w:firstLineChars="200"/>
              <w:rPr>
                <w:sz w:val="24"/>
                <w:szCs w:val="24"/>
              </w:rPr>
            </w:pPr>
            <w:r>
              <w:rPr>
                <w:sz w:val="24"/>
                <w:szCs w:val="24"/>
              </w:rPr>
              <w:t>项目危险废物汇总表见下表。</w:t>
            </w:r>
          </w:p>
          <w:p w14:paraId="03D423A7">
            <w:pPr>
              <w:jc w:val="center"/>
              <w:rPr>
                <w:b/>
                <w:bCs/>
                <w:sz w:val="24"/>
                <w:szCs w:val="24"/>
              </w:rPr>
            </w:pPr>
            <w:r>
              <w:rPr>
                <w:b/>
                <w:bCs/>
                <w:sz w:val="24"/>
                <w:szCs w:val="24"/>
              </w:rPr>
              <w:t>表7-</w:t>
            </w:r>
            <w:r>
              <w:rPr>
                <w:rFonts w:hint="eastAsia"/>
                <w:b/>
                <w:bCs/>
                <w:sz w:val="24"/>
                <w:szCs w:val="24"/>
              </w:rPr>
              <w:t>14</w:t>
            </w:r>
            <w:r>
              <w:rPr>
                <w:b/>
                <w:bCs/>
                <w:sz w:val="24"/>
                <w:szCs w:val="24"/>
              </w:rPr>
              <w:t xml:space="preserve"> 项目危险废物汇总表</w:t>
            </w:r>
          </w:p>
          <w:tbl>
            <w:tblPr>
              <w:tblStyle w:val="27"/>
              <w:tblW w:w="909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8"/>
              <w:gridCol w:w="792"/>
              <w:gridCol w:w="894"/>
              <w:gridCol w:w="1110"/>
              <w:gridCol w:w="850"/>
              <w:gridCol w:w="980"/>
              <w:gridCol w:w="536"/>
              <w:gridCol w:w="702"/>
              <w:gridCol w:w="688"/>
              <w:gridCol w:w="600"/>
              <w:gridCol w:w="611"/>
              <w:gridCol w:w="891"/>
            </w:tblGrid>
            <w:tr w14:paraId="240BE52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438" w:type="dxa"/>
                  <w:tcBorders>
                    <w:tl2br w:val="nil"/>
                    <w:tr2bl w:val="nil"/>
                  </w:tcBorders>
                  <w:vAlign w:val="center"/>
                </w:tcPr>
                <w:p w14:paraId="72F6FD2C">
                  <w:pPr>
                    <w:topLinePunct/>
                    <w:adjustRightInd w:val="0"/>
                    <w:snapToGrid w:val="0"/>
                    <w:spacing w:line="240" w:lineRule="exact"/>
                    <w:jc w:val="center"/>
                    <w:rPr>
                      <w:kern w:val="0"/>
                      <w:sz w:val="18"/>
                      <w:szCs w:val="18"/>
                    </w:rPr>
                  </w:pPr>
                  <w:r>
                    <w:rPr>
                      <w:kern w:val="0"/>
                      <w:sz w:val="18"/>
                      <w:szCs w:val="18"/>
                    </w:rPr>
                    <w:t>序号</w:t>
                  </w:r>
                </w:p>
              </w:tc>
              <w:tc>
                <w:tcPr>
                  <w:tcW w:w="792" w:type="dxa"/>
                  <w:tcBorders>
                    <w:tl2br w:val="nil"/>
                    <w:tr2bl w:val="nil"/>
                  </w:tcBorders>
                  <w:vAlign w:val="center"/>
                </w:tcPr>
                <w:p w14:paraId="59A58AF4">
                  <w:pPr>
                    <w:topLinePunct/>
                    <w:adjustRightInd w:val="0"/>
                    <w:snapToGrid w:val="0"/>
                    <w:spacing w:line="240" w:lineRule="exact"/>
                    <w:jc w:val="center"/>
                    <w:rPr>
                      <w:kern w:val="0"/>
                      <w:sz w:val="18"/>
                      <w:szCs w:val="18"/>
                    </w:rPr>
                  </w:pPr>
                  <w:r>
                    <w:rPr>
                      <w:kern w:val="0"/>
                      <w:sz w:val="18"/>
                      <w:szCs w:val="18"/>
                    </w:rPr>
                    <w:t>危险废物名称</w:t>
                  </w:r>
                </w:p>
              </w:tc>
              <w:tc>
                <w:tcPr>
                  <w:tcW w:w="894" w:type="dxa"/>
                  <w:tcBorders>
                    <w:tl2br w:val="nil"/>
                    <w:tr2bl w:val="nil"/>
                  </w:tcBorders>
                  <w:vAlign w:val="center"/>
                </w:tcPr>
                <w:p w14:paraId="0A113E81">
                  <w:pPr>
                    <w:topLinePunct/>
                    <w:adjustRightInd w:val="0"/>
                    <w:snapToGrid w:val="0"/>
                    <w:spacing w:line="240" w:lineRule="exact"/>
                    <w:jc w:val="center"/>
                    <w:rPr>
                      <w:kern w:val="0"/>
                      <w:sz w:val="18"/>
                      <w:szCs w:val="18"/>
                    </w:rPr>
                  </w:pPr>
                  <w:r>
                    <w:rPr>
                      <w:kern w:val="0"/>
                      <w:sz w:val="18"/>
                      <w:szCs w:val="18"/>
                    </w:rPr>
                    <w:t>危险废物类别</w:t>
                  </w:r>
                </w:p>
              </w:tc>
              <w:tc>
                <w:tcPr>
                  <w:tcW w:w="1110" w:type="dxa"/>
                  <w:tcBorders>
                    <w:tl2br w:val="nil"/>
                    <w:tr2bl w:val="nil"/>
                  </w:tcBorders>
                  <w:vAlign w:val="center"/>
                </w:tcPr>
                <w:p w14:paraId="380A6EA2">
                  <w:pPr>
                    <w:topLinePunct/>
                    <w:adjustRightInd w:val="0"/>
                    <w:snapToGrid w:val="0"/>
                    <w:spacing w:line="240" w:lineRule="exact"/>
                    <w:jc w:val="center"/>
                    <w:rPr>
                      <w:kern w:val="0"/>
                      <w:sz w:val="18"/>
                      <w:szCs w:val="18"/>
                    </w:rPr>
                  </w:pPr>
                  <w:r>
                    <w:rPr>
                      <w:kern w:val="0"/>
                      <w:sz w:val="18"/>
                      <w:szCs w:val="18"/>
                    </w:rPr>
                    <w:t>危险废物代码</w:t>
                  </w:r>
                </w:p>
              </w:tc>
              <w:tc>
                <w:tcPr>
                  <w:tcW w:w="850" w:type="dxa"/>
                  <w:tcBorders>
                    <w:tl2br w:val="nil"/>
                    <w:tr2bl w:val="nil"/>
                  </w:tcBorders>
                  <w:vAlign w:val="center"/>
                </w:tcPr>
                <w:p w14:paraId="185C0D5A">
                  <w:pPr>
                    <w:topLinePunct/>
                    <w:adjustRightInd w:val="0"/>
                    <w:snapToGrid w:val="0"/>
                    <w:spacing w:line="240" w:lineRule="exact"/>
                    <w:jc w:val="center"/>
                    <w:rPr>
                      <w:kern w:val="0"/>
                      <w:sz w:val="18"/>
                      <w:szCs w:val="18"/>
                    </w:rPr>
                  </w:pPr>
                  <w:r>
                    <w:rPr>
                      <w:kern w:val="0"/>
                      <w:sz w:val="18"/>
                      <w:szCs w:val="18"/>
                    </w:rPr>
                    <w:t>产生量</w:t>
                  </w:r>
                </w:p>
              </w:tc>
              <w:tc>
                <w:tcPr>
                  <w:tcW w:w="980" w:type="dxa"/>
                  <w:tcBorders>
                    <w:tl2br w:val="nil"/>
                    <w:tr2bl w:val="nil"/>
                  </w:tcBorders>
                  <w:vAlign w:val="center"/>
                </w:tcPr>
                <w:p w14:paraId="5A24215B">
                  <w:pPr>
                    <w:topLinePunct/>
                    <w:adjustRightInd w:val="0"/>
                    <w:snapToGrid w:val="0"/>
                    <w:spacing w:line="240" w:lineRule="exact"/>
                    <w:jc w:val="center"/>
                    <w:rPr>
                      <w:kern w:val="0"/>
                      <w:sz w:val="18"/>
                      <w:szCs w:val="18"/>
                    </w:rPr>
                  </w:pPr>
                  <w:r>
                    <w:rPr>
                      <w:kern w:val="0"/>
                      <w:sz w:val="18"/>
                      <w:szCs w:val="18"/>
                    </w:rPr>
                    <w:t>产生工序及装置</w:t>
                  </w:r>
                </w:p>
              </w:tc>
              <w:tc>
                <w:tcPr>
                  <w:tcW w:w="536" w:type="dxa"/>
                  <w:tcBorders>
                    <w:tl2br w:val="nil"/>
                    <w:tr2bl w:val="nil"/>
                  </w:tcBorders>
                  <w:vAlign w:val="center"/>
                </w:tcPr>
                <w:p w14:paraId="066066F4">
                  <w:pPr>
                    <w:topLinePunct/>
                    <w:adjustRightInd w:val="0"/>
                    <w:snapToGrid w:val="0"/>
                    <w:spacing w:line="240" w:lineRule="exact"/>
                    <w:jc w:val="center"/>
                    <w:rPr>
                      <w:kern w:val="0"/>
                      <w:sz w:val="18"/>
                      <w:szCs w:val="18"/>
                    </w:rPr>
                  </w:pPr>
                  <w:r>
                    <w:rPr>
                      <w:kern w:val="0"/>
                      <w:sz w:val="18"/>
                      <w:szCs w:val="18"/>
                    </w:rPr>
                    <w:t>形态</w:t>
                  </w:r>
                </w:p>
              </w:tc>
              <w:tc>
                <w:tcPr>
                  <w:tcW w:w="702" w:type="dxa"/>
                  <w:tcBorders>
                    <w:tl2br w:val="nil"/>
                    <w:tr2bl w:val="nil"/>
                  </w:tcBorders>
                  <w:vAlign w:val="center"/>
                </w:tcPr>
                <w:p w14:paraId="7BADADC1">
                  <w:pPr>
                    <w:topLinePunct/>
                    <w:adjustRightInd w:val="0"/>
                    <w:snapToGrid w:val="0"/>
                    <w:spacing w:line="240" w:lineRule="exact"/>
                    <w:jc w:val="center"/>
                    <w:rPr>
                      <w:kern w:val="0"/>
                      <w:sz w:val="18"/>
                      <w:szCs w:val="18"/>
                    </w:rPr>
                  </w:pPr>
                  <w:r>
                    <w:rPr>
                      <w:kern w:val="0"/>
                      <w:sz w:val="18"/>
                      <w:szCs w:val="18"/>
                    </w:rPr>
                    <w:t>主要成分</w:t>
                  </w:r>
                </w:p>
              </w:tc>
              <w:tc>
                <w:tcPr>
                  <w:tcW w:w="688" w:type="dxa"/>
                  <w:tcBorders>
                    <w:tl2br w:val="nil"/>
                    <w:tr2bl w:val="nil"/>
                  </w:tcBorders>
                  <w:vAlign w:val="center"/>
                </w:tcPr>
                <w:p w14:paraId="3E7B5477">
                  <w:pPr>
                    <w:topLinePunct/>
                    <w:adjustRightInd w:val="0"/>
                    <w:snapToGrid w:val="0"/>
                    <w:spacing w:line="240" w:lineRule="exact"/>
                    <w:jc w:val="center"/>
                    <w:rPr>
                      <w:kern w:val="0"/>
                      <w:sz w:val="18"/>
                      <w:szCs w:val="18"/>
                    </w:rPr>
                  </w:pPr>
                  <w:r>
                    <w:rPr>
                      <w:kern w:val="0"/>
                      <w:sz w:val="18"/>
                      <w:szCs w:val="18"/>
                    </w:rPr>
                    <w:t>有害成分</w:t>
                  </w:r>
                </w:p>
              </w:tc>
              <w:tc>
                <w:tcPr>
                  <w:tcW w:w="600" w:type="dxa"/>
                  <w:tcBorders>
                    <w:tl2br w:val="nil"/>
                    <w:tr2bl w:val="nil"/>
                  </w:tcBorders>
                  <w:vAlign w:val="center"/>
                </w:tcPr>
                <w:p w14:paraId="1799E724">
                  <w:pPr>
                    <w:topLinePunct/>
                    <w:adjustRightInd w:val="0"/>
                    <w:snapToGrid w:val="0"/>
                    <w:spacing w:line="240" w:lineRule="exact"/>
                    <w:jc w:val="center"/>
                    <w:rPr>
                      <w:kern w:val="0"/>
                      <w:sz w:val="18"/>
                      <w:szCs w:val="18"/>
                    </w:rPr>
                  </w:pPr>
                  <w:r>
                    <w:rPr>
                      <w:kern w:val="0"/>
                      <w:sz w:val="18"/>
                      <w:szCs w:val="18"/>
                    </w:rPr>
                    <w:t>产废周期</w:t>
                  </w:r>
                </w:p>
              </w:tc>
              <w:tc>
                <w:tcPr>
                  <w:tcW w:w="611" w:type="dxa"/>
                  <w:tcBorders>
                    <w:tl2br w:val="nil"/>
                    <w:tr2bl w:val="nil"/>
                  </w:tcBorders>
                  <w:vAlign w:val="center"/>
                </w:tcPr>
                <w:p w14:paraId="39D347F0">
                  <w:pPr>
                    <w:topLinePunct/>
                    <w:adjustRightInd w:val="0"/>
                    <w:snapToGrid w:val="0"/>
                    <w:spacing w:line="240" w:lineRule="exact"/>
                    <w:jc w:val="center"/>
                    <w:rPr>
                      <w:kern w:val="0"/>
                      <w:sz w:val="18"/>
                      <w:szCs w:val="18"/>
                    </w:rPr>
                  </w:pPr>
                  <w:r>
                    <w:rPr>
                      <w:kern w:val="0"/>
                      <w:sz w:val="18"/>
                      <w:szCs w:val="18"/>
                    </w:rPr>
                    <w:t>危险</w:t>
                  </w:r>
                </w:p>
                <w:p w14:paraId="7BE87C8A">
                  <w:pPr>
                    <w:topLinePunct/>
                    <w:adjustRightInd w:val="0"/>
                    <w:snapToGrid w:val="0"/>
                    <w:spacing w:line="240" w:lineRule="exact"/>
                    <w:jc w:val="center"/>
                    <w:rPr>
                      <w:kern w:val="0"/>
                      <w:sz w:val="18"/>
                      <w:szCs w:val="18"/>
                    </w:rPr>
                  </w:pPr>
                  <w:r>
                    <w:rPr>
                      <w:kern w:val="0"/>
                      <w:sz w:val="18"/>
                      <w:szCs w:val="18"/>
                    </w:rPr>
                    <w:t>特性</w:t>
                  </w:r>
                </w:p>
              </w:tc>
              <w:tc>
                <w:tcPr>
                  <w:tcW w:w="891" w:type="dxa"/>
                  <w:tcBorders>
                    <w:tl2br w:val="nil"/>
                    <w:tr2bl w:val="nil"/>
                  </w:tcBorders>
                  <w:vAlign w:val="center"/>
                </w:tcPr>
                <w:p w14:paraId="6BCFB104">
                  <w:pPr>
                    <w:topLinePunct/>
                    <w:adjustRightInd w:val="0"/>
                    <w:snapToGrid w:val="0"/>
                    <w:spacing w:line="240" w:lineRule="exact"/>
                    <w:jc w:val="center"/>
                    <w:rPr>
                      <w:kern w:val="0"/>
                      <w:sz w:val="18"/>
                      <w:szCs w:val="18"/>
                    </w:rPr>
                  </w:pPr>
                  <w:r>
                    <w:rPr>
                      <w:kern w:val="0"/>
                      <w:sz w:val="18"/>
                      <w:szCs w:val="18"/>
                    </w:rPr>
                    <w:t>污染防治措施</w:t>
                  </w:r>
                </w:p>
              </w:tc>
            </w:tr>
            <w:tr w14:paraId="1BB9AA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14:paraId="60CEC38C">
                  <w:pPr>
                    <w:topLinePunct/>
                    <w:adjustRightInd w:val="0"/>
                    <w:snapToGrid w:val="0"/>
                    <w:spacing w:line="240" w:lineRule="exact"/>
                    <w:jc w:val="center"/>
                    <w:rPr>
                      <w:kern w:val="0"/>
                      <w:sz w:val="18"/>
                      <w:szCs w:val="18"/>
                    </w:rPr>
                  </w:pPr>
                  <w:r>
                    <w:rPr>
                      <w:kern w:val="0"/>
                      <w:sz w:val="18"/>
                      <w:szCs w:val="18"/>
                    </w:rPr>
                    <w:t>1</w:t>
                  </w:r>
                </w:p>
              </w:tc>
              <w:tc>
                <w:tcPr>
                  <w:tcW w:w="792" w:type="dxa"/>
                  <w:tcBorders>
                    <w:tl2br w:val="nil"/>
                    <w:tr2bl w:val="nil"/>
                  </w:tcBorders>
                  <w:vAlign w:val="center"/>
                </w:tcPr>
                <w:p w14:paraId="78E79095">
                  <w:pPr>
                    <w:topLinePunct/>
                    <w:adjustRightInd w:val="0"/>
                    <w:snapToGrid w:val="0"/>
                    <w:spacing w:line="240" w:lineRule="exact"/>
                    <w:jc w:val="center"/>
                    <w:rPr>
                      <w:kern w:val="0"/>
                      <w:sz w:val="18"/>
                      <w:szCs w:val="18"/>
                    </w:rPr>
                  </w:pPr>
                  <w:r>
                    <w:rPr>
                      <w:sz w:val="18"/>
                      <w:szCs w:val="18"/>
                    </w:rPr>
                    <w:t>漆渣</w:t>
                  </w:r>
                </w:p>
              </w:tc>
              <w:tc>
                <w:tcPr>
                  <w:tcW w:w="894" w:type="dxa"/>
                  <w:tcBorders>
                    <w:tl2br w:val="nil"/>
                    <w:tr2bl w:val="nil"/>
                  </w:tcBorders>
                  <w:vAlign w:val="center"/>
                </w:tcPr>
                <w:p w14:paraId="263D8163">
                  <w:pPr>
                    <w:topLinePunct/>
                    <w:adjustRightInd w:val="0"/>
                    <w:snapToGrid w:val="0"/>
                    <w:spacing w:line="240" w:lineRule="exact"/>
                    <w:jc w:val="center"/>
                    <w:rPr>
                      <w:kern w:val="0"/>
                      <w:sz w:val="18"/>
                      <w:szCs w:val="18"/>
                    </w:rPr>
                  </w:pPr>
                  <w:r>
                    <w:rPr>
                      <w:sz w:val="18"/>
                      <w:szCs w:val="18"/>
                    </w:rPr>
                    <w:t>HW12</w:t>
                  </w:r>
                </w:p>
              </w:tc>
              <w:tc>
                <w:tcPr>
                  <w:tcW w:w="1110" w:type="dxa"/>
                  <w:tcBorders>
                    <w:tl2br w:val="nil"/>
                    <w:tr2bl w:val="nil"/>
                  </w:tcBorders>
                  <w:vAlign w:val="center"/>
                </w:tcPr>
                <w:p w14:paraId="0670EF4C">
                  <w:pPr>
                    <w:topLinePunct/>
                    <w:adjustRightInd w:val="0"/>
                    <w:snapToGrid w:val="0"/>
                    <w:spacing w:line="240" w:lineRule="exact"/>
                    <w:jc w:val="center"/>
                    <w:rPr>
                      <w:kern w:val="0"/>
                      <w:sz w:val="18"/>
                      <w:szCs w:val="18"/>
                    </w:rPr>
                  </w:pPr>
                  <w:r>
                    <w:rPr>
                      <w:sz w:val="18"/>
                      <w:szCs w:val="18"/>
                    </w:rPr>
                    <w:t>900-252-12</w:t>
                  </w:r>
                </w:p>
              </w:tc>
              <w:tc>
                <w:tcPr>
                  <w:tcW w:w="850" w:type="dxa"/>
                  <w:tcBorders>
                    <w:tl2br w:val="nil"/>
                    <w:tr2bl w:val="nil"/>
                  </w:tcBorders>
                  <w:vAlign w:val="center"/>
                </w:tcPr>
                <w:p w14:paraId="0525CC9F">
                  <w:pPr>
                    <w:topLinePunct/>
                    <w:adjustRightInd w:val="0"/>
                    <w:snapToGrid w:val="0"/>
                    <w:spacing w:line="240" w:lineRule="exact"/>
                    <w:jc w:val="center"/>
                    <w:rPr>
                      <w:kern w:val="0"/>
                      <w:sz w:val="18"/>
                      <w:szCs w:val="18"/>
                    </w:rPr>
                  </w:pPr>
                  <w:r>
                    <w:rPr>
                      <w:rFonts w:hint="eastAsia"/>
                      <w:kern w:val="0"/>
                      <w:sz w:val="18"/>
                      <w:szCs w:val="18"/>
                    </w:rPr>
                    <w:t>0.25</w:t>
                  </w:r>
                  <w:r>
                    <w:rPr>
                      <w:rFonts w:hint="eastAsia"/>
                      <w:sz w:val="18"/>
                      <w:szCs w:val="18"/>
                    </w:rPr>
                    <w:t>t/a</w:t>
                  </w:r>
                </w:p>
              </w:tc>
              <w:tc>
                <w:tcPr>
                  <w:tcW w:w="980" w:type="dxa"/>
                  <w:tcBorders>
                    <w:tl2br w:val="nil"/>
                    <w:tr2bl w:val="nil"/>
                  </w:tcBorders>
                  <w:vAlign w:val="center"/>
                </w:tcPr>
                <w:p w14:paraId="5FAA2F9A">
                  <w:pPr>
                    <w:topLinePunct/>
                    <w:adjustRightInd w:val="0"/>
                    <w:snapToGrid w:val="0"/>
                    <w:spacing w:line="240" w:lineRule="exact"/>
                    <w:jc w:val="center"/>
                    <w:rPr>
                      <w:kern w:val="0"/>
                      <w:sz w:val="18"/>
                      <w:szCs w:val="18"/>
                    </w:rPr>
                  </w:pPr>
                  <w:r>
                    <w:rPr>
                      <w:kern w:val="0"/>
                      <w:sz w:val="18"/>
                      <w:szCs w:val="18"/>
                    </w:rPr>
                    <w:t>喷漆</w:t>
                  </w:r>
                </w:p>
              </w:tc>
              <w:tc>
                <w:tcPr>
                  <w:tcW w:w="536" w:type="dxa"/>
                  <w:tcBorders>
                    <w:tl2br w:val="nil"/>
                    <w:tr2bl w:val="nil"/>
                  </w:tcBorders>
                  <w:vAlign w:val="center"/>
                </w:tcPr>
                <w:p w14:paraId="58D83931">
                  <w:pPr>
                    <w:topLinePunct/>
                    <w:adjustRightInd w:val="0"/>
                    <w:snapToGrid w:val="0"/>
                    <w:spacing w:line="240" w:lineRule="exact"/>
                    <w:jc w:val="center"/>
                    <w:rPr>
                      <w:kern w:val="0"/>
                      <w:sz w:val="18"/>
                      <w:szCs w:val="18"/>
                    </w:rPr>
                  </w:pPr>
                  <w:r>
                    <w:rPr>
                      <w:kern w:val="0"/>
                      <w:sz w:val="18"/>
                      <w:szCs w:val="18"/>
                    </w:rPr>
                    <w:t>固态</w:t>
                  </w:r>
                </w:p>
              </w:tc>
              <w:tc>
                <w:tcPr>
                  <w:tcW w:w="702" w:type="dxa"/>
                  <w:tcBorders>
                    <w:tl2br w:val="nil"/>
                    <w:tr2bl w:val="nil"/>
                  </w:tcBorders>
                  <w:vAlign w:val="center"/>
                </w:tcPr>
                <w:p w14:paraId="2547364F">
                  <w:pPr>
                    <w:topLinePunct/>
                    <w:adjustRightInd w:val="0"/>
                    <w:snapToGrid w:val="0"/>
                    <w:spacing w:line="240" w:lineRule="exact"/>
                    <w:jc w:val="center"/>
                    <w:rPr>
                      <w:kern w:val="0"/>
                      <w:sz w:val="18"/>
                      <w:szCs w:val="18"/>
                    </w:rPr>
                  </w:pPr>
                  <w:r>
                    <w:rPr>
                      <w:kern w:val="0"/>
                      <w:sz w:val="18"/>
                      <w:szCs w:val="18"/>
                    </w:rPr>
                    <w:t>废油漆</w:t>
                  </w:r>
                </w:p>
              </w:tc>
              <w:tc>
                <w:tcPr>
                  <w:tcW w:w="688" w:type="dxa"/>
                  <w:tcBorders>
                    <w:tl2br w:val="nil"/>
                    <w:tr2bl w:val="nil"/>
                  </w:tcBorders>
                  <w:vAlign w:val="center"/>
                </w:tcPr>
                <w:p w14:paraId="5511597A">
                  <w:pPr>
                    <w:topLinePunct/>
                    <w:adjustRightInd w:val="0"/>
                    <w:snapToGrid w:val="0"/>
                    <w:spacing w:line="240" w:lineRule="exact"/>
                    <w:jc w:val="center"/>
                    <w:rPr>
                      <w:kern w:val="0"/>
                      <w:sz w:val="18"/>
                      <w:szCs w:val="18"/>
                    </w:rPr>
                  </w:pPr>
                  <w:r>
                    <w:rPr>
                      <w:kern w:val="0"/>
                      <w:sz w:val="18"/>
                      <w:szCs w:val="18"/>
                    </w:rPr>
                    <w:t>废油漆</w:t>
                  </w:r>
                </w:p>
              </w:tc>
              <w:tc>
                <w:tcPr>
                  <w:tcW w:w="600" w:type="dxa"/>
                  <w:tcBorders>
                    <w:tl2br w:val="nil"/>
                    <w:tr2bl w:val="nil"/>
                  </w:tcBorders>
                  <w:vAlign w:val="center"/>
                </w:tcPr>
                <w:p w14:paraId="4F8E936C">
                  <w:pPr>
                    <w:topLinePunct/>
                    <w:adjustRightInd w:val="0"/>
                    <w:snapToGrid w:val="0"/>
                    <w:spacing w:line="240" w:lineRule="exact"/>
                    <w:jc w:val="center"/>
                    <w:rPr>
                      <w:kern w:val="0"/>
                      <w:sz w:val="18"/>
                      <w:szCs w:val="18"/>
                    </w:rPr>
                  </w:pPr>
                  <w:r>
                    <w:rPr>
                      <w:kern w:val="0"/>
                      <w:sz w:val="18"/>
                      <w:szCs w:val="18"/>
                    </w:rPr>
                    <w:t>每天</w:t>
                  </w:r>
                </w:p>
              </w:tc>
              <w:tc>
                <w:tcPr>
                  <w:tcW w:w="611" w:type="dxa"/>
                  <w:tcBorders>
                    <w:tl2br w:val="nil"/>
                    <w:tr2bl w:val="nil"/>
                  </w:tcBorders>
                  <w:vAlign w:val="center"/>
                </w:tcPr>
                <w:p w14:paraId="41B23953">
                  <w:pPr>
                    <w:topLinePunct/>
                    <w:adjustRightInd w:val="0"/>
                    <w:snapToGrid w:val="0"/>
                    <w:spacing w:line="240" w:lineRule="exact"/>
                    <w:jc w:val="center"/>
                    <w:rPr>
                      <w:kern w:val="0"/>
                      <w:sz w:val="18"/>
                      <w:szCs w:val="18"/>
                    </w:rPr>
                  </w:pPr>
                  <w:r>
                    <w:rPr>
                      <w:sz w:val="18"/>
                      <w:szCs w:val="18"/>
                    </w:rPr>
                    <w:t>T，I</w:t>
                  </w:r>
                </w:p>
              </w:tc>
              <w:tc>
                <w:tcPr>
                  <w:tcW w:w="891" w:type="dxa"/>
                  <w:vMerge w:val="restart"/>
                  <w:tcBorders>
                    <w:tl2br w:val="nil"/>
                    <w:tr2bl w:val="nil"/>
                  </w:tcBorders>
                  <w:vAlign w:val="center"/>
                </w:tcPr>
                <w:p w14:paraId="531C91F6">
                  <w:pPr>
                    <w:topLinePunct/>
                    <w:adjustRightInd w:val="0"/>
                    <w:snapToGrid w:val="0"/>
                    <w:spacing w:line="240" w:lineRule="exact"/>
                    <w:jc w:val="center"/>
                    <w:rPr>
                      <w:kern w:val="0"/>
                      <w:sz w:val="18"/>
                      <w:szCs w:val="18"/>
                    </w:rPr>
                  </w:pPr>
                  <w:r>
                    <w:rPr>
                      <w:kern w:val="0"/>
                      <w:sz w:val="18"/>
                      <w:szCs w:val="18"/>
                    </w:rPr>
                    <w:t>暂存于危废库，委托有资质的单位负责转运并处置</w:t>
                  </w:r>
                </w:p>
              </w:tc>
            </w:tr>
            <w:tr w14:paraId="680344B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14:paraId="47373AD1">
                  <w:pPr>
                    <w:topLinePunct/>
                    <w:adjustRightInd w:val="0"/>
                    <w:snapToGrid w:val="0"/>
                    <w:spacing w:line="240" w:lineRule="exact"/>
                    <w:jc w:val="center"/>
                    <w:rPr>
                      <w:kern w:val="0"/>
                      <w:sz w:val="18"/>
                      <w:szCs w:val="18"/>
                    </w:rPr>
                  </w:pPr>
                  <w:r>
                    <w:rPr>
                      <w:rFonts w:hint="eastAsia"/>
                      <w:kern w:val="0"/>
                      <w:sz w:val="18"/>
                      <w:szCs w:val="18"/>
                    </w:rPr>
                    <w:t>2</w:t>
                  </w:r>
                </w:p>
              </w:tc>
              <w:tc>
                <w:tcPr>
                  <w:tcW w:w="792" w:type="dxa"/>
                  <w:tcBorders>
                    <w:tl2br w:val="nil"/>
                    <w:tr2bl w:val="nil"/>
                  </w:tcBorders>
                  <w:vAlign w:val="center"/>
                </w:tcPr>
                <w:p w14:paraId="56709158">
                  <w:pPr>
                    <w:topLinePunct/>
                    <w:adjustRightInd w:val="0"/>
                    <w:snapToGrid w:val="0"/>
                    <w:spacing w:line="240" w:lineRule="exact"/>
                    <w:jc w:val="center"/>
                    <w:rPr>
                      <w:sz w:val="18"/>
                      <w:szCs w:val="18"/>
                    </w:rPr>
                  </w:pPr>
                  <w:r>
                    <w:rPr>
                      <w:rFonts w:hint="eastAsia"/>
                      <w:sz w:val="18"/>
                      <w:szCs w:val="18"/>
                    </w:rPr>
                    <w:t>废包装桶</w:t>
                  </w:r>
                </w:p>
              </w:tc>
              <w:tc>
                <w:tcPr>
                  <w:tcW w:w="894" w:type="dxa"/>
                  <w:tcBorders>
                    <w:tl2br w:val="nil"/>
                    <w:tr2bl w:val="nil"/>
                  </w:tcBorders>
                  <w:vAlign w:val="center"/>
                </w:tcPr>
                <w:p w14:paraId="3BA4629F">
                  <w:pPr>
                    <w:topLinePunct/>
                    <w:adjustRightInd w:val="0"/>
                    <w:snapToGrid w:val="0"/>
                    <w:spacing w:line="240" w:lineRule="exact"/>
                    <w:jc w:val="center"/>
                    <w:rPr>
                      <w:sz w:val="18"/>
                      <w:szCs w:val="18"/>
                    </w:rPr>
                  </w:pPr>
                  <w:r>
                    <w:rPr>
                      <w:sz w:val="18"/>
                      <w:szCs w:val="18"/>
                    </w:rPr>
                    <w:t>HW49</w:t>
                  </w:r>
                </w:p>
              </w:tc>
              <w:tc>
                <w:tcPr>
                  <w:tcW w:w="1110" w:type="dxa"/>
                  <w:tcBorders>
                    <w:tl2br w:val="nil"/>
                    <w:tr2bl w:val="nil"/>
                  </w:tcBorders>
                  <w:vAlign w:val="center"/>
                </w:tcPr>
                <w:p w14:paraId="633C9C67">
                  <w:pPr>
                    <w:spacing w:line="240" w:lineRule="exact"/>
                    <w:jc w:val="center"/>
                    <w:rPr>
                      <w:sz w:val="18"/>
                      <w:szCs w:val="18"/>
                    </w:rPr>
                  </w:pPr>
                  <w:r>
                    <w:rPr>
                      <w:sz w:val="18"/>
                      <w:szCs w:val="18"/>
                    </w:rPr>
                    <w:t>900-041-49</w:t>
                  </w:r>
                </w:p>
              </w:tc>
              <w:tc>
                <w:tcPr>
                  <w:tcW w:w="850" w:type="dxa"/>
                  <w:tcBorders>
                    <w:tl2br w:val="nil"/>
                    <w:tr2bl w:val="nil"/>
                  </w:tcBorders>
                  <w:vAlign w:val="center"/>
                </w:tcPr>
                <w:p w14:paraId="03189DD7">
                  <w:pPr>
                    <w:topLinePunct/>
                    <w:adjustRightInd w:val="0"/>
                    <w:snapToGrid w:val="0"/>
                    <w:spacing w:line="240" w:lineRule="exact"/>
                    <w:jc w:val="center"/>
                    <w:rPr>
                      <w:kern w:val="0"/>
                      <w:sz w:val="18"/>
                      <w:szCs w:val="18"/>
                    </w:rPr>
                  </w:pPr>
                  <w:r>
                    <w:rPr>
                      <w:rFonts w:hint="eastAsia"/>
                      <w:kern w:val="0"/>
                      <w:sz w:val="18"/>
                      <w:szCs w:val="18"/>
                    </w:rPr>
                    <w:t>130</w:t>
                  </w:r>
                  <w:r>
                    <w:rPr>
                      <w:kern w:val="0"/>
                      <w:sz w:val="18"/>
                      <w:szCs w:val="18"/>
                    </w:rPr>
                    <w:t>个</w:t>
                  </w:r>
                  <w:r>
                    <w:rPr>
                      <w:rFonts w:hint="eastAsia"/>
                      <w:kern w:val="0"/>
                      <w:sz w:val="18"/>
                      <w:szCs w:val="18"/>
                    </w:rPr>
                    <w:t>/a</w:t>
                  </w:r>
                </w:p>
              </w:tc>
              <w:tc>
                <w:tcPr>
                  <w:tcW w:w="980" w:type="dxa"/>
                  <w:tcBorders>
                    <w:tl2br w:val="nil"/>
                    <w:tr2bl w:val="nil"/>
                  </w:tcBorders>
                  <w:vAlign w:val="center"/>
                </w:tcPr>
                <w:p w14:paraId="3E2AE790">
                  <w:pPr>
                    <w:topLinePunct/>
                    <w:adjustRightInd w:val="0"/>
                    <w:snapToGrid w:val="0"/>
                    <w:spacing w:line="240" w:lineRule="exact"/>
                    <w:jc w:val="center"/>
                    <w:rPr>
                      <w:kern w:val="0"/>
                      <w:sz w:val="18"/>
                      <w:szCs w:val="18"/>
                    </w:rPr>
                  </w:pPr>
                  <w:r>
                    <w:rPr>
                      <w:kern w:val="0"/>
                      <w:sz w:val="18"/>
                      <w:szCs w:val="18"/>
                    </w:rPr>
                    <w:t>原料包装材料</w:t>
                  </w:r>
                </w:p>
              </w:tc>
              <w:tc>
                <w:tcPr>
                  <w:tcW w:w="536" w:type="dxa"/>
                  <w:tcBorders>
                    <w:tl2br w:val="nil"/>
                    <w:tr2bl w:val="nil"/>
                  </w:tcBorders>
                  <w:vAlign w:val="center"/>
                </w:tcPr>
                <w:p w14:paraId="1D2C1DB5">
                  <w:pPr>
                    <w:topLinePunct/>
                    <w:adjustRightInd w:val="0"/>
                    <w:snapToGrid w:val="0"/>
                    <w:spacing w:line="240" w:lineRule="exact"/>
                    <w:jc w:val="center"/>
                    <w:rPr>
                      <w:kern w:val="0"/>
                      <w:sz w:val="18"/>
                      <w:szCs w:val="18"/>
                    </w:rPr>
                  </w:pPr>
                  <w:r>
                    <w:rPr>
                      <w:kern w:val="0"/>
                      <w:sz w:val="18"/>
                      <w:szCs w:val="18"/>
                    </w:rPr>
                    <w:t>固态</w:t>
                  </w:r>
                </w:p>
              </w:tc>
              <w:tc>
                <w:tcPr>
                  <w:tcW w:w="702" w:type="dxa"/>
                  <w:tcBorders>
                    <w:tl2br w:val="nil"/>
                    <w:tr2bl w:val="nil"/>
                  </w:tcBorders>
                  <w:vAlign w:val="center"/>
                </w:tcPr>
                <w:p w14:paraId="1E936E70">
                  <w:pPr>
                    <w:topLinePunct/>
                    <w:adjustRightInd w:val="0"/>
                    <w:snapToGrid w:val="0"/>
                    <w:spacing w:line="240" w:lineRule="exact"/>
                    <w:jc w:val="center"/>
                    <w:rPr>
                      <w:kern w:val="0"/>
                      <w:sz w:val="18"/>
                      <w:szCs w:val="18"/>
                    </w:rPr>
                  </w:pPr>
                  <w:r>
                    <w:rPr>
                      <w:kern w:val="0"/>
                      <w:sz w:val="18"/>
                      <w:szCs w:val="18"/>
                    </w:rPr>
                    <w:t>废油漆</w:t>
                  </w:r>
                </w:p>
              </w:tc>
              <w:tc>
                <w:tcPr>
                  <w:tcW w:w="688" w:type="dxa"/>
                  <w:tcBorders>
                    <w:tl2br w:val="nil"/>
                    <w:tr2bl w:val="nil"/>
                  </w:tcBorders>
                  <w:vAlign w:val="center"/>
                </w:tcPr>
                <w:p w14:paraId="1946EAA5">
                  <w:pPr>
                    <w:topLinePunct/>
                    <w:adjustRightInd w:val="0"/>
                    <w:snapToGrid w:val="0"/>
                    <w:spacing w:line="240" w:lineRule="exact"/>
                    <w:jc w:val="center"/>
                    <w:rPr>
                      <w:kern w:val="0"/>
                      <w:sz w:val="18"/>
                      <w:szCs w:val="18"/>
                    </w:rPr>
                  </w:pPr>
                  <w:r>
                    <w:rPr>
                      <w:kern w:val="0"/>
                      <w:sz w:val="18"/>
                      <w:szCs w:val="18"/>
                    </w:rPr>
                    <w:t>废油漆</w:t>
                  </w:r>
                  <w:r>
                    <w:rPr>
                      <w:rFonts w:hint="eastAsia"/>
                      <w:kern w:val="0"/>
                      <w:sz w:val="18"/>
                      <w:szCs w:val="18"/>
                    </w:rPr>
                    <w:t>、废胶等</w:t>
                  </w:r>
                </w:p>
              </w:tc>
              <w:tc>
                <w:tcPr>
                  <w:tcW w:w="600" w:type="dxa"/>
                  <w:tcBorders>
                    <w:tl2br w:val="nil"/>
                    <w:tr2bl w:val="nil"/>
                  </w:tcBorders>
                  <w:vAlign w:val="center"/>
                </w:tcPr>
                <w:p w14:paraId="6D872114">
                  <w:pPr>
                    <w:topLinePunct/>
                    <w:adjustRightInd w:val="0"/>
                    <w:snapToGrid w:val="0"/>
                    <w:spacing w:line="240" w:lineRule="exact"/>
                    <w:jc w:val="center"/>
                    <w:rPr>
                      <w:kern w:val="0"/>
                      <w:sz w:val="18"/>
                      <w:szCs w:val="18"/>
                    </w:rPr>
                  </w:pPr>
                  <w:r>
                    <w:rPr>
                      <w:kern w:val="0"/>
                      <w:sz w:val="18"/>
                      <w:szCs w:val="18"/>
                    </w:rPr>
                    <w:t>不定期</w:t>
                  </w:r>
                </w:p>
              </w:tc>
              <w:tc>
                <w:tcPr>
                  <w:tcW w:w="611" w:type="dxa"/>
                  <w:tcBorders>
                    <w:tl2br w:val="nil"/>
                    <w:tr2bl w:val="nil"/>
                  </w:tcBorders>
                  <w:vAlign w:val="center"/>
                </w:tcPr>
                <w:p w14:paraId="7ABC5627">
                  <w:pPr>
                    <w:topLinePunct/>
                    <w:adjustRightInd w:val="0"/>
                    <w:snapToGrid w:val="0"/>
                    <w:spacing w:line="240" w:lineRule="exact"/>
                    <w:jc w:val="center"/>
                    <w:rPr>
                      <w:sz w:val="18"/>
                      <w:szCs w:val="18"/>
                    </w:rPr>
                  </w:pPr>
                  <w:r>
                    <w:rPr>
                      <w:sz w:val="18"/>
                      <w:szCs w:val="18"/>
                    </w:rPr>
                    <w:t>T/In</w:t>
                  </w:r>
                </w:p>
              </w:tc>
              <w:tc>
                <w:tcPr>
                  <w:tcW w:w="891" w:type="dxa"/>
                  <w:vMerge w:val="continue"/>
                  <w:tcBorders>
                    <w:tl2br w:val="nil"/>
                    <w:tr2bl w:val="nil"/>
                  </w:tcBorders>
                  <w:vAlign w:val="center"/>
                </w:tcPr>
                <w:p w14:paraId="25CF1247">
                  <w:pPr>
                    <w:topLinePunct/>
                    <w:adjustRightInd w:val="0"/>
                    <w:snapToGrid w:val="0"/>
                    <w:spacing w:line="240" w:lineRule="exact"/>
                    <w:jc w:val="center"/>
                    <w:rPr>
                      <w:kern w:val="0"/>
                      <w:sz w:val="18"/>
                      <w:szCs w:val="18"/>
                    </w:rPr>
                  </w:pPr>
                </w:p>
              </w:tc>
            </w:tr>
            <w:tr w14:paraId="73DDDAE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14:paraId="1F8FB1D4">
                  <w:pPr>
                    <w:topLinePunct/>
                    <w:adjustRightInd w:val="0"/>
                    <w:snapToGrid w:val="0"/>
                    <w:spacing w:line="240" w:lineRule="exact"/>
                    <w:jc w:val="center"/>
                    <w:rPr>
                      <w:kern w:val="0"/>
                      <w:sz w:val="18"/>
                      <w:szCs w:val="18"/>
                    </w:rPr>
                  </w:pPr>
                  <w:r>
                    <w:rPr>
                      <w:rFonts w:hint="eastAsia"/>
                      <w:kern w:val="0"/>
                      <w:sz w:val="18"/>
                      <w:szCs w:val="18"/>
                    </w:rPr>
                    <w:t>3</w:t>
                  </w:r>
                </w:p>
              </w:tc>
              <w:tc>
                <w:tcPr>
                  <w:tcW w:w="792" w:type="dxa"/>
                  <w:tcBorders>
                    <w:tl2br w:val="nil"/>
                    <w:tr2bl w:val="nil"/>
                  </w:tcBorders>
                  <w:vAlign w:val="center"/>
                </w:tcPr>
                <w:p w14:paraId="1F11DAE9">
                  <w:pPr>
                    <w:topLinePunct/>
                    <w:adjustRightInd w:val="0"/>
                    <w:snapToGrid w:val="0"/>
                    <w:spacing w:line="240" w:lineRule="exact"/>
                    <w:jc w:val="center"/>
                    <w:rPr>
                      <w:sz w:val="18"/>
                      <w:szCs w:val="18"/>
                    </w:rPr>
                  </w:pPr>
                  <w:r>
                    <w:rPr>
                      <w:sz w:val="18"/>
                      <w:szCs w:val="18"/>
                    </w:rPr>
                    <w:t>废过滤材料</w:t>
                  </w:r>
                </w:p>
              </w:tc>
              <w:tc>
                <w:tcPr>
                  <w:tcW w:w="894" w:type="dxa"/>
                  <w:tcBorders>
                    <w:tl2br w:val="nil"/>
                    <w:tr2bl w:val="nil"/>
                  </w:tcBorders>
                  <w:vAlign w:val="center"/>
                </w:tcPr>
                <w:p w14:paraId="7CB680A9">
                  <w:pPr>
                    <w:topLinePunct/>
                    <w:adjustRightInd w:val="0"/>
                    <w:snapToGrid w:val="0"/>
                    <w:spacing w:line="240" w:lineRule="exact"/>
                    <w:jc w:val="center"/>
                    <w:rPr>
                      <w:sz w:val="18"/>
                      <w:szCs w:val="18"/>
                    </w:rPr>
                  </w:pPr>
                  <w:r>
                    <w:rPr>
                      <w:sz w:val="18"/>
                      <w:szCs w:val="18"/>
                    </w:rPr>
                    <w:t xml:space="preserve">HW49 </w:t>
                  </w:r>
                </w:p>
              </w:tc>
              <w:tc>
                <w:tcPr>
                  <w:tcW w:w="1110" w:type="dxa"/>
                  <w:tcBorders>
                    <w:tl2br w:val="nil"/>
                    <w:tr2bl w:val="nil"/>
                  </w:tcBorders>
                  <w:vAlign w:val="center"/>
                </w:tcPr>
                <w:p w14:paraId="1FEC8E67">
                  <w:pPr>
                    <w:spacing w:line="240" w:lineRule="exact"/>
                    <w:jc w:val="center"/>
                    <w:rPr>
                      <w:sz w:val="18"/>
                      <w:szCs w:val="18"/>
                    </w:rPr>
                  </w:pPr>
                  <w:r>
                    <w:rPr>
                      <w:sz w:val="18"/>
                      <w:szCs w:val="18"/>
                    </w:rPr>
                    <w:t>900-041-49</w:t>
                  </w:r>
                </w:p>
              </w:tc>
              <w:tc>
                <w:tcPr>
                  <w:tcW w:w="850" w:type="dxa"/>
                  <w:tcBorders>
                    <w:tl2br w:val="nil"/>
                    <w:tr2bl w:val="nil"/>
                  </w:tcBorders>
                  <w:vAlign w:val="center"/>
                </w:tcPr>
                <w:p w14:paraId="36E6DD95">
                  <w:pPr>
                    <w:topLinePunct/>
                    <w:adjustRightInd w:val="0"/>
                    <w:snapToGrid w:val="0"/>
                    <w:spacing w:line="240" w:lineRule="exact"/>
                    <w:jc w:val="center"/>
                    <w:rPr>
                      <w:kern w:val="0"/>
                      <w:sz w:val="18"/>
                      <w:szCs w:val="18"/>
                    </w:rPr>
                  </w:pPr>
                  <w:r>
                    <w:rPr>
                      <w:rFonts w:hint="eastAsia"/>
                      <w:kern w:val="0"/>
                      <w:sz w:val="18"/>
                      <w:szCs w:val="18"/>
                    </w:rPr>
                    <w:t>0.47</w:t>
                  </w:r>
                  <w:r>
                    <w:rPr>
                      <w:rFonts w:hint="eastAsia"/>
                      <w:sz w:val="18"/>
                      <w:szCs w:val="18"/>
                    </w:rPr>
                    <w:t>t/a</w:t>
                  </w:r>
                </w:p>
              </w:tc>
              <w:tc>
                <w:tcPr>
                  <w:tcW w:w="980" w:type="dxa"/>
                  <w:tcBorders>
                    <w:tl2br w:val="nil"/>
                    <w:tr2bl w:val="nil"/>
                  </w:tcBorders>
                  <w:vAlign w:val="center"/>
                </w:tcPr>
                <w:p w14:paraId="4F1DAD1F">
                  <w:pPr>
                    <w:topLinePunct/>
                    <w:adjustRightInd w:val="0"/>
                    <w:snapToGrid w:val="0"/>
                    <w:spacing w:line="240" w:lineRule="exact"/>
                    <w:jc w:val="center"/>
                    <w:rPr>
                      <w:kern w:val="0"/>
                      <w:sz w:val="18"/>
                      <w:szCs w:val="18"/>
                    </w:rPr>
                  </w:pPr>
                  <w:r>
                    <w:rPr>
                      <w:kern w:val="0"/>
                      <w:sz w:val="18"/>
                      <w:szCs w:val="18"/>
                    </w:rPr>
                    <w:t>废气处理装置</w:t>
                  </w:r>
                </w:p>
              </w:tc>
              <w:tc>
                <w:tcPr>
                  <w:tcW w:w="536" w:type="dxa"/>
                  <w:tcBorders>
                    <w:tl2br w:val="nil"/>
                    <w:tr2bl w:val="nil"/>
                  </w:tcBorders>
                  <w:vAlign w:val="center"/>
                </w:tcPr>
                <w:p w14:paraId="03CAE012">
                  <w:pPr>
                    <w:topLinePunct/>
                    <w:adjustRightInd w:val="0"/>
                    <w:snapToGrid w:val="0"/>
                    <w:spacing w:line="240" w:lineRule="exact"/>
                    <w:jc w:val="center"/>
                    <w:rPr>
                      <w:kern w:val="0"/>
                      <w:sz w:val="18"/>
                      <w:szCs w:val="18"/>
                    </w:rPr>
                  </w:pPr>
                  <w:r>
                    <w:rPr>
                      <w:kern w:val="0"/>
                      <w:sz w:val="18"/>
                      <w:szCs w:val="18"/>
                    </w:rPr>
                    <w:t>固态</w:t>
                  </w:r>
                </w:p>
              </w:tc>
              <w:tc>
                <w:tcPr>
                  <w:tcW w:w="702" w:type="dxa"/>
                  <w:tcBorders>
                    <w:tl2br w:val="nil"/>
                    <w:tr2bl w:val="nil"/>
                  </w:tcBorders>
                  <w:vAlign w:val="center"/>
                </w:tcPr>
                <w:p w14:paraId="4D605EBA">
                  <w:pPr>
                    <w:topLinePunct/>
                    <w:adjustRightInd w:val="0"/>
                    <w:snapToGrid w:val="0"/>
                    <w:spacing w:line="240" w:lineRule="exact"/>
                    <w:jc w:val="center"/>
                    <w:rPr>
                      <w:kern w:val="0"/>
                      <w:sz w:val="18"/>
                      <w:szCs w:val="18"/>
                    </w:rPr>
                  </w:pPr>
                  <w:r>
                    <w:rPr>
                      <w:kern w:val="0"/>
                      <w:sz w:val="18"/>
                      <w:szCs w:val="18"/>
                    </w:rPr>
                    <w:t>过滤棉、活性炭</w:t>
                  </w:r>
                </w:p>
              </w:tc>
              <w:tc>
                <w:tcPr>
                  <w:tcW w:w="688" w:type="dxa"/>
                  <w:tcBorders>
                    <w:tl2br w:val="nil"/>
                    <w:tr2bl w:val="nil"/>
                  </w:tcBorders>
                  <w:vAlign w:val="center"/>
                </w:tcPr>
                <w:p w14:paraId="125299E1">
                  <w:pPr>
                    <w:topLinePunct/>
                    <w:adjustRightInd w:val="0"/>
                    <w:snapToGrid w:val="0"/>
                    <w:spacing w:line="240" w:lineRule="exact"/>
                    <w:jc w:val="center"/>
                    <w:rPr>
                      <w:kern w:val="0"/>
                      <w:sz w:val="18"/>
                      <w:szCs w:val="18"/>
                    </w:rPr>
                  </w:pPr>
                  <w:r>
                    <w:rPr>
                      <w:kern w:val="0"/>
                      <w:sz w:val="18"/>
                      <w:szCs w:val="18"/>
                    </w:rPr>
                    <w:t>有机物、</w:t>
                  </w:r>
                  <w:r>
                    <w:rPr>
                      <w:rFonts w:hint="eastAsia"/>
                      <w:kern w:val="0"/>
                      <w:sz w:val="18"/>
                      <w:szCs w:val="18"/>
                    </w:rPr>
                    <w:t>废油漆</w:t>
                  </w:r>
                </w:p>
              </w:tc>
              <w:tc>
                <w:tcPr>
                  <w:tcW w:w="600" w:type="dxa"/>
                  <w:tcBorders>
                    <w:tl2br w:val="nil"/>
                    <w:tr2bl w:val="nil"/>
                  </w:tcBorders>
                  <w:vAlign w:val="center"/>
                </w:tcPr>
                <w:p w14:paraId="102E6D14">
                  <w:pPr>
                    <w:topLinePunct/>
                    <w:adjustRightInd w:val="0"/>
                    <w:snapToGrid w:val="0"/>
                    <w:spacing w:line="240" w:lineRule="exact"/>
                    <w:jc w:val="center"/>
                    <w:rPr>
                      <w:kern w:val="0"/>
                      <w:sz w:val="18"/>
                      <w:szCs w:val="18"/>
                    </w:rPr>
                  </w:pPr>
                  <w:r>
                    <w:rPr>
                      <w:kern w:val="0"/>
                      <w:sz w:val="18"/>
                      <w:szCs w:val="18"/>
                    </w:rPr>
                    <w:t>1年、</w:t>
                  </w:r>
                </w:p>
                <w:p w14:paraId="301C05D2">
                  <w:pPr>
                    <w:topLinePunct/>
                    <w:adjustRightInd w:val="0"/>
                    <w:snapToGrid w:val="0"/>
                    <w:spacing w:line="240" w:lineRule="exact"/>
                    <w:jc w:val="center"/>
                    <w:rPr>
                      <w:kern w:val="0"/>
                      <w:sz w:val="18"/>
                      <w:szCs w:val="18"/>
                    </w:rPr>
                  </w:pPr>
                  <w:r>
                    <w:rPr>
                      <w:kern w:val="0"/>
                      <w:sz w:val="18"/>
                      <w:szCs w:val="18"/>
                    </w:rPr>
                    <w:t>2年</w:t>
                  </w:r>
                </w:p>
              </w:tc>
              <w:tc>
                <w:tcPr>
                  <w:tcW w:w="611" w:type="dxa"/>
                  <w:tcBorders>
                    <w:tl2br w:val="nil"/>
                    <w:tr2bl w:val="nil"/>
                  </w:tcBorders>
                  <w:vAlign w:val="center"/>
                </w:tcPr>
                <w:p w14:paraId="0A9656F0">
                  <w:pPr>
                    <w:topLinePunct/>
                    <w:adjustRightInd w:val="0"/>
                    <w:snapToGrid w:val="0"/>
                    <w:spacing w:line="240" w:lineRule="exact"/>
                    <w:jc w:val="center"/>
                    <w:rPr>
                      <w:sz w:val="18"/>
                      <w:szCs w:val="18"/>
                    </w:rPr>
                  </w:pPr>
                  <w:r>
                    <w:rPr>
                      <w:sz w:val="18"/>
                      <w:szCs w:val="18"/>
                    </w:rPr>
                    <w:t>T/In</w:t>
                  </w:r>
                </w:p>
              </w:tc>
              <w:tc>
                <w:tcPr>
                  <w:tcW w:w="891" w:type="dxa"/>
                  <w:vMerge w:val="continue"/>
                  <w:tcBorders>
                    <w:tl2br w:val="nil"/>
                    <w:tr2bl w:val="nil"/>
                  </w:tcBorders>
                  <w:vAlign w:val="center"/>
                </w:tcPr>
                <w:p w14:paraId="5BEBF656">
                  <w:pPr>
                    <w:topLinePunct/>
                    <w:adjustRightInd w:val="0"/>
                    <w:snapToGrid w:val="0"/>
                    <w:spacing w:line="240" w:lineRule="exact"/>
                    <w:jc w:val="center"/>
                    <w:rPr>
                      <w:kern w:val="0"/>
                      <w:sz w:val="18"/>
                      <w:szCs w:val="18"/>
                    </w:rPr>
                  </w:pPr>
                </w:p>
              </w:tc>
            </w:tr>
            <w:tr w14:paraId="44F62C6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14:paraId="03852F00">
                  <w:pPr>
                    <w:topLinePunct/>
                    <w:adjustRightInd w:val="0"/>
                    <w:snapToGrid w:val="0"/>
                    <w:spacing w:line="240" w:lineRule="exact"/>
                    <w:jc w:val="center"/>
                    <w:rPr>
                      <w:kern w:val="0"/>
                      <w:sz w:val="18"/>
                      <w:szCs w:val="18"/>
                    </w:rPr>
                  </w:pPr>
                  <w:r>
                    <w:rPr>
                      <w:rFonts w:hint="eastAsia"/>
                      <w:kern w:val="0"/>
                      <w:sz w:val="18"/>
                      <w:szCs w:val="18"/>
                    </w:rPr>
                    <w:t>4</w:t>
                  </w:r>
                </w:p>
              </w:tc>
              <w:tc>
                <w:tcPr>
                  <w:tcW w:w="792" w:type="dxa"/>
                  <w:tcBorders>
                    <w:tl2br w:val="nil"/>
                    <w:tr2bl w:val="nil"/>
                  </w:tcBorders>
                  <w:vAlign w:val="center"/>
                </w:tcPr>
                <w:p w14:paraId="5137B474">
                  <w:pPr>
                    <w:topLinePunct/>
                    <w:adjustRightInd w:val="0"/>
                    <w:snapToGrid w:val="0"/>
                    <w:spacing w:line="240" w:lineRule="exact"/>
                    <w:jc w:val="center"/>
                    <w:rPr>
                      <w:sz w:val="18"/>
                      <w:szCs w:val="18"/>
                    </w:rPr>
                  </w:pPr>
                  <w:r>
                    <w:rPr>
                      <w:sz w:val="18"/>
                      <w:szCs w:val="18"/>
                    </w:rPr>
                    <w:t>废催化剂</w:t>
                  </w:r>
                </w:p>
              </w:tc>
              <w:tc>
                <w:tcPr>
                  <w:tcW w:w="894" w:type="dxa"/>
                  <w:tcBorders>
                    <w:tl2br w:val="nil"/>
                    <w:tr2bl w:val="nil"/>
                  </w:tcBorders>
                  <w:vAlign w:val="center"/>
                </w:tcPr>
                <w:p w14:paraId="1F11C234">
                  <w:pPr>
                    <w:topLinePunct/>
                    <w:adjustRightInd w:val="0"/>
                    <w:snapToGrid w:val="0"/>
                    <w:spacing w:line="240" w:lineRule="exact"/>
                    <w:jc w:val="center"/>
                    <w:rPr>
                      <w:sz w:val="18"/>
                      <w:szCs w:val="18"/>
                    </w:rPr>
                  </w:pPr>
                  <w:r>
                    <w:rPr>
                      <w:sz w:val="18"/>
                      <w:szCs w:val="18"/>
                    </w:rPr>
                    <w:t>HW</w:t>
                  </w:r>
                  <w:r>
                    <w:rPr>
                      <w:rFonts w:hint="eastAsia"/>
                      <w:sz w:val="18"/>
                      <w:szCs w:val="18"/>
                    </w:rPr>
                    <w:t>50</w:t>
                  </w:r>
                  <w:r>
                    <w:rPr>
                      <w:sz w:val="18"/>
                      <w:szCs w:val="18"/>
                    </w:rPr>
                    <w:t xml:space="preserve"> </w:t>
                  </w:r>
                </w:p>
              </w:tc>
              <w:tc>
                <w:tcPr>
                  <w:tcW w:w="1110" w:type="dxa"/>
                  <w:tcBorders>
                    <w:tl2br w:val="nil"/>
                    <w:tr2bl w:val="nil"/>
                  </w:tcBorders>
                  <w:vAlign w:val="center"/>
                </w:tcPr>
                <w:p w14:paraId="7A8EEDB6">
                  <w:pPr>
                    <w:spacing w:line="240" w:lineRule="exact"/>
                    <w:jc w:val="center"/>
                    <w:rPr>
                      <w:sz w:val="18"/>
                      <w:szCs w:val="18"/>
                    </w:rPr>
                  </w:pPr>
                  <w:r>
                    <w:rPr>
                      <w:rFonts w:hint="eastAsia"/>
                      <w:sz w:val="18"/>
                      <w:szCs w:val="18"/>
                    </w:rPr>
                    <w:t>772-007-50</w:t>
                  </w:r>
                </w:p>
              </w:tc>
              <w:tc>
                <w:tcPr>
                  <w:tcW w:w="850" w:type="dxa"/>
                  <w:tcBorders>
                    <w:tl2br w:val="nil"/>
                    <w:tr2bl w:val="nil"/>
                  </w:tcBorders>
                  <w:vAlign w:val="center"/>
                </w:tcPr>
                <w:p w14:paraId="5E3DF591">
                  <w:pPr>
                    <w:topLinePunct/>
                    <w:adjustRightInd w:val="0"/>
                    <w:snapToGrid w:val="0"/>
                    <w:spacing w:line="240" w:lineRule="exact"/>
                    <w:jc w:val="center"/>
                    <w:rPr>
                      <w:kern w:val="0"/>
                      <w:sz w:val="18"/>
                      <w:szCs w:val="18"/>
                    </w:rPr>
                  </w:pPr>
                  <w:r>
                    <w:rPr>
                      <w:kern w:val="0"/>
                      <w:sz w:val="18"/>
                      <w:szCs w:val="18"/>
                    </w:rPr>
                    <w:t>0.002</w:t>
                  </w:r>
                  <w:r>
                    <w:rPr>
                      <w:rFonts w:hint="eastAsia"/>
                      <w:sz w:val="18"/>
                      <w:szCs w:val="18"/>
                    </w:rPr>
                    <w:t>t/a</w:t>
                  </w:r>
                </w:p>
              </w:tc>
              <w:tc>
                <w:tcPr>
                  <w:tcW w:w="980" w:type="dxa"/>
                  <w:tcBorders>
                    <w:tl2br w:val="nil"/>
                    <w:tr2bl w:val="nil"/>
                  </w:tcBorders>
                  <w:vAlign w:val="center"/>
                </w:tcPr>
                <w:p w14:paraId="75D1E010">
                  <w:pPr>
                    <w:topLinePunct/>
                    <w:adjustRightInd w:val="0"/>
                    <w:snapToGrid w:val="0"/>
                    <w:spacing w:line="240" w:lineRule="exact"/>
                    <w:jc w:val="center"/>
                    <w:rPr>
                      <w:kern w:val="0"/>
                      <w:sz w:val="18"/>
                      <w:szCs w:val="18"/>
                    </w:rPr>
                  </w:pPr>
                  <w:r>
                    <w:rPr>
                      <w:kern w:val="0"/>
                      <w:sz w:val="18"/>
                      <w:szCs w:val="18"/>
                    </w:rPr>
                    <w:t>废气处理装置</w:t>
                  </w:r>
                </w:p>
              </w:tc>
              <w:tc>
                <w:tcPr>
                  <w:tcW w:w="536" w:type="dxa"/>
                  <w:tcBorders>
                    <w:tl2br w:val="nil"/>
                    <w:tr2bl w:val="nil"/>
                  </w:tcBorders>
                  <w:vAlign w:val="center"/>
                </w:tcPr>
                <w:p w14:paraId="1E54402E">
                  <w:pPr>
                    <w:topLinePunct/>
                    <w:adjustRightInd w:val="0"/>
                    <w:snapToGrid w:val="0"/>
                    <w:spacing w:line="240" w:lineRule="exact"/>
                    <w:jc w:val="center"/>
                    <w:rPr>
                      <w:kern w:val="0"/>
                      <w:sz w:val="18"/>
                      <w:szCs w:val="18"/>
                    </w:rPr>
                  </w:pPr>
                  <w:r>
                    <w:rPr>
                      <w:kern w:val="0"/>
                      <w:sz w:val="18"/>
                      <w:szCs w:val="18"/>
                    </w:rPr>
                    <w:t>固态</w:t>
                  </w:r>
                </w:p>
              </w:tc>
              <w:tc>
                <w:tcPr>
                  <w:tcW w:w="702" w:type="dxa"/>
                  <w:tcBorders>
                    <w:tl2br w:val="nil"/>
                    <w:tr2bl w:val="nil"/>
                  </w:tcBorders>
                  <w:vAlign w:val="center"/>
                </w:tcPr>
                <w:p w14:paraId="7AD5ACA3">
                  <w:pPr>
                    <w:topLinePunct/>
                    <w:adjustRightInd w:val="0"/>
                    <w:snapToGrid w:val="0"/>
                    <w:spacing w:line="240" w:lineRule="exact"/>
                    <w:jc w:val="center"/>
                    <w:rPr>
                      <w:kern w:val="0"/>
                      <w:sz w:val="18"/>
                      <w:szCs w:val="18"/>
                    </w:rPr>
                  </w:pPr>
                  <w:r>
                    <w:rPr>
                      <w:kern w:val="0"/>
                      <w:sz w:val="18"/>
                      <w:szCs w:val="18"/>
                    </w:rPr>
                    <w:t>贵金属等</w:t>
                  </w:r>
                </w:p>
              </w:tc>
              <w:tc>
                <w:tcPr>
                  <w:tcW w:w="688" w:type="dxa"/>
                  <w:tcBorders>
                    <w:tl2br w:val="nil"/>
                    <w:tr2bl w:val="nil"/>
                  </w:tcBorders>
                  <w:vAlign w:val="center"/>
                </w:tcPr>
                <w:p w14:paraId="2DDA2FF7">
                  <w:pPr>
                    <w:topLinePunct/>
                    <w:adjustRightInd w:val="0"/>
                    <w:snapToGrid w:val="0"/>
                    <w:spacing w:line="240" w:lineRule="exact"/>
                    <w:jc w:val="center"/>
                    <w:rPr>
                      <w:kern w:val="0"/>
                      <w:sz w:val="18"/>
                      <w:szCs w:val="18"/>
                    </w:rPr>
                  </w:pPr>
                  <w:r>
                    <w:rPr>
                      <w:kern w:val="0"/>
                      <w:sz w:val="18"/>
                      <w:szCs w:val="18"/>
                    </w:rPr>
                    <w:t>有机物、贵金属</w:t>
                  </w:r>
                </w:p>
              </w:tc>
              <w:tc>
                <w:tcPr>
                  <w:tcW w:w="600" w:type="dxa"/>
                  <w:tcBorders>
                    <w:tl2br w:val="nil"/>
                    <w:tr2bl w:val="nil"/>
                  </w:tcBorders>
                  <w:vAlign w:val="center"/>
                </w:tcPr>
                <w:p w14:paraId="75992282">
                  <w:pPr>
                    <w:topLinePunct/>
                    <w:adjustRightInd w:val="0"/>
                    <w:snapToGrid w:val="0"/>
                    <w:spacing w:line="240" w:lineRule="exact"/>
                    <w:jc w:val="center"/>
                    <w:rPr>
                      <w:kern w:val="0"/>
                      <w:sz w:val="18"/>
                      <w:szCs w:val="18"/>
                    </w:rPr>
                  </w:pPr>
                  <w:r>
                    <w:rPr>
                      <w:kern w:val="0"/>
                      <w:sz w:val="18"/>
                      <w:szCs w:val="18"/>
                    </w:rPr>
                    <w:t>3年</w:t>
                  </w:r>
                </w:p>
              </w:tc>
              <w:tc>
                <w:tcPr>
                  <w:tcW w:w="611" w:type="dxa"/>
                  <w:tcBorders>
                    <w:tl2br w:val="nil"/>
                    <w:tr2bl w:val="nil"/>
                  </w:tcBorders>
                  <w:vAlign w:val="center"/>
                </w:tcPr>
                <w:p w14:paraId="7CCB0F5C">
                  <w:pPr>
                    <w:topLinePunct/>
                    <w:adjustRightInd w:val="0"/>
                    <w:snapToGrid w:val="0"/>
                    <w:spacing w:line="240" w:lineRule="exact"/>
                    <w:jc w:val="center"/>
                    <w:rPr>
                      <w:sz w:val="18"/>
                      <w:szCs w:val="18"/>
                    </w:rPr>
                  </w:pPr>
                  <w:r>
                    <w:rPr>
                      <w:sz w:val="18"/>
                      <w:szCs w:val="18"/>
                    </w:rPr>
                    <w:t>T/In</w:t>
                  </w:r>
                </w:p>
              </w:tc>
              <w:tc>
                <w:tcPr>
                  <w:tcW w:w="891" w:type="dxa"/>
                  <w:vMerge w:val="continue"/>
                  <w:tcBorders>
                    <w:tl2br w:val="nil"/>
                    <w:tr2bl w:val="nil"/>
                  </w:tcBorders>
                  <w:vAlign w:val="center"/>
                </w:tcPr>
                <w:p w14:paraId="6045C9A2">
                  <w:pPr>
                    <w:topLinePunct/>
                    <w:adjustRightInd w:val="0"/>
                    <w:snapToGrid w:val="0"/>
                    <w:spacing w:line="240" w:lineRule="exact"/>
                    <w:jc w:val="center"/>
                    <w:rPr>
                      <w:kern w:val="0"/>
                      <w:sz w:val="18"/>
                      <w:szCs w:val="18"/>
                    </w:rPr>
                  </w:pPr>
                </w:p>
              </w:tc>
            </w:tr>
            <w:tr w14:paraId="64A7C38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438" w:type="dxa"/>
                  <w:tcBorders>
                    <w:tl2br w:val="nil"/>
                    <w:tr2bl w:val="nil"/>
                  </w:tcBorders>
                  <w:vAlign w:val="center"/>
                </w:tcPr>
                <w:p w14:paraId="182003FA">
                  <w:pPr>
                    <w:topLinePunct/>
                    <w:adjustRightInd w:val="0"/>
                    <w:snapToGrid w:val="0"/>
                    <w:spacing w:line="240" w:lineRule="exact"/>
                    <w:jc w:val="center"/>
                    <w:rPr>
                      <w:kern w:val="0"/>
                      <w:sz w:val="18"/>
                      <w:szCs w:val="18"/>
                    </w:rPr>
                  </w:pPr>
                  <w:r>
                    <w:rPr>
                      <w:rFonts w:hint="eastAsia"/>
                      <w:kern w:val="0"/>
                      <w:sz w:val="18"/>
                      <w:szCs w:val="18"/>
                    </w:rPr>
                    <w:t>5</w:t>
                  </w:r>
                </w:p>
              </w:tc>
              <w:tc>
                <w:tcPr>
                  <w:tcW w:w="792" w:type="dxa"/>
                  <w:tcBorders>
                    <w:tl2br w:val="nil"/>
                    <w:tr2bl w:val="nil"/>
                  </w:tcBorders>
                  <w:vAlign w:val="center"/>
                </w:tcPr>
                <w:p w14:paraId="02CFDD0C">
                  <w:pPr>
                    <w:topLinePunct/>
                    <w:adjustRightInd w:val="0"/>
                    <w:snapToGrid w:val="0"/>
                    <w:spacing w:line="240" w:lineRule="exact"/>
                    <w:jc w:val="center"/>
                    <w:rPr>
                      <w:sz w:val="18"/>
                      <w:szCs w:val="18"/>
                    </w:rPr>
                  </w:pPr>
                  <w:r>
                    <w:rPr>
                      <w:rFonts w:hint="eastAsia"/>
                      <w:sz w:val="18"/>
                      <w:szCs w:val="18"/>
                    </w:rPr>
                    <w:t>水喷淋装置废液</w:t>
                  </w:r>
                </w:p>
              </w:tc>
              <w:tc>
                <w:tcPr>
                  <w:tcW w:w="894" w:type="dxa"/>
                  <w:tcBorders>
                    <w:tl2br w:val="nil"/>
                    <w:tr2bl w:val="nil"/>
                  </w:tcBorders>
                  <w:vAlign w:val="center"/>
                </w:tcPr>
                <w:p w14:paraId="2071917C">
                  <w:pPr>
                    <w:topLinePunct/>
                    <w:adjustRightInd w:val="0"/>
                    <w:snapToGrid w:val="0"/>
                    <w:spacing w:line="240" w:lineRule="exact"/>
                    <w:jc w:val="center"/>
                    <w:rPr>
                      <w:sz w:val="18"/>
                      <w:szCs w:val="18"/>
                    </w:rPr>
                  </w:pPr>
                  <w:r>
                    <w:rPr>
                      <w:sz w:val="18"/>
                      <w:szCs w:val="18"/>
                    </w:rPr>
                    <w:t>HW12</w:t>
                  </w:r>
                </w:p>
              </w:tc>
              <w:tc>
                <w:tcPr>
                  <w:tcW w:w="1110" w:type="dxa"/>
                  <w:tcBorders>
                    <w:tl2br w:val="nil"/>
                    <w:tr2bl w:val="nil"/>
                  </w:tcBorders>
                  <w:vAlign w:val="center"/>
                </w:tcPr>
                <w:p w14:paraId="4AE99C2A">
                  <w:pPr>
                    <w:topLinePunct/>
                    <w:adjustRightInd w:val="0"/>
                    <w:snapToGrid w:val="0"/>
                    <w:spacing w:line="240" w:lineRule="exact"/>
                    <w:jc w:val="center"/>
                    <w:rPr>
                      <w:sz w:val="18"/>
                      <w:szCs w:val="18"/>
                    </w:rPr>
                  </w:pPr>
                  <w:r>
                    <w:rPr>
                      <w:sz w:val="18"/>
                      <w:szCs w:val="18"/>
                    </w:rPr>
                    <w:t>900-252-12</w:t>
                  </w:r>
                </w:p>
              </w:tc>
              <w:tc>
                <w:tcPr>
                  <w:tcW w:w="850" w:type="dxa"/>
                  <w:tcBorders>
                    <w:tl2br w:val="nil"/>
                    <w:tr2bl w:val="nil"/>
                  </w:tcBorders>
                  <w:vAlign w:val="center"/>
                </w:tcPr>
                <w:p w14:paraId="5259B8FA">
                  <w:pPr>
                    <w:topLinePunct/>
                    <w:adjustRightInd w:val="0"/>
                    <w:snapToGrid w:val="0"/>
                    <w:spacing w:line="240" w:lineRule="exact"/>
                    <w:jc w:val="center"/>
                    <w:rPr>
                      <w:kern w:val="0"/>
                      <w:sz w:val="18"/>
                      <w:szCs w:val="18"/>
                    </w:rPr>
                  </w:pPr>
                  <w:r>
                    <w:rPr>
                      <w:rFonts w:hint="eastAsia"/>
                      <w:kern w:val="0"/>
                      <w:sz w:val="18"/>
                      <w:szCs w:val="18"/>
                    </w:rPr>
                    <w:t>2</w:t>
                  </w:r>
                  <w:r>
                    <w:rPr>
                      <w:rFonts w:hint="eastAsia"/>
                      <w:sz w:val="18"/>
                      <w:szCs w:val="18"/>
                    </w:rPr>
                    <w:t>t/a</w:t>
                  </w:r>
                </w:p>
              </w:tc>
              <w:tc>
                <w:tcPr>
                  <w:tcW w:w="980" w:type="dxa"/>
                  <w:tcBorders>
                    <w:tl2br w:val="nil"/>
                    <w:tr2bl w:val="nil"/>
                  </w:tcBorders>
                  <w:vAlign w:val="center"/>
                </w:tcPr>
                <w:p w14:paraId="5C816C72">
                  <w:pPr>
                    <w:topLinePunct/>
                    <w:adjustRightInd w:val="0"/>
                    <w:snapToGrid w:val="0"/>
                    <w:spacing w:line="240" w:lineRule="exact"/>
                    <w:jc w:val="center"/>
                    <w:rPr>
                      <w:kern w:val="0"/>
                      <w:sz w:val="18"/>
                      <w:szCs w:val="18"/>
                    </w:rPr>
                  </w:pPr>
                  <w:r>
                    <w:rPr>
                      <w:rFonts w:hint="eastAsia"/>
                      <w:kern w:val="0"/>
                      <w:sz w:val="18"/>
                      <w:szCs w:val="18"/>
                    </w:rPr>
                    <w:t>喷漆工序</w:t>
                  </w:r>
                </w:p>
              </w:tc>
              <w:tc>
                <w:tcPr>
                  <w:tcW w:w="536" w:type="dxa"/>
                  <w:tcBorders>
                    <w:tl2br w:val="nil"/>
                    <w:tr2bl w:val="nil"/>
                  </w:tcBorders>
                  <w:vAlign w:val="center"/>
                </w:tcPr>
                <w:p w14:paraId="433CA57F">
                  <w:pPr>
                    <w:topLinePunct/>
                    <w:adjustRightInd w:val="0"/>
                    <w:snapToGrid w:val="0"/>
                    <w:spacing w:line="240" w:lineRule="exact"/>
                    <w:jc w:val="center"/>
                    <w:rPr>
                      <w:kern w:val="0"/>
                      <w:sz w:val="18"/>
                      <w:szCs w:val="18"/>
                    </w:rPr>
                  </w:pPr>
                  <w:r>
                    <w:rPr>
                      <w:rFonts w:hint="eastAsia"/>
                      <w:kern w:val="0"/>
                      <w:sz w:val="18"/>
                      <w:szCs w:val="18"/>
                    </w:rPr>
                    <w:t>液态</w:t>
                  </w:r>
                </w:p>
              </w:tc>
              <w:tc>
                <w:tcPr>
                  <w:tcW w:w="702" w:type="dxa"/>
                  <w:tcBorders>
                    <w:tl2br w:val="nil"/>
                    <w:tr2bl w:val="nil"/>
                  </w:tcBorders>
                  <w:vAlign w:val="center"/>
                </w:tcPr>
                <w:p w14:paraId="7ECCFB5F">
                  <w:pPr>
                    <w:topLinePunct/>
                    <w:adjustRightInd w:val="0"/>
                    <w:snapToGrid w:val="0"/>
                    <w:spacing w:line="240" w:lineRule="exact"/>
                    <w:jc w:val="center"/>
                    <w:rPr>
                      <w:kern w:val="0"/>
                      <w:sz w:val="18"/>
                      <w:szCs w:val="18"/>
                    </w:rPr>
                  </w:pPr>
                  <w:r>
                    <w:rPr>
                      <w:kern w:val="0"/>
                      <w:sz w:val="18"/>
                      <w:szCs w:val="18"/>
                    </w:rPr>
                    <w:t>废油漆</w:t>
                  </w:r>
                  <w:r>
                    <w:rPr>
                      <w:rFonts w:hint="eastAsia"/>
                      <w:kern w:val="0"/>
                      <w:sz w:val="18"/>
                      <w:szCs w:val="18"/>
                    </w:rPr>
                    <w:t>、有机溶剂</w:t>
                  </w:r>
                </w:p>
              </w:tc>
              <w:tc>
                <w:tcPr>
                  <w:tcW w:w="688" w:type="dxa"/>
                  <w:tcBorders>
                    <w:tl2br w:val="nil"/>
                    <w:tr2bl w:val="nil"/>
                  </w:tcBorders>
                  <w:vAlign w:val="center"/>
                </w:tcPr>
                <w:p w14:paraId="20022F0E">
                  <w:pPr>
                    <w:topLinePunct/>
                    <w:adjustRightInd w:val="0"/>
                    <w:snapToGrid w:val="0"/>
                    <w:spacing w:line="240" w:lineRule="exact"/>
                    <w:jc w:val="center"/>
                    <w:rPr>
                      <w:kern w:val="0"/>
                      <w:sz w:val="18"/>
                      <w:szCs w:val="18"/>
                    </w:rPr>
                  </w:pPr>
                  <w:r>
                    <w:rPr>
                      <w:kern w:val="0"/>
                      <w:sz w:val="18"/>
                      <w:szCs w:val="18"/>
                    </w:rPr>
                    <w:t>废油漆</w:t>
                  </w:r>
                  <w:r>
                    <w:rPr>
                      <w:rFonts w:hint="eastAsia"/>
                      <w:kern w:val="0"/>
                      <w:sz w:val="18"/>
                      <w:szCs w:val="18"/>
                    </w:rPr>
                    <w:t>、有机溶剂</w:t>
                  </w:r>
                </w:p>
              </w:tc>
              <w:tc>
                <w:tcPr>
                  <w:tcW w:w="600" w:type="dxa"/>
                  <w:tcBorders>
                    <w:tl2br w:val="nil"/>
                    <w:tr2bl w:val="nil"/>
                  </w:tcBorders>
                  <w:vAlign w:val="center"/>
                </w:tcPr>
                <w:p w14:paraId="68BA573E">
                  <w:pPr>
                    <w:topLinePunct/>
                    <w:adjustRightInd w:val="0"/>
                    <w:snapToGrid w:val="0"/>
                    <w:spacing w:line="240" w:lineRule="exact"/>
                    <w:jc w:val="center"/>
                    <w:rPr>
                      <w:kern w:val="0"/>
                      <w:sz w:val="18"/>
                      <w:szCs w:val="18"/>
                    </w:rPr>
                  </w:pPr>
                  <w:r>
                    <w:rPr>
                      <w:rFonts w:hint="eastAsia"/>
                      <w:kern w:val="0"/>
                      <w:sz w:val="18"/>
                      <w:szCs w:val="18"/>
                    </w:rPr>
                    <w:t>不定期</w:t>
                  </w:r>
                </w:p>
              </w:tc>
              <w:tc>
                <w:tcPr>
                  <w:tcW w:w="611" w:type="dxa"/>
                  <w:tcBorders>
                    <w:tl2br w:val="nil"/>
                    <w:tr2bl w:val="nil"/>
                  </w:tcBorders>
                  <w:vAlign w:val="center"/>
                </w:tcPr>
                <w:p w14:paraId="019F3221">
                  <w:pPr>
                    <w:topLinePunct/>
                    <w:adjustRightInd w:val="0"/>
                    <w:snapToGrid w:val="0"/>
                    <w:spacing w:line="240" w:lineRule="exact"/>
                    <w:jc w:val="center"/>
                    <w:rPr>
                      <w:sz w:val="18"/>
                      <w:szCs w:val="18"/>
                    </w:rPr>
                  </w:pPr>
                  <w:r>
                    <w:rPr>
                      <w:sz w:val="18"/>
                      <w:szCs w:val="18"/>
                    </w:rPr>
                    <w:t>T，I</w:t>
                  </w:r>
                </w:p>
              </w:tc>
              <w:tc>
                <w:tcPr>
                  <w:tcW w:w="891" w:type="dxa"/>
                  <w:vMerge w:val="continue"/>
                  <w:tcBorders>
                    <w:tl2br w:val="nil"/>
                    <w:tr2bl w:val="nil"/>
                  </w:tcBorders>
                  <w:vAlign w:val="center"/>
                </w:tcPr>
                <w:p w14:paraId="2A405880">
                  <w:pPr>
                    <w:topLinePunct/>
                    <w:adjustRightInd w:val="0"/>
                    <w:snapToGrid w:val="0"/>
                    <w:spacing w:line="240" w:lineRule="exact"/>
                    <w:jc w:val="center"/>
                    <w:rPr>
                      <w:kern w:val="0"/>
                      <w:sz w:val="18"/>
                      <w:szCs w:val="18"/>
                    </w:rPr>
                  </w:pPr>
                </w:p>
              </w:tc>
            </w:tr>
          </w:tbl>
          <w:p w14:paraId="22C022DA">
            <w:pPr>
              <w:spacing w:line="160" w:lineRule="exact"/>
              <w:ind w:firstLine="420" w:firstLineChars="200"/>
              <w:rPr>
                <w:rFonts w:eastAsia="华康简宋"/>
                <w:szCs w:val="24"/>
              </w:rPr>
            </w:pPr>
          </w:p>
          <w:p w14:paraId="49F41973">
            <w:pPr>
              <w:spacing w:line="360" w:lineRule="auto"/>
              <w:ind w:firstLine="480" w:firstLineChars="200"/>
              <w:rPr>
                <w:sz w:val="24"/>
                <w:szCs w:val="24"/>
              </w:rPr>
            </w:pPr>
            <w:r>
              <w:rPr>
                <w:sz w:val="24"/>
                <w:szCs w:val="24"/>
              </w:rPr>
              <w:t>由于漆渣、废</w:t>
            </w:r>
            <w:r>
              <w:rPr>
                <w:rFonts w:hint="eastAsia"/>
                <w:sz w:val="24"/>
                <w:szCs w:val="24"/>
              </w:rPr>
              <w:t>包装桶（油漆桶、稀料桶、环氧树脂胶桶等）、</w:t>
            </w:r>
            <w:r>
              <w:rPr>
                <w:sz w:val="24"/>
                <w:szCs w:val="24"/>
              </w:rPr>
              <w:t>废过滤材料、废催化剂</w:t>
            </w:r>
            <w:r>
              <w:rPr>
                <w:rFonts w:hint="eastAsia"/>
                <w:sz w:val="24"/>
                <w:szCs w:val="24"/>
              </w:rPr>
              <w:t>、</w:t>
            </w:r>
            <w:r>
              <w:rPr>
                <w:rFonts w:hint="eastAsia" w:eastAsia="新宋体"/>
                <w:sz w:val="24"/>
                <w:szCs w:val="24"/>
              </w:rPr>
              <w:t>水喷淋装置</w:t>
            </w:r>
            <w:r>
              <w:rPr>
                <w:rFonts w:hint="eastAsia"/>
                <w:sz w:val="24"/>
                <w:szCs w:val="24"/>
              </w:rPr>
              <w:t>废液均</w:t>
            </w:r>
            <w:r>
              <w:rPr>
                <w:sz w:val="24"/>
                <w:szCs w:val="24"/>
              </w:rPr>
              <w:t>属于危险废物，其储存运输应按《危险废物贮存污染控制标准》（GB18597－2001）及其修改单、《危险废物污染防治技术政策》和《建设项目危险废物环境影响评价指南》的要求进行。</w:t>
            </w:r>
          </w:p>
          <w:p w14:paraId="6E9BC577">
            <w:pPr>
              <w:spacing w:line="360" w:lineRule="auto"/>
              <w:ind w:firstLine="480" w:firstLineChars="200"/>
              <w:rPr>
                <w:sz w:val="24"/>
                <w:szCs w:val="24"/>
              </w:rPr>
            </w:pPr>
            <w:r>
              <w:rPr>
                <w:sz w:val="24"/>
                <w:szCs w:val="24"/>
              </w:rPr>
              <w:t>（1）危险废物的收集和贮存</w:t>
            </w:r>
          </w:p>
          <w:p w14:paraId="4C54207C">
            <w:pPr>
              <w:spacing w:line="360" w:lineRule="auto"/>
              <w:ind w:firstLine="480"/>
              <w:rPr>
                <w:sz w:val="24"/>
                <w:szCs w:val="24"/>
              </w:rPr>
            </w:pPr>
            <w:r>
              <w:rPr>
                <w:sz w:val="24"/>
                <w:szCs w:val="24"/>
              </w:rPr>
              <w:t>危险废物的收集、储存、管理严格按照《危险废物贮存污染控制标准》(GB18597-2001)及2013年修改单要求执行，建立岗位责任制和危险废物管理档案，由专人负责危险废物收集和管理工作；由于《危险废物贮存污染控制标准》(GB18597-2001)及2013年修改单标准中除对医疗废物贮存周期提出了要求外，未对其他危险废物贮存周期提出具体的要求，根据项目的危险废物数量分析，项目存储周期能够保证危险废物的及时运输。</w:t>
            </w:r>
          </w:p>
          <w:p w14:paraId="52D0AD84">
            <w:pPr>
              <w:spacing w:line="360" w:lineRule="auto"/>
              <w:ind w:firstLine="480"/>
              <w:rPr>
                <w:sz w:val="24"/>
                <w:szCs w:val="24"/>
              </w:rPr>
            </w:pPr>
            <w:r>
              <w:rPr>
                <w:sz w:val="24"/>
                <w:szCs w:val="24"/>
              </w:rPr>
              <w:t>危废库必须设置识别危险废物的明显标志，并严格采取“四防”措施：</w:t>
            </w:r>
          </w:p>
          <w:p w14:paraId="392240E2">
            <w:pPr>
              <w:spacing w:line="360" w:lineRule="auto"/>
              <w:ind w:firstLine="480"/>
              <w:rPr>
                <w:sz w:val="24"/>
                <w:szCs w:val="24"/>
              </w:rPr>
            </w:pPr>
            <w:r>
              <w:rPr>
                <w:b/>
                <w:bCs/>
                <w:sz w:val="24"/>
                <w:szCs w:val="24"/>
              </w:rPr>
              <w:t>防风、防雨、防晒</w:t>
            </w:r>
            <w:r>
              <w:rPr>
                <w:sz w:val="24"/>
                <w:szCs w:val="24"/>
              </w:rPr>
              <w:t>：</w:t>
            </w:r>
            <w:r>
              <w:rPr>
                <w:rFonts w:hint="eastAsia"/>
                <w:sz w:val="24"/>
                <w:szCs w:val="24"/>
              </w:rPr>
              <w:t>本</w:t>
            </w:r>
            <w:r>
              <w:rPr>
                <w:sz w:val="24"/>
                <w:szCs w:val="24"/>
              </w:rPr>
              <w:t>项目危废库位于</w:t>
            </w:r>
            <w:r>
              <w:rPr>
                <w:rFonts w:hint="eastAsia"/>
                <w:sz w:val="24"/>
                <w:szCs w:val="24"/>
              </w:rPr>
              <w:t>项目车间西侧</w:t>
            </w:r>
            <w:r>
              <w:rPr>
                <w:sz w:val="24"/>
                <w:szCs w:val="24"/>
              </w:rPr>
              <w:t>，共设1个，面积约</w:t>
            </w:r>
            <w:r>
              <w:rPr>
                <w:rFonts w:hint="eastAsia"/>
                <w:sz w:val="24"/>
                <w:szCs w:val="24"/>
              </w:rPr>
              <w:t>10</w:t>
            </w:r>
            <w:r>
              <w:rPr>
                <w:sz w:val="24"/>
                <w:szCs w:val="24"/>
              </w:rPr>
              <w:t>m</w:t>
            </w:r>
            <w:r>
              <w:rPr>
                <w:sz w:val="24"/>
                <w:szCs w:val="24"/>
                <w:vertAlign w:val="superscript"/>
              </w:rPr>
              <w:t>2</w:t>
            </w:r>
            <w:r>
              <w:rPr>
                <w:sz w:val="24"/>
                <w:szCs w:val="24"/>
              </w:rPr>
              <w:t>，危废库设置为密闭间，能起到很好的防风、防雨、防晒效果。</w:t>
            </w:r>
          </w:p>
          <w:p w14:paraId="2F721F13">
            <w:pPr>
              <w:spacing w:line="360" w:lineRule="auto"/>
              <w:ind w:firstLine="480"/>
              <w:rPr>
                <w:sz w:val="24"/>
                <w:szCs w:val="24"/>
              </w:rPr>
            </w:pPr>
            <w:r>
              <w:rPr>
                <w:b/>
                <w:bCs/>
                <w:sz w:val="24"/>
                <w:szCs w:val="24"/>
              </w:rPr>
              <w:t>防渗漏</w:t>
            </w:r>
            <w:r>
              <w:rPr>
                <w:sz w:val="24"/>
                <w:szCs w:val="24"/>
              </w:rPr>
              <w:t>：危废库地面进行硬化和防渗漏处理，建设堵截泄漏的裙脚，地面与裙脚要用坚固防渗的材料建造。同时其地面须为耐腐蚀的硬化地面，且地面无裂隙；基础防渗层可用厚度在2mm以上的高密度聚乙烯或其他人工防渗材料组成，渗透系数应小于1.0×10</w:t>
            </w:r>
            <w:r>
              <w:rPr>
                <w:sz w:val="24"/>
                <w:szCs w:val="24"/>
                <w:vertAlign w:val="superscript"/>
              </w:rPr>
              <w:t>-10</w:t>
            </w:r>
            <w:r>
              <w:rPr>
                <w:sz w:val="24"/>
                <w:szCs w:val="24"/>
              </w:rPr>
              <w:t>cm/s。</w:t>
            </w:r>
          </w:p>
          <w:p w14:paraId="2AD923FE">
            <w:pPr>
              <w:spacing w:line="360" w:lineRule="auto"/>
              <w:ind w:firstLine="480"/>
              <w:rPr>
                <w:sz w:val="24"/>
                <w:szCs w:val="24"/>
              </w:rPr>
            </w:pPr>
            <w:r>
              <w:rPr>
                <w:sz w:val="24"/>
                <w:szCs w:val="24"/>
              </w:rPr>
              <w:t>危废库内，各类危险废物应分区贮存，各个分区应设置围堰或托盘，围堰或托盘的容积应大于储存物料量，事故发生时可保证将泄漏的物料控制在围堰或托盘内，每个分区均应粘贴储存物质标牌等。收集、贮存危险废物的场所、设施、设备和容器、包装物或其他物品转作他用时，必须经过消除污染的处理，并经环境保护监测部门监测，达到无害化标准，未达标准的严禁转作他用。</w:t>
            </w:r>
          </w:p>
          <w:p w14:paraId="63652592">
            <w:pPr>
              <w:spacing w:line="360" w:lineRule="auto"/>
              <w:ind w:firstLine="480"/>
              <w:rPr>
                <w:sz w:val="24"/>
                <w:szCs w:val="24"/>
              </w:rPr>
            </w:pPr>
            <w:r>
              <w:rPr>
                <w:sz w:val="24"/>
                <w:szCs w:val="24"/>
              </w:rPr>
              <w:t>在收集、贮存危险废物过程中，发生污染事故或其他突发性污染事件时，必须立即采取措施，消除或减轻污染危害，及时通知可能受到危害的单位和居民，并应于24h内向所在区、市环境保护行政主管部门和有关部门报告，接受调查处理。</w:t>
            </w:r>
          </w:p>
          <w:p w14:paraId="067FE416">
            <w:pPr>
              <w:spacing w:line="360" w:lineRule="auto"/>
              <w:ind w:firstLine="480"/>
              <w:rPr>
                <w:sz w:val="24"/>
                <w:szCs w:val="24"/>
              </w:rPr>
            </w:pPr>
            <w:r>
              <w:rPr>
                <w:sz w:val="24"/>
                <w:szCs w:val="24"/>
              </w:rPr>
              <w:t>收集、贮存危险废物过程中按危险废物特性进行分类包装。包装容器的外面必须有表示废物形态、性质的明显标志，并向运输者和接受者提供安全保护要求的文字说明。</w:t>
            </w:r>
          </w:p>
          <w:p w14:paraId="7828DFFD">
            <w:pPr>
              <w:spacing w:line="360" w:lineRule="auto"/>
              <w:ind w:firstLine="480" w:firstLineChars="200"/>
              <w:rPr>
                <w:sz w:val="24"/>
                <w:szCs w:val="24"/>
              </w:rPr>
            </w:pPr>
            <w:r>
              <w:rPr>
                <w:sz w:val="24"/>
                <w:szCs w:val="24"/>
              </w:rPr>
              <w:t>危废库管理人员每月统计危险废物的产生数量，并按照有关规定及时进行清运和处置。</w:t>
            </w:r>
            <w:r>
              <w:rPr>
                <w:rFonts w:hint="eastAsia"/>
                <w:sz w:val="24"/>
                <w:szCs w:val="24"/>
              </w:rPr>
              <w:t>本</w:t>
            </w:r>
            <w:r>
              <w:rPr>
                <w:sz w:val="24"/>
                <w:szCs w:val="24"/>
              </w:rPr>
              <w:t>项目危险废物贮存场所（设施）基本情况见下表。</w:t>
            </w:r>
          </w:p>
          <w:p w14:paraId="2F9729BE">
            <w:pPr>
              <w:jc w:val="center"/>
              <w:rPr>
                <w:b/>
                <w:bCs/>
                <w:sz w:val="24"/>
                <w:szCs w:val="24"/>
              </w:rPr>
            </w:pPr>
            <w:r>
              <w:rPr>
                <w:b/>
                <w:bCs/>
                <w:sz w:val="24"/>
                <w:szCs w:val="24"/>
              </w:rPr>
              <w:t>表7-</w:t>
            </w:r>
            <w:r>
              <w:rPr>
                <w:rFonts w:hint="eastAsia"/>
                <w:b/>
                <w:bCs/>
                <w:sz w:val="24"/>
                <w:szCs w:val="24"/>
              </w:rPr>
              <w:t>15</w:t>
            </w:r>
            <w:r>
              <w:rPr>
                <w:b/>
                <w:bCs/>
                <w:sz w:val="24"/>
                <w:szCs w:val="24"/>
              </w:rPr>
              <w:t xml:space="preserve">  建设项目危险废物贮存场所（设施）基本情况表</w:t>
            </w:r>
          </w:p>
          <w:tbl>
            <w:tblPr>
              <w:tblStyle w:val="27"/>
              <w:tblW w:w="890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1"/>
              <w:gridCol w:w="743"/>
              <w:gridCol w:w="1548"/>
              <w:gridCol w:w="996"/>
              <w:gridCol w:w="1296"/>
              <w:gridCol w:w="792"/>
              <w:gridCol w:w="804"/>
              <w:gridCol w:w="870"/>
              <w:gridCol w:w="709"/>
              <w:gridCol w:w="708"/>
            </w:tblGrid>
            <w:tr w14:paraId="23C6BC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14:paraId="64DBF875">
                  <w:pPr>
                    <w:topLinePunct/>
                    <w:adjustRightInd w:val="0"/>
                    <w:snapToGrid w:val="0"/>
                    <w:jc w:val="center"/>
                    <w:rPr>
                      <w:kern w:val="0"/>
                      <w:sz w:val="18"/>
                      <w:szCs w:val="18"/>
                    </w:rPr>
                  </w:pPr>
                  <w:r>
                    <w:rPr>
                      <w:kern w:val="0"/>
                      <w:sz w:val="18"/>
                      <w:szCs w:val="18"/>
                    </w:rPr>
                    <w:t>序号</w:t>
                  </w:r>
                </w:p>
              </w:tc>
              <w:tc>
                <w:tcPr>
                  <w:tcW w:w="743" w:type="dxa"/>
                  <w:tcBorders>
                    <w:tl2br w:val="nil"/>
                    <w:tr2bl w:val="nil"/>
                  </w:tcBorders>
                  <w:vAlign w:val="center"/>
                </w:tcPr>
                <w:p w14:paraId="23388C8C">
                  <w:pPr>
                    <w:topLinePunct/>
                    <w:adjustRightInd w:val="0"/>
                    <w:snapToGrid w:val="0"/>
                    <w:jc w:val="center"/>
                    <w:rPr>
                      <w:kern w:val="0"/>
                      <w:sz w:val="18"/>
                      <w:szCs w:val="18"/>
                    </w:rPr>
                  </w:pPr>
                  <w:r>
                    <w:rPr>
                      <w:kern w:val="0"/>
                      <w:sz w:val="18"/>
                      <w:szCs w:val="18"/>
                    </w:rPr>
                    <w:t>贮存场所名称</w:t>
                  </w:r>
                </w:p>
              </w:tc>
              <w:tc>
                <w:tcPr>
                  <w:tcW w:w="1548" w:type="dxa"/>
                  <w:tcBorders>
                    <w:tl2br w:val="nil"/>
                    <w:tr2bl w:val="nil"/>
                  </w:tcBorders>
                  <w:vAlign w:val="center"/>
                </w:tcPr>
                <w:p w14:paraId="14331C01">
                  <w:pPr>
                    <w:topLinePunct/>
                    <w:adjustRightInd w:val="0"/>
                    <w:snapToGrid w:val="0"/>
                    <w:jc w:val="center"/>
                    <w:rPr>
                      <w:kern w:val="0"/>
                      <w:sz w:val="18"/>
                      <w:szCs w:val="18"/>
                    </w:rPr>
                  </w:pPr>
                  <w:r>
                    <w:rPr>
                      <w:kern w:val="0"/>
                      <w:sz w:val="18"/>
                      <w:szCs w:val="18"/>
                    </w:rPr>
                    <w:t>危险废物名称</w:t>
                  </w:r>
                </w:p>
              </w:tc>
              <w:tc>
                <w:tcPr>
                  <w:tcW w:w="996" w:type="dxa"/>
                  <w:tcBorders>
                    <w:tl2br w:val="nil"/>
                    <w:tr2bl w:val="nil"/>
                  </w:tcBorders>
                  <w:vAlign w:val="center"/>
                </w:tcPr>
                <w:p w14:paraId="51231741">
                  <w:pPr>
                    <w:topLinePunct/>
                    <w:adjustRightInd w:val="0"/>
                    <w:snapToGrid w:val="0"/>
                    <w:jc w:val="center"/>
                    <w:rPr>
                      <w:kern w:val="0"/>
                      <w:sz w:val="18"/>
                      <w:szCs w:val="18"/>
                    </w:rPr>
                  </w:pPr>
                  <w:r>
                    <w:rPr>
                      <w:kern w:val="0"/>
                      <w:sz w:val="18"/>
                      <w:szCs w:val="18"/>
                    </w:rPr>
                    <w:t>危险废物类别</w:t>
                  </w:r>
                </w:p>
              </w:tc>
              <w:tc>
                <w:tcPr>
                  <w:tcW w:w="1296" w:type="dxa"/>
                  <w:tcBorders>
                    <w:tl2br w:val="nil"/>
                    <w:tr2bl w:val="nil"/>
                  </w:tcBorders>
                  <w:vAlign w:val="center"/>
                </w:tcPr>
                <w:p w14:paraId="5AF5A8E0">
                  <w:pPr>
                    <w:topLinePunct/>
                    <w:adjustRightInd w:val="0"/>
                    <w:snapToGrid w:val="0"/>
                    <w:jc w:val="center"/>
                    <w:rPr>
                      <w:kern w:val="0"/>
                      <w:sz w:val="18"/>
                      <w:szCs w:val="18"/>
                    </w:rPr>
                  </w:pPr>
                  <w:r>
                    <w:rPr>
                      <w:kern w:val="0"/>
                      <w:sz w:val="18"/>
                      <w:szCs w:val="18"/>
                    </w:rPr>
                    <w:t>危险废物</w:t>
                  </w:r>
                </w:p>
                <w:p w14:paraId="517C171A">
                  <w:pPr>
                    <w:topLinePunct/>
                    <w:adjustRightInd w:val="0"/>
                    <w:snapToGrid w:val="0"/>
                    <w:jc w:val="center"/>
                    <w:rPr>
                      <w:kern w:val="0"/>
                      <w:sz w:val="18"/>
                      <w:szCs w:val="18"/>
                    </w:rPr>
                  </w:pPr>
                  <w:r>
                    <w:rPr>
                      <w:kern w:val="0"/>
                      <w:sz w:val="18"/>
                      <w:szCs w:val="18"/>
                    </w:rPr>
                    <w:t>代码</w:t>
                  </w:r>
                </w:p>
              </w:tc>
              <w:tc>
                <w:tcPr>
                  <w:tcW w:w="792" w:type="dxa"/>
                  <w:tcBorders>
                    <w:tl2br w:val="nil"/>
                    <w:tr2bl w:val="nil"/>
                  </w:tcBorders>
                  <w:vAlign w:val="center"/>
                </w:tcPr>
                <w:p w14:paraId="4CCD992B">
                  <w:pPr>
                    <w:topLinePunct/>
                    <w:adjustRightInd w:val="0"/>
                    <w:snapToGrid w:val="0"/>
                    <w:jc w:val="center"/>
                    <w:rPr>
                      <w:kern w:val="0"/>
                      <w:sz w:val="18"/>
                      <w:szCs w:val="18"/>
                    </w:rPr>
                  </w:pPr>
                  <w:r>
                    <w:rPr>
                      <w:kern w:val="0"/>
                      <w:sz w:val="18"/>
                      <w:szCs w:val="18"/>
                    </w:rPr>
                    <w:t>位置</w:t>
                  </w:r>
                </w:p>
              </w:tc>
              <w:tc>
                <w:tcPr>
                  <w:tcW w:w="804" w:type="dxa"/>
                  <w:tcBorders>
                    <w:tl2br w:val="nil"/>
                    <w:tr2bl w:val="nil"/>
                  </w:tcBorders>
                  <w:vAlign w:val="center"/>
                </w:tcPr>
                <w:p w14:paraId="79297299">
                  <w:pPr>
                    <w:topLinePunct/>
                    <w:adjustRightInd w:val="0"/>
                    <w:snapToGrid w:val="0"/>
                    <w:jc w:val="center"/>
                    <w:rPr>
                      <w:kern w:val="0"/>
                      <w:sz w:val="18"/>
                      <w:szCs w:val="18"/>
                    </w:rPr>
                  </w:pPr>
                  <w:r>
                    <w:rPr>
                      <w:kern w:val="0"/>
                      <w:sz w:val="18"/>
                      <w:szCs w:val="18"/>
                    </w:rPr>
                    <w:t>占地面积</w:t>
                  </w:r>
                </w:p>
              </w:tc>
              <w:tc>
                <w:tcPr>
                  <w:tcW w:w="870" w:type="dxa"/>
                  <w:tcBorders>
                    <w:tl2br w:val="nil"/>
                    <w:tr2bl w:val="nil"/>
                  </w:tcBorders>
                  <w:vAlign w:val="center"/>
                </w:tcPr>
                <w:p w14:paraId="077AB537">
                  <w:pPr>
                    <w:topLinePunct/>
                    <w:adjustRightInd w:val="0"/>
                    <w:snapToGrid w:val="0"/>
                    <w:jc w:val="center"/>
                    <w:rPr>
                      <w:kern w:val="0"/>
                      <w:sz w:val="18"/>
                      <w:szCs w:val="18"/>
                    </w:rPr>
                  </w:pPr>
                  <w:r>
                    <w:rPr>
                      <w:kern w:val="0"/>
                      <w:sz w:val="18"/>
                      <w:szCs w:val="18"/>
                    </w:rPr>
                    <w:t>贮存容器</w:t>
                  </w:r>
                </w:p>
              </w:tc>
              <w:tc>
                <w:tcPr>
                  <w:tcW w:w="709" w:type="dxa"/>
                  <w:tcBorders>
                    <w:tl2br w:val="nil"/>
                    <w:tr2bl w:val="nil"/>
                  </w:tcBorders>
                  <w:vAlign w:val="center"/>
                </w:tcPr>
                <w:p w14:paraId="7D4DA1FC">
                  <w:pPr>
                    <w:topLinePunct/>
                    <w:adjustRightInd w:val="0"/>
                    <w:snapToGrid w:val="0"/>
                    <w:jc w:val="center"/>
                    <w:rPr>
                      <w:kern w:val="0"/>
                      <w:sz w:val="18"/>
                      <w:szCs w:val="18"/>
                    </w:rPr>
                  </w:pPr>
                  <w:r>
                    <w:rPr>
                      <w:kern w:val="0"/>
                      <w:sz w:val="18"/>
                      <w:szCs w:val="18"/>
                    </w:rPr>
                    <w:t>贮存</w:t>
                  </w:r>
                </w:p>
                <w:p w14:paraId="4D64EDF4">
                  <w:pPr>
                    <w:topLinePunct/>
                    <w:adjustRightInd w:val="0"/>
                    <w:snapToGrid w:val="0"/>
                    <w:jc w:val="center"/>
                    <w:rPr>
                      <w:kern w:val="0"/>
                      <w:sz w:val="18"/>
                      <w:szCs w:val="18"/>
                    </w:rPr>
                  </w:pPr>
                  <w:r>
                    <w:rPr>
                      <w:kern w:val="0"/>
                      <w:sz w:val="18"/>
                      <w:szCs w:val="18"/>
                    </w:rPr>
                    <w:t>能力</w:t>
                  </w:r>
                </w:p>
              </w:tc>
              <w:tc>
                <w:tcPr>
                  <w:tcW w:w="708" w:type="dxa"/>
                  <w:tcBorders>
                    <w:tl2br w:val="nil"/>
                    <w:tr2bl w:val="nil"/>
                  </w:tcBorders>
                  <w:vAlign w:val="center"/>
                </w:tcPr>
                <w:p w14:paraId="20F9E021">
                  <w:pPr>
                    <w:topLinePunct/>
                    <w:adjustRightInd w:val="0"/>
                    <w:snapToGrid w:val="0"/>
                    <w:jc w:val="center"/>
                    <w:rPr>
                      <w:kern w:val="0"/>
                      <w:sz w:val="18"/>
                      <w:szCs w:val="18"/>
                    </w:rPr>
                  </w:pPr>
                  <w:r>
                    <w:rPr>
                      <w:kern w:val="0"/>
                      <w:sz w:val="18"/>
                      <w:szCs w:val="18"/>
                    </w:rPr>
                    <w:t>贮存</w:t>
                  </w:r>
                </w:p>
                <w:p w14:paraId="2B8ADBE5">
                  <w:pPr>
                    <w:topLinePunct/>
                    <w:adjustRightInd w:val="0"/>
                    <w:snapToGrid w:val="0"/>
                    <w:jc w:val="center"/>
                    <w:rPr>
                      <w:kern w:val="0"/>
                      <w:sz w:val="18"/>
                      <w:szCs w:val="18"/>
                    </w:rPr>
                  </w:pPr>
                  <w:r>
                    <w:rPr>
                      <w:kern w:val="0"/>
                      <w:sz w:val="18"/>
                      <w:szCs w:val="18"/>
                    </w:rPr>
                    <w:t>周期</w:t>
                  </w:r>
                </w:p>
              </w:tc>
            </w:tr>
            <w:tr w14:paraId="43C579D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14:paraId="1DF7E9E8">
                  <w:pPr>
                    <w:topLinePunct/>
                    <w:adjustRightInd w:val="0"/>
                    <w:snapToGrid w:val="0"/>
                    <w:jc w:val="center"/>
                    <w:rPr>
                      <w:kern w:val="0"/>
                      <w:sz w:val="18"/>
                      <w:szCs w:val="18"/>
                    </w:rPr>
                  </w:pPr>
                  <w:r>
                    <w:rPr>
                      <w:kern w:val="0"/>
                      <w:sz w:val="18"/>
                      <w:szCs w:val="18"/>
                    </w:rPr>
                    <w:t>1</w:t>
                  </w:r>
                </w:p>
              </w:tc>
              <w:tc>
                <w:tcPr>
                  <w:tcW w:w="743" w:type="dxa"/>
                  <w:vMerge w:val="restart"/>
                  <w:tcBorders>
                    <w:tl2br w:val="nil"/>
                    <w:tr2bl w:val="nil"/>
                  </w:tcBorders>
                  <w:vAlign w:val="center"/>
                </w:tcPr>
                <w:p w14:paraId="25442B4F">
                  <w:pPr>
                    <w:topLinePunct/>
                    <w:adjustRightInd w:val="0"/>
                    <w:snapToGrid w:val="0"/>
                    <w:jc w:val="center"/>
                    <w:rPr>
                      <w:kern w:val="0"/>
                      <w:sz w:val="18"/>
                      <w:szCs w:val="18"/>
                    </w:rPr>
                  </w:pPr>
                  <w:r>
                    <w:rPr>
                      <w:kern w:val="0"/>
                      <w:sz w:val="18"/>
                      <w:szCs w:val="18"/>
                    </w:rPr>
                    <w:t>危废库</w:t>
                  </w:r>
                </w:p>
              </w:tc>
              <w:tc>
                <w:tcPr>
                  <w:tcW w:w="1548" w:type="dxa"/>
                  <w:tcBorders>
                    <w:tl2br w:val="nil"/>
                    <w:tr2bl w:val="nil"/>
                  </w:tcBorders>
                  <w:vAlign w:val="center"/>
                </w:tcPr>
                <w:p w14:paraId="1F812FB5">
                  <w:pPr>
                    <w:topLinePunct/>
                    <w:adjustRightInd w:val="0"/>
                    <w:snapToGrid w:val="0"/>
                    <w:spacing w:line="240" w:lineRule="exact"/>
                    <w:jc w:val="center"/>
                    <w:rPr>
                      <w:kern w:val="0"/>
                      <w:sz w:val="18"/>
                      <w:szCs w:val="18"/>
                    </w:rPr>
                  </w:pPr>
                  <w:r>
                    <w:rPr>
                      <w:sz w:val="18"/>
                      <w:szCs w:val="18"/>
                    </w:rPr>
                    <w:t>漆渣</w:t>
                  </w:r>
                </w:p>
              </w:tc>
              <w:tc>
                <w:tcPr>
                  <w:tcW w:w="996" w:type="dxa"/>
                  <w:tcBorders>
                    <w:tl2br w:val="nil"/>
                    <w:tr2bl w:val="nil"/>
                  </w:tcBorders>
                  <w:vAlign w:val="center"/>
                </w:tcPr>
                <w:p w14:paraId="12B5BCC2">
                  <w:pPr>
                    <w:topLinePunct/>
                    <w:adjustRightInd w:val="0"/>
                    <w:snapToGrid w:val="0"/>
                    <w:spacing w:line="240" w:lineRule="exact"/>
                    <w:jc w:val="center"/>
                    <w:rPr>
                      <w:kern w:val="0"/>
                      <w:sz w:val="18"/>
                      <w:szCs w:val="18"/>
                    </w:rPr>
                  </w:pPr>
                  <w:r>
                    <w:rPr>
                      <w:sz w:val="18"/>
                      <w:szCs w:val="18"/>
                    </w:rPr>
                    <w:t>HW12</w:t>
                  </w:r>
                </w:p>
              </w:tc>
              <w:tc>
                <w:tcPr>
                  <w:tcW w:w="1296" w:type="dxa"/>
                  <w:tcBorders>
                    <w:tl2br w:val="nil"/>
                    <w:tr2bl w:val="nil"/>
                  </w:tcBorders>
                  <w:vAlign w:val="center"/>
                </w:tcPr>
                <w:p w14:paraId="25818763">
                  <w:pPr>
                    <w:topLinePunct/>
                    <w:adjustRightInd w:val="0"/>
                    <w:snapToGrid w:val="0"/>
                    <w:spacing w:line="240" w:lineRule="exact"/>
                    <w:jc w:val="center"/>
                    <w:rPr>
                      <w:kern w:val="0"/>
                      <w:sz w:val="18"/>
                      <w:szCs w:val="18"/>
                    </w:rPr>
                  </w:pPr>
                  <w:r>
                    <w:rPr>
                      <w:sz w:val="18"/>
                      <w:szCs w:val="18"/>
                    </w:rPr>
                    <w:t>900-252-12</w:t>
                  </w:r>
                </w:p>
              </w:tc>
              <w:tc>
                <w:tcPr>
                  <w:tcW w:w="792" w:type="dxa"/>
                  <w:vMerge w:val="restart"/>
                  <w:tcBorders>
                    <w:tl2br w:val="nil"/>
                    <w:tr2bl w:val="nil"/>
                  </w:tcBorders>
                  <w:vAlign w:val="center"/>
                </w:tcPr>
                <w:p w14:paraId="6FE6432D">
                  <w:pPr>
                    <w:topLinePunct/>
                    <w:adjustRightInd w:val="0"/>
                    <w:snapToGrid w:val="0"/>
                    <w:jc w:val="center"/>
                    <w:rPr>
                      <w:kern w:val="0"/>
                      <w:sz w:val="18"/>
                      <w:szCs w:val="18"/>
                    </w:rPr>
                  </w:pPr>
                  <w:r>
                    <w:rPr>
                      <w:rFonts w:hint="eastAsia"/>
                      <w:sz w:val="18"/>
                      <w:szCs w:val="18"/>
                    </w:rPr>
                    <w:t>位于车间西侧</w:t>
                  </w:r>
                </w:p>
              </w:tc>
              <w:tc>
                <w:tcPr>
                  <w:tcW w:w="804" w:type="dxa"/>
                  <w:vMerge w:val="restart"/>
                  <w:tcBorders>
                    <w:tl2br w:val="nil"/>
                    <w:tr2bl w:val="nil"/>
                  </w:tcBorders>
                  <w:vAlign w:val="center"/>
                </w:tcPr>
                <w:p w14:paraId="53D50350">
                  <w:pPr>
                    <w:topLinePunct/>
                    <w:adjustRightInd w:val="0"/>
                    <w:snapToGrid w:val="0"/>
                    <w:jc w:val="center"/>
                    <w:rPr>
                      <w:kern w:val="0"/>
                      <w:sz w:val="18"/>
                      <w:szCs w:val="18"/>
                    </w:rPr>
                  </w:pPr>
                  <w:r>
                    <w:rPr>
                      <w:rFonts w:hint="eastAsia"/>
                      <w:kern w:val="0"/>
                      <w:sz w:val="18"/>
                      <w:szCs w:val="18"/>
                    </w:rPr>
                    <w:t>10</w:t>
                  </w:r>
                  <w:r>
                    <w:rPr>
                      <w:kern w:val="0"/>
                      <w:sz w:val="18"/>
                      <w:szCs w:val="18"/>
                    </w:rPr>
                    <w:t>m</w:t>
                  </w:r>
                  <w:r>
                    <w:rPr>
                      <w:kern w:val="0"/>
                      <w:sz w:val="18"/>
                      <w:szCs w:val="18"/>
                      <w:vertAlign w:val="superscript"/>
                    </w:rPr>
                    <w:t>2</w:t>
                  </w:r>
                  <w:r>
                    <w:rPr>
                      <w:kern w:val="0"/>
                      <w:sz w:val="18"/>
                      <w:szCs w:val="18"/>
                    </w:rPr>
                    <w:t>，共1个</w:t>
                  </w:r>
                </w:p>
              </w:tc>
              <w:tc>
                <w:tcPr>
                  <w:tcW w:w="870" w:type="dxa"/>
                  <w:tcBorders>
                    <w:tl2br w:val="nil"/>
                    <w:tr2bl w:val="nil"/>
                  </w:tcBorders>
                  <w:vAlign w:val="center"/>
                </w:tcPr>
                <w:p w14:paraId="71896DE3">
                  <w:pPr>
                    <w:topLinePunct/>
                    <w:adjustRightInd w:val="0"/>
                    <w:snapToGrid w:val="0"/>
                    <w:jc w:val="center"/>
                    <w:rPr>
                      <w:kern w:val="0"/>
                      <w:sz w:val="18"/>
                      <w:szCs w:val="18"/>
                    </w:rPr>
                  </w:pPr>
                  <w:r>
                    <w:rPr>
                      <w:kern w:val="0"/>
                      <w:sz w:val="18"/>
                      <w:szCs w:val="18"/>
                    </w:rPr>
                    <w:t>铁桶</w:t>
                  </w:r>
                </w:p>
              </w:tc>
              <w:tc>
                <w:tcPr>
                  <w:tcW w:w="709" w:type="dxa"/>
                  <w:tcBorders>
                    <w:tl2br w:val="nil"/>
                    <w:tr2bl w:val="nil"/>
                  </w:tcBorders>
                  <w:vAlign w:val="center"/>
                </w:tcPr>
                <w:p w14:paraId="45AF4CC9">
                  <w:pPr>
                    <w:topLinePunct/>
                    <w:adjustRightInd w:val="0"/>
                    <w:snapToGrid w:val="0"/>
                    <w:jc w:val="center"/>
                    <w:rPr>
                      <w:kern w:val="0"/>
                      <w:sz w:val="18"/>
                      <w:szCs w:val="18"/>
                    </w:rPr>
                  </w:pPr>
                  <w:r>
                    <w:rPr>
                      <w:rFonts w:hint="eastAsia"/>
                      <w:kern w:val="0"/>
                      <w:sz w:val="18"/>
                      <w:szCs w:val="18"/>
                    </w:rPr>
                    <w:t>1.0</w:t>
                  </w:r>
                  <w:r>
                    <w:rPr>
                      <w:kern w:val="0"/>
                      <w:sz w:val="18"/>
                      <w:szCs w:val="18"/>
                    </w:rPr>
                    <w:t>t</w:t>
                  </w:r>
                </w:p>
              </w:tc>
              <w:tc>
                <w:tcPr>
                  <w:tcW w:w="708" w:type="dxa"/>
                  <w:tcBorders>
                    <w:tl2br w:val="nil"/>
                    <w:tr2bl w:val="nil"/>
                  </w:tcBorders>
                  <w:vAlign w:val="center"/>
                </w:tcPr>
                <w:p w14:paraId="58550F92">
                  <w:pPr>
                    <w:topLinePunct/>
                    <w:adjustRightInd w:val="0"/>
                    <w:snapToGrid w:val="0"/>
                    <w:jc w:val="center"/>
                    <w:rPr>
                      <w:kern w:val="0"/>
                      <w:sz w:val="18"/>
                      <w:szCs w:val="18"/>
                    </w:rPr>
                  </w:pPr>
                  <w:r>
                    <w:rPr>
                      <w:kern w:val="0"/>
                      <w:sz w:val="18"/>
                      <w:szCs w:val="18"/>
                    </w:rPr>
                    <w:t>1年</w:t>
                  </w:r>
                </w:p>
              </w:tc>
            </w:tr>
            <w:tr w14:paraId="7E36A54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14:paraId="0575C896">
                  <w:pPr>
                    <w:topLinePunct/>
                    <w:adjustRightInd w:val="0"/>
                    <w:snapToGrid w:val="0"/>
                    <w:jc w:val="center"/>
                    <w:rPr>
                      <w:kern w:val="0"/>
                      <w:sz w:val="18"/>
                      <w:szCs w:val="18"/>
                    </w:rPr>
                  </w:pPr>
                  <w:r>
                    <w:rPr>
                      <w:rFonts w:hint="eastAsia"/>
                      <w:kern w:val="0"/>
                      <w:sz w:val="18"/>
                      <w:szCs w:val="18"/>
                    </w:rPr>
                    <w:t>2</w:t>
                  </w:r>
                </w:p>
              </w:tc>
              <w:tc>
                <w:tcPr>
                  <w:tcW w:w="743" w:type="dxa"/>
                  <w:vMerge w:val="continue"/>
                  <w:tcBorders>
                    <w:tl2br w:val="nil"/>
                    <w:tr2bl w:val="nil"/>
                  </w:tcBorders>
                  <w:vAlign w:val="center"/>
                </w:tcPr>
                <w:p w14:paraId="7561B084">
                  <w:pPr>
                    <w:topLinePunct/>
                    <w:adjustRightInd w:val="0"/>
                    <w:snapToGrid w:val="0"/>
                    <w:jc w:val="center"/>
                    <w:rPr>
                      <w:kern w:val="0"/>
                      <w:sz w:val="18"/>
                      <w:szCs w:val="18"/>
                    </w:rPr>
                  </w:pPr>
                </w:p>
              </w:tc>
              <w:tc>
                <w:tcPr>
                  <w:tcW w:w="1548" w:type="dxa"/>
                  <w:tcBorders>
                    <w:tl2br w:val="nil"/>
                    <w:tr2bl w:val="nil"/>
                  </w:tcBorders>
                  <w:vAlign w:val="center"/>
                </w:tcPr>
                <w:p w14:paraId="076E252F">
                  <w:pPr>
                    <w:topLinePunct/>
                    <w:adjustRightInd w:val="0"/>
                    <w:snapToGrid w:val="0"/>
                    <w:spacing w:line="240" w:lineRule="exact"/>
                    <w:jc w:val="center"/>
                    <w:rPr>
                      <w:sz w:val="18"/>
                      <w:szCs w:val="18"/>
                    </w:rPr>
                  </w:pPr>
                  <w:r>
                    <w:rPr>
                      <w:rFonts w:hint="eastAsia"/>
                      <w:sz w:val="18"/>
                      <w:szCs w:val="18"/>
                    </w:rPr>
                    <w:t>废包装桶</w:t>
                  </w:r>
                </w:p>
              </w:tc>
              <w:tc>
                <w:tcPr>
                  <w:tcW w:w="996" w:type="dxa"/>
                  <w:tcBorders>
                    <w:tl2br w:val="nil"/>
                    <w:tr2bl w:val="nil"/>
                  </w:tcBorders>
                  <w:vAlign w:val="center"/>
                </w:tcPr>
                <w:p w14:paraId="150C0055">
                  <w:pPr>
                    <w:topLinePunct/>
                    <w:adjustRightInd w:val="0"/>
                    <w:snapToGrid w:val="0"/>
                    <w:spacing w:line="240" w:lineRule="exact"/>
                    <w:jc w:val="center"/>
                    <w:rPr>
                      <w:sz w:val="18"/>
                      <w:szCs w:val="18"/>
                    </w:rPr>
                  </w:pPr>
                  <w:r>
                    <w:rPr>
                      <w:sz w:val="18"/>
                      <w:szCs w:val="18"/>
                    </w:rPr>
                    <w:t>HW49</w:t>
                  </w:r>
                </w:p>
              </w:tc>
              <w:tc>
                <w:tcPr>
                  <w:tcW w:w="1296" w:type="dxa"/>
                  <w:tcBorders>
                    <w:tl2br w:val="nil"/>
                    <w:tr2bl w:val="nil"/>
                  </w:tcBorders>
                  <w:vAlign w:val="center"/>
                </w:tcPr>
                <w:p w14:paraId="00752D19">
                  <w:pPr>
                    <w:spacing w:line="240" w:lineRule="exact"/>
                    <w:jc w:val="center"/>
                    <w:rPr>
                      <w:sz w:val="18"/>
                      <w:szCs w:val="18"/>
                    </w:rPr>
                  </w:pPr>
                  <w:r>
                    <w:rPr>
                      <w:sz w:val="18"/>
                      <w:szCs w:val="18"/>
                    </w:rPr>
                    <w:t>900-041-49</w:t>
                  </w:r>
                </w:p>
              </w:tc>
              <w:tc>
                <w:tcPr>
                  <w:tcW w:w="792" w:type="dxa"/>
                  <w:vMerge w:val="continue"/>
                  <w:tcBorders>
                    <w:tl2br w:val="nil"/>
                    <w:tr2bl w:val="nil"/>
                  </w:tcBorders>
                  <w:vAlign w:val="center"/>
                </w:tcPr>
                <w:p w14:paraId="1957D89E">
                  <w:pPr>
                    <w:topLinePunct/>
                    <w:adjustRightInd w:val="0"/>
                    <w:snapToGrid w:val="0"/>
                    <w:jc w:val="center"/>
                    <w:rPr>
                      <w:sz w:val="18"/>
                      <w:szCs w:val="18"/>
                    </w:rPr>
                  </w:pPr>
                </w:p>
              </w:tc>
              <w:tc>
                <w:tcPr>
                  <w:tcW w:w="804" w:type="dxa"/>
                  <w:vMerge w:val="continue"/>
                  <w:tcBorders>
                    <w:tl2br w:val="nil"/>
                    <w:tr2bl w:val="nil"/>
                  </w:tcBorders>
                  <w:vAlign w:val="center"/>
                </w:tcPr>
                <w:p w14:paraId="31C7662B">
                  <w:pPr>
                    <w:topLinePunct/>
                    <w:adjustRightInd w:val="0"/>
                    <w:snapToGrid w:val="0"/>
                    <w:jc w:val="center"/>
                    <w:rPr>
                      <w:kern w:val="0"/>
                      <w:sz w:val="18"/>
                      <w:szCs w:val="18"/>
                    </w:rPr>
                  </w:pPr>
                </w:p>
              </w:tc>
              <w:tc>
                <w:tcPr>
                  <w:tcW w:w="870" w:type="dxa"/>
                  <w:tcBorders>
                    <w:tl2br w:val="nil"/>
                    <w:tr2bl w:val="nil"/>
                  </w:tcBorders>
                  <w:vAlign w:val="center"/>
                </w:tcPr>
                <w:p w14:paraId="7D72A687">
                  <w:pPr>
                    <w:topLinePunct/>
                    <w:adjustRightInd w:val="0"/>
                    <w:snapToGrid w:val="0"/>
                    <w:jc w:val="center"/>
                    <w:rPr>
                      <w:kern w:val="0"/>
                      <w:sz w:val="18"/>
                      <w:szCs w:val="18"/>
                    </w:rPr>
                  </w:pPr>
                  <w:r>
                    <w:rPr>
                      <w:kern w:val="0"/>
                      <w:sz w:val="18"/>
                      <w:szCs w:val="18"/>
                    </w:rPr>
                    <w:t>/</w:t>
                  </w:r>
                </w:p>
              </w:tc>
              <w:tc>
                <w:tcPr>
                  <w:tcW w:w="709" w:type="dxa"/>
                  <w:tcBorders>
                    <w:tl2br w:val="nil"/>
                    <w:tr2bl w:val="nil"/>
                  </w:tcBorders>
                  <w:vAlign w:val="center"/>
                </w:tcPr>
                <w:p w14:paraId="6DFF5B67">
                  <w:pPr>
                    <w:topLinePunct/>
                    <w:adjustRightInd w:val="0"/>
                    <w:snapToGrid w:val="0"/>
                    <w:jc w:val="center"/>
                    <w:rPr>
                      <w:kern w:val="0"/>
                      <w:sz w:val="18"/>
                      <w:szCs w:val="18"/>
                    </w:rPr>
                  </w:pPr>
                  <w:r>
                    <w:rPr>
                      <w:kern w:val="0"/>
                      <w:sz w:val="18"/>
                      <w:szCs w:val="18"/>
                    </w:rPr>
                    <w:t>1.0t</w:t>
                  </w:r>
                </w:p>
              </w:tc>
              <w:tc>
                <w:tcPr>
                  <w:tcW w:w="708" w:type="dxa"/>
                  <w:tcBorders>
                    <w:tl2br w:val="nil"/>
                    <w:tr2bl w:val="nil"/>
                  </w:tcBorders>
                  <w:vAlign w:val="center"/>
                </w:tcPr>
                <w:p w14:paraId="2440B0D6">
                  <w:pPr>
                    <w:topLinePunct/>
                    <w:adjustRightInd w:val="0"/>
                    <w:snapToGrid w:val="0"/>
                    <w:jc w:val="center"/>
                    <w:rPr>
                      <w:kern w:val="0"/>
                      <w:sz w:val="18"/>
                      <w:szCs w:val="18"/>
                    </w:rPr>
                  </w:pPr>
                  <w:r>
                    <w:rPr>
                      <w:kern w:val="0"/>
                      <w:sz w:val="18"/>
                      <w:szCs w:val="18"/>
                    </w:rPr>
                    <w:t>1年</w:t>
                  </w:r>
                </w:p>
              </w:tc>
            </w:tr>
            <w:tr w14:paraId="6368A73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14:paraId="4F249CD5">
                  <w:pPr>
                    <w:topLinePunct/>
                    <w:adjustRightInd w:val="0"/>
                    <w:snapToGrid w:val="0"/>
                    <w:jc w:val="center"/>
                    <w:rPr>
                      <w:kern w:val="0"/>
                      <w:sz w:val="18"/>
                      <w:szCs w:val="18"/>
                    </w:rPr>
                  </w:pPr>
                  <w:r>
                    <w:rPr>
                      <w:rFonts w:hint="eastAsia"/>
                      <w:kern w:val="0"/>
                      <w:sz w:val="18"/>
                      <w:szCs w:val="18"/>
                    </w:rPr>
                    <w:t>3</w:t>
                  </w:r>
                </w:p>
              </w:tc>
              <w:tc>
                <w:tcPr>
                  <w:tcW w:w="743" w:type="dxa"/>
                  <w:vMerge w:val="continue"/>
                  <w:tcBorders>
                    <w:tl2br w:val="nil"/>
                    <w:tr2bl w:val="nil"/>
                  </w:tcBorders>
                  <w:vAlign w:val="center"/>
                </w:tcPr>
                <w:p w14:paraId="75B09038">
                  <w:pPr>
                    <w:topLinePunct/>
                    <w:adjustRightInd w:val="0"/>
                    <w:snapToGrid w:val="0"/>
                    <w:jc w:val="center"/>
                    <w:rPr>
                      <w:kern w:val="0"/>
                      <w:sz w:val="18"/>
                      <w:szCs w:val="18"/>
                    </w:rPr>
                  </w:pPr>
                </w:p>
              </w:tc>
              <w:tc>
                <w:tcPr>
                  <w:tcW w:w="1548" w:type="dxa"/>
                  <w:tcBorders>
                    <w:tl2br w:val="nil"/>
                    <w:tr2bl w:val="nil"/>
                  </w:tcBorders>
                  <w:vAlign w:val="center"/>
                </w:tcPr>
                <w:p w14:paraId="09B90437">
                  <w:pPr>
                    <w:topLinePunct/>
                    <w:adjustRightInd w:val="0"/>
                    <w:snapToGrid w:val="0"/>
                    <w:spacing w:line="240" w:lineRule="exact"/>
                    <w:jc w:val="center"/>
                    <w:rPr>
                      <w:sz w:val="18"/>
                      <w:szCs w:val="18"/>
                    </w:rPr>
                  </w:pPr>
                  <w:r>
                    <w:rPr>
                      <w:sz w:val="18"/>
                      <w:szCs w:val="18"/>
                    </w:rPr>
                    <w:t>废过滤材料</w:t>
                  </w:r>
                </w:p>
              </w:tc>
              <w:tc>
                <w:tcPr>
                  <w:tcW w:w="996" w:type="dxa"/>
                  <w:tcBorders>
                    <w:tl2br w:val="nil"/>
                    <w:tr2bl w:val="nil"/>
                  </w:tcBorders>
                  <w:vAlign w:val="center"/>
                </w:tcPr>
                <w:p w14:paraId="25922E9B">
                  <w:pPr>
                    <w:topLinePunct/>
                    <w:adjustRightInd w:val="0"/>
                    <w:snapToGrid w:val="0"/>
                    <w:spacing w:line="240" w:lineRule="exact"/>
                    <w:jc w:val="center"/>
                    <w:rPr>
                      <w:sz w:val="18"/>
                      <w:szCs w:val="18"/>
                    </w:rPr>
                  </w:pPr>
                  <w:r>
                    <w:rPr>
                      <w:sz w:val="18"/>
                      <w:szCs w:val="18"/>
                    </w:rPr>
                    <w:t xml:space="preserve">HW49 </w:t>
                  </w:r>
                </w:p>
              </w:tc>
              <w:tc>
                <w:tcPr>
                  <w:tcW w:w="1296" w:type="dxa"/>
                  <w:tcBorders>
                    <w:tl2br w:val="nil"/>
                    <w:tr2bl w:val="nil"/>
                  </w:tcBorders>
                  <w:vAlign w:val="center"/>
                </w:tcPr>
                <w:p w14:paraId="1FE8F1CC">
                  <w:pPr>
                    <w:spacing w:line="240" w:lineRule="exact"/>
                    <w:jc w:val="center"/>
                    <w:rPr>
                      <w:sz w:val="18"/>
                      <w:szCs w:val="18"/>
                    </w:rPr>
                  </w:pPr>
                  <w:r>
                    <w:rPr>
                      <w:sz w:val="18"/>
                      <w:szCs w:val="18"/>
                    </w:rPr>
                    <w:t>900-041-49</w:t>
                  </w:r>
                </w:p>
              </w:tc>
              <w:tc>
                <w:tcPr>
                  <w:tcW w:w="792" w:type="dxa"/>
                  <w:vMerge w:val="continue"/>
                  <w:tcBorders>
                    <w:tl2br w:val="nil"/>
                    <w:tr2bl w:val="nil"/>
                  </w:tcBorders>
                  <w:vAlign w:val="center"/>
                </w:tcPr>
                <w:p w14:paraId="006A9EE2">
                  <w:pPr>
                    <w:topLinePunct/>
                    <w:adjustRightInd w:val="0"/>
                    <w:snapToGrid w:val="0"/>
                    <w:jc w:val="center"/>
                    <w:rPr>
                      <w:sz w:val="18"/>
                      <w:szCs w:val="18"/>
                    </w:rPr>
                  </w:pPr>
                </w:p>
              </w:tc>
              <w:tc>
                <w:tcPr>
                  <w:tcW w:w="804" w:type="dxa"/>
                  <w:vMerge w:val="continue"/>
                  <w:tcBorders>
                    <w:tl2br w:val="nil"/>
                    <w:tr2bl w:val="nil"/>
                  </w:tcBorders>
                  <w:vAlign w:val="center"/>
                </w:tcPr>
                <w:p w14:paraId="70F426C6">
                  <w:pPr>
                    <w:topLinePunct/>
                    <w:adjustRightInd w:val="0"/>
                    <w:snapToGrid w:val="0"/>
                    <w:jc w:val="center"/>
                    <w:rPr>
                      <w:kern w:val="0"/>
                      <w:sz w:val="18"/>
                      <w:szCs w:val="18"/>
                    </w:rPr>
                  </w:pPr>
                </w:p>
              </w:tc>
              <w:tc>
                <w:tcPr>
                  <w:tcW w:w="870" w:type="dxa"/>
                  <w:tcBorders>
                    <w:tl2br w:val="nil"/>
                    <w:tr2bl w:val="nil"/>
                  </w:tcBorders>
                  <w:vAlign w:val="center"/>
                </w:tcPr>
                <w:p w14:paraId="68F3AC33">
                  <w:pPr>
                    <w:topLinePunct/>
                    <w:adjustRightInd w:val="0"/>
                    <w:snapToGrid w:val="0"/>
                    <w:jc w:val="center"/>
                    <w:rPr>
                      <w:kern w:val="0"/>
                      <w:sz w:val="18"/>
                      <w:szCs w:val="18"/>
                    </w:rPr>
                  </w:pPr>
                  <w:r>
                    <w:rPr>
                      <w:rFonts w:hint="eastAsia"/>
                      <w:kern w:val="0"/>
                      <w:sz w:val="18"/>
                      <w:szCs w:val="18"/>
                    </w:rPr>
                    <w:t>密封袋</w:t>
                  </w:r>
                </w:p>
              </w:tc>
              <w:tc>
                <w:tcPr>
                  <w:tcW w:w="709" w:type="dxa"/>
                  <w:tcBorders>
                    <w:tl2br w:val="nil"/>
                    <w:tr2bl w:val="nil"/>
                  </w:tcBorders>
                  <w:vAlign w:val="center"/>
                </w:tcPr>
                <w:p w14:paraId="726ABD00">
                  <w:pPr>
                    <w:topLinePunct/>
                    <w:adjustRightInd w:val="0"/>
                    <w:snapToGrid w:val="0"/>
                    <w:jc w:val="center"/>
                    <w:rPr>
                      <w:kern w:val="0"/>
                      <w:sz w:val="18"/>
                      <w:szCs w:val="18"/>
                    </w:rPr>
                  </w:pPr>
                  <w:r>
                    <w:rPr>
                      <w:rFonts w:hint="eastAsia"/>
                      <w:kern w:val="0"/>
                      <w:sz w:val="18"/>
                      <w:szCs w:val="18"/>
                    </w:rPr>
                    <w:t>1.0</w:t>
                  </w:r>
                  <w:r>
                    <w:rPr>
                      <w:kern w:val="0"/>
                      <w:sz w:val="18"/>
                      <w:szCs w:val="18"/>
                    </w:rPr>
                    <w:t>t</w:t>
                  </w:r>
                </w:p>
              </w:tc>
              <w:tc>
                <w:tcPr>
                  <w:tcW w:w="708" w:type="dxa"/>
                  <w:tcBorders>
                    <w:tl2br w:val="nil"/>
                    <w:tr2bl w:val="nil"/>
                  </w:tcBorders>
                  <w:vAlign w:val="center"/>
                </w:tcPr>
                <w:p w14:paraId="72D5AAA3">
                  <w:pPr>
                    <w:topLinePunct/>
                    <w:adjustRightInd w:val="0"/>
                    <w:snapToGrid w:val="0"/>
                    <w:jc w:val="center"/>
                    <w:rPr>
                      <w:kern w:val="0"/>
                      <w:sz w:val="18"/>
                      <w:szCs w:val="18"/>
                    </w:rPr>
                  </w:pPr>
                  <w:r>
                    <w:rPr>
                      <w:kern w:val="0"/>
                      <w:sz w:val="18"/>
                      <w:szCs w:val="18"/>
                    </w:rPr>
                    <w:t>1年</w:t>
                  </w:r>
                </w:p>
              </w:tc>
            </w:tr>
            <w:tr w14:paraId="52CD1D7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14:paraId="4271F4E1">
                  <w:pPr>
                    <w:topLinePunct/>
                    <w:adjustRightInd w:val="0"/>
                    <w:snapToGrid w:val="0"/>
                    <w:jc w:val="center"/>
                    <w:rPr>
                      <w:kern w:val="0"/>
                      <w:sz w:val="18"/>
                      <w:szCs w:val="18"/>
                    </w:rPr>
                  </w:pPr>
                  <w:r>
                    <w:rPr>
                      <w:rFonts w:hint="eastAsia"/>
                      <w:kern w:val="0"/>
                      <w:sz w:val="18"/>
                      <w:szCs w:val="18"/>
                    </w:rPr>
                    <w:t>4</w:t>
                  </w:r>
                </w:p>
              </w:tc>
              <w:tc>
                <w:tcPr>
                  <w:tcW w:w="743" w:type="dxa"/>
                  <w:vMerge w:val="continue"/>
                  <w:tcBorders>
                    <w:tl2br w:val="nil"/>
                    <w:tr2bl w:val="nil"/>
                  </w:tcBorders>
                  <w:vAlign w:val="center"/>
                </w:tcPr>
                <w:p w14:paraId="781FC2EE">
                  <w:pPr>
                    <w:topLinePunct/>
                    <w:adjustRightInd w:val="0"/>
                    <w:snapToGrid w:val="0"/>
                    <w:jc w:val="center"/>
                    <w:rPr>
                      <w:kern w:val="0"/>
                      <w:sz w:val="18"/>
                      <w:szCs w:val="18"/>
                    </w:rPr>
                  </w:pPr>
                </w:p>
              </w:tc>
              <w:tc>
                <w:tcPr>
                  <w:tcW w:w="1548" w:type="dxa"/>
                  <w:tcBorders>
                    <w:tl2br w:val="nil"/>
                    <w:tr2bl w:val="nil"/>
                  </w:tcBorders>
                  <w:vAlign w:val="center"/>
                </w:tcPr>
                <w:p w14:paraId="55185FF5">
                  <w:pPr>
                    <w:topLinePunct/>
                    <w:adjustRightInd w:val="0"/>
                    <w:snapToGrid w:val="0"/>
                    <w:spacing w:line="240" w:lineRule="exact"/>
                    <w:jc w:val="center"/>
                    <w:rPr>
                      <w:sz w:val="18"/>
                      <w:szCs w:val="18"/>
                    </w:rPr>
                  </w:pPr>
                  <w:r>
                    <w:rPr>
                      <w:sz w:val="18"/>
                      <w:szCs w:val="18"/>
                    </w:rPr>
                    <w:t>废催化剂</w:t>
                  </w:r>
                </w:p>
              </w:tc>
              <w:tc>
                <w:tcPr>
                  <w:tcW w:w="996" w:type="dxa"/>
                  <w:tcBorders>
                    <w:tl2br w:val="nil"/>
                    <w:tr2bl w:val="nil"/>
                  </w:tcBorders>
                  <w:vAlign w:val="center"/>
                </w:tcPr>
                <w:p w14:paraId="40F26956">
                  <w:pPr>
                    <w:topLinePunct/>
                    <w:adjustRightInd w:val="0"/>
                    <w:snapToGrid w:val="0"/>
                    <w:spacing w:line="240" w:lineRule="exact"/>
                    <w:jc w:val="center"/>
                    <w:rPr>
                      <w:sz w:val="18"/>
                      <w:szCs w:val="18"/>
                    </w:rPr>
                  </w:pPr>
                  <w:r>
                    <w:rPr>
                      <w:sz w:val="18"/>
                      <w:szCs w:val="18"/>
                    </w:rPr>
                    <w:t>HW</w:t>
                  </w:r>
                  <w:r>
                    <w:rPr>
                      <w:rFonts w:hint="eastAsia"/>
                      <w:sz w:val="18"/>
                      <w:szCs w:val="18"/>
                    </w:rPr>
                    <w:t>50</w:t>
                  </w:r>
                  <w:r>
                    <w:rPr>
                      <w:sz w:val="18"/>
                      <w:szCs w:val="18"/>
                    </w:rPr>
                    <w:t xml:space="preserve"> </w:t>
                  </w:r>
                </w:p>
              </w:tc>
              <w:tc>
                <w:tcPr>
                  <w:tcW w:w="1296" w:type="dxa"/>
                  <w:tcBorders>
                    <w:tl2br w:val="nil"/>
                    <w:tr2bl w:val="nil"/>
                  </w:tcBorders>
                  <w:vAlign w:val="center"/>
                </w:tcPr>
                <w:p w14:paraId="10198450">
                  <w:pPr>
                    <w:spacing w:line="240" w:lineRule="exact"/>
                    <w:jc w:val="center"/>
                    <w:rPr>
                      <w:sz w:val="18"/>
                      <w:szCs w:val="18"/>
                    </w:rPr>
                  </w:pPr>
                  <w:r>
                    <w:rPr>
                      <w:rFonts w:hint="eastAsia"/>
                      <w:sz w:val="18"/>
                      <w:szCs w:val="18"/>
                    </w:rPr>
                    <w:t>772-007-50</w:t>
                  </w:r>
                </w:p>
              </w:tc>
              <w:tc>
                <w:tcPr>
                  <w:tcW w:w="792" w:type="dxa"/>
                  <w:vMerge w:val="continue"/>
                  <w:tcBorders>
                    <w:tl2br w:val="nil"/>
                    <w:tr2bl w:val="nil"/>
                  </w:tcBorders>
                  <w:vAlign w:val="center"/>
                </w:tcPr>
                <w:p w14:paraId="257B3631">
                  <w:pPr>
                    <w:topLinePunct/>
                    <w:adjustRightInd w:val="0"/>
                    <w:snapToGrid w:val="0"/>
                    <w:jc w:val="center"/>
                    <w:rPr>
                      <w:sz w:val="18"/>
                      <w:szCs w:val="18"/>
                    </w:rPr>
                  </w:pPr>
                </w:p>
              </w:tc>
              <w:tc>
                <w:tcPr>
                  <w:tcW w:w="804" w:type="dxa"/>
                  <w:vMerge w:val="continue"/>
                  <w:tcBorders>
                    <w:tl2br w:val="nil"/>
                    <w:tr2bl w:val="nil"/>
                  </w:tcBorders>
                  <w:vAlign w:val="center"/>
                </w:tcPr>
                <w:p w14:paraId="01A9551B">
                  <w:pPr>
                    <w:topLinePunct/>
                    <w:adjustRightInd w:val="0"/>
                    <w:snapToGrid w:val="0"/>
                    <w:jc w:val="center"/>
                    <w:rPr>
                      <w:kern w:val="0"/>
                      <w:sz w:val="18"/>
                      <w:szCs w:val="18"/>
                    </w:rPr>
                  </w:pPr>
                </w:p>
              </w:tc>
              <w:tc>
                <w:tcPr>
                  <w:tcW w:w="870" w:type="dxa"/>
                  <w:tcBorders>
                    <w:tl2br w:val="nil"/>
                    <w:tr2bl w:val="nil"/>
                  </w:tcBorders>
                  <w:vAlign w:val="center"/>
                </w:tcPr>
                <w:p w14:paraId="38BC2F92">
                  <w:pPr>
                    <w:topLinePunct/>
                    <w:adjustRightInd w:val="0"/>
                    <w:snapToGrid w:val="0"/>
                    <w:jc w:val="center"/>
                    <w:rPr>
                      <w:kern w:val="0"/>
                      <w:sz w:val="18"/>
                      <w:szCs w:val="18"/>
                    </w:rPr>
                  </w:pPr>
                  <w:r>
                    <w:rPr>
                      <w:rFonts w:hint="eastAsia"/>
                      <w:kern w:val="0"/>
                      <w:sz w:val="18"/>
                      <w:szCs w:val="18"/>
                    </w:rPr>
                    <w:t>密封袋</w:t>
                  </w:r>
                </w:p>
              </w:tc>
              <w:tc>
                <w:tcPr>
                  <w:tcW w:w="709" w:type="dxa"/>
                  <w:tcBorders>
                    <w:tl2br w:val="nil"/>
                    <w:tr2bl w:val="nil"/>
                  </w:tcBorders>
                  <w:vAlign w:val="center"/>
                </w:tcPr>
                <w:p w14:paraId="0DD8A9DF">
                  <w:pPr>
                    <w:topLinePunct/>
                    <w:adjustRightInd w:val="0"/>
                    <w:snapToGrid w:val="0"/>
                    <w:jc w:val="center"/>
                    <w:rPr>
                      <w:kern w:val="0"/>
                      <w:sz w:val="18"/>
                      <w:szCs w:val="18"/>
                    </w:rPr>
                  </w:pPr>
                  <w:r>
                    <w:rPr>
                      <w:kern w:val="0"/>
                      <w:sz w:val="18"/>
                      <w:szCs w:val="18"/>
                    </w:rPr>
                    <w:t>0.5t</w:t>
                  </w:r>
                </w:p>
              </w:tc>
              <w:tc>
                <w:tcPr>
                  <w:tcW w:w="708" w:type="dxa"/>
                  <w:tcBorders>
                    <w:tl2br w:val="nil"/>
                    <w:tr2bl w:val="nil"/>
                  </w:tcBorders>
                  <w:vAlign w:val="center"/>
                </w:tcPr>
                <w:p w14:paraId="6E05ECD1">
                  <w:pPr>
                    <w:topLinePunct/>
                    <w:adjustRightInd w:val="0"/>
                    <w:snapToGrid w:val="0"/>
                    <w:jc w:val="center"/>
                    <w:rPr>
                      <w:kern w:val="0"/>
                      <w:sz w:val="18"/>
                      <w:szCs w:val="18"/>
                    </w:rPr>
                  </w:pPr>
                  <w:r>
                    <w:rPr>
                      <w:kern w:val="0"/>
                      <w:sz w:val="18"/>
                      <w:szCs w:val="18"/>
                    </w:rPr>
                    <w:t>1年</w:t>
                  </w:r>
                </w:p>
              </w:tc>
            </w:tr>
            <w:tr w14:paraId="4AD4968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vAlign w:val="center"/>
                </w:tcPr>
                <w:p w14:paraId="5F90D8D1">
                  <w:pPr>
                    <w:topLinePunct/>
                    <w:adjustRightInd w:val="0"/>
                    <w:snapToGrid w:val="0"/>
                    <w:jc w:val="center"/>
                    <w:rPr>
                      <w:kern w:val="0"/>
                      <w:sz w:val="18"/>
                      <w:szCs w:val="18"/>
                    </w:rPr>
                  </w:pPr>
                  <w:r>
                    <w:rPr>
                      <w:rFonts w:hint="eastAsia"/>
                      <w:kern w:val="0"/>
                      <w:sz w:val="18"/>
                      <w:szCs w:val="18"/>
                    </w:rPr>
                    <w:t>5</w:t>
                  </w:r>
                </w:p>
              </w:tc>
              <w:tc>
                <w:tcPr>
                  <w:tcW w:w="743" w:type="dxa"/>
                  <w:vMerge w:val="continue"/>
                  <w:tcBorders>
                    <w:tl2br w:val="nil"/>
                    <w:tr2bl w:val="nil"/>
                  </w:tcBorders>
                  <w:vAlign w:val="center"/>
                </w:tcPr>
                <w:p w14:paraId="23CB04C6">
                  <w:pPr>
                    <w:topLinePunct/>
                    <w:adjustRightInd w:val="0"/>
                    <w:snapToGrid w:val="0"/>
                    <w:jc w:val="center"/>
                    <w:rPr>
                      <w:kern w:val="0"/>
                      <w:sz w:val="18"/>
                      <w:szCs w:val="18"/>
                    </w:rPr>
                  </w:pPr>
                </w:p>
              </w:tc>
              <w:tc>
                <w:tcPr>
                  <w:tcW w:w="1548" w:type="dxa"/>
                  <w:tcBorders>
                    <w:tl2br w:val="nil"/>
                    <w:tr2bl w:val="nil"/>
                  </w:tcBorders>
                  <w:vAlign w:val="center"/>
                </w:tcPr>
                <w:p w14:paraId="7EB33E27">
                  <w:pPr>
                    <w:topLinePunct/>
                    <w:adjustRightInd w:val="0"/>
                    <w:snapToGrid w:val="0"/>
                    <w:spacing w:line="240" w:lineRule="exact"/>
                    <w:jc w:val="center"/>
                    <w:rPr>
                      <w:sz w:val="18"/>
                      <w:szCs w:val="18"/>
                    </w:rPr>
                  </w:pPr>
                  <w:r>
                    <w:rPr>
                      <w:rFonts w:hint="eastAsia"/>
                      <w:sz w:val="18"/>
                      <w:szCs w:val="18"/>
                    </w:rPr>
                    <w:t>水喷淋装置废液</w:t>
                  </w:r>
                </w:p>
              </w:tc>
              <w:tc>
                <w:tcPr>
                  <w:tcW w:w="996" w:type="dxa"/>
                  <w:tcBorders>
                    <w:tl2br w:val="nil"/>
                    <w:tr2bl w:val="nil"/>
                  </w:tcBorders>
                  <w:vAlign w:val="center"/>
                </w:tcPr>
                <w:p w14:paraId="71368895">
                  <w:pPr>
                    <w:topLinePunct/>
                    <w:adjustRightInd w:val="0"/>
                    <w:snapToGrid w:val="0"/>
                    <w:spacing w:line="240" w:lineRule="exact"/>
                    <w:jc w:val="center"/>
                    <w:rPr>
                      <w:sz w:val="18"/>
                      <w:szCs w:val="18"/>
                    </w:rPr>
                  </w:pPr>
                  <w:r>
                    <w:rPr>
                      <w:sz w:val="18"/>
                      <w:szCs w:val="18"/>
                    </w:rPr>
                    <w:t>HW12</w:t>
                  </w:r>
                </w:p>
              </w:tc>
              <w:tc>
                <w:tcPr>
                  <w:tcW w:w="1296" w:type="dxa"/>
                  <w:tcBorders>
                    <w:tl2br w:val="nil"/>
                    <w:tr2bl w:val="nil"/>
                  </w:tcBorders>
                  <w:vAlign w:val="center"/>
                </w:tcPr>
                <w:p w14:paraId="4ECF53CD">
                  <w:pPr>
                    <w:topLinePunct/>
                    <w:adjustRightInd w:val="0"/>
                    <w:snapToGrid w:val="0"/>
                    <w:spacing w:line="240" w:lineRule="exact"/>
                    <w:jc w:val="center"/>
                    <w:rPr>
                      <w:sz w:val="18"/>
                      <w:szCs w:val="18"/>
                    </w:rPr>
                  </w:pPr>
                  <w:r>
                    <w:rPr>
                      <w:sz w:val="18"/>
                      <w:szCs w:val="18"/>
                    </w:rPr>
                    <w:t>900-252-12</w:t>
                  </w:r>
                </w:p>
              </w:tc>
              <w:tc>
                <w:tcPr>
                  <w:tcW w:w="792" w:type="dxa"/>
                  <w:vMerge w:val="continue"/>
                  <w:tcBorders>
                    <w:tl2br w:val="nil"/>
                    <w:tr2bl w:val="nil"/>
                  </w:tcBorders>
                  <w:vAlign w:val="center"/>
                </w:tcPr>
                <w:p w14:paraId="72B1C1BF">
                  <w:pPr>
                    <w:topLinePunct/>
                    <w:adjustRightInd w:val="0"/>
                    <w:snapToGrid w:val="0"/>
                    <w:jc w:val="center"/>
                    <w:rPr>
                      <w:sz w:val="18"/>
                      <w:szCs w:val="18"/>
                    </w:rPr>
                  </w:pPr>
                </w:p>
              </w:tc>
              <w:tc>
                <w:tcPr>
                  <w:tcW w:w="804" w:type="dxa"/>
                  <w:vMerge w:val="continue"/>
                  <w:tcBorders>
                    <w:tl2br w:val="nil"/>
                    <w:tr2bl w:val="nil"/>
                  </w:tcBorders>
                  <w:vAlign w:val="center"/>
                </w:tcPr>
                <w:p w14:paraId="6B191C19">
                  <w:pPr>
                    <w:topLinePunct/>
                    <w:adjustRightInd w:val="0"/>
                    <w:snapToGrid w:val="0"/>
                    <w:jc w:val="center"/>
                    <w:rPr>
                      <w:kern w:val="0"/>
                      <w:sz w:val="18"/>
                      <w:szCs w:val="18"/>
                    </w:rPr>
                  </w:pPr>
                </w:p>
              </w:tc>
              <w:tc>
                <w:tcPr>
                  <w:tcW w:w="870" w:type="dxa"/>
                  <w:tcBorders>
                    <w:tl2br w:val="nil"/>
                    <w:tr2bl w:val="nil"/>
                  </w:tcBorders>
                  <w:vAlign w:val="center"/>
                </w:tcPr>
                <w:p w14:paraId="43E3EE2C">
                  <w:pPr>
                    <w:topLinePunct/>
                    <w:adjustRightInd w:val="0"/>
                    <w:snapToGrid w:val="0"/>
                    <w:jc w:val="center"/>
                    <w:rPr>
                      <w:kern w:val="0"/>
                      <w:sz w:val="18"/>
                      <w:szCs w:val="18"/>
                    </w:rPr>
                  </w:pPr>
                  <w:r>
                    <w:rPr>
                      <w:rFonts w:hint="eastAsia"/>
                      <w:kern w:val="0"/>
                      <w:sz w:val="18"/>
                      <w:szCs w:val="18"/>
                    </w:rPr>
                    <w:t>塑料桶</w:t>
                  </w:r>
                </w:p>
              </w:tc>
              <w:tc>
                <w:tcPr>
                  <w:tcW w:w="709" w:type="dxa"/>
                  <w:tcBorders>
                    <w:tl2br w:val="nil"/>
                    <w:tr2bl w:val="nil"/>
                  </w:tcBorders>
                  <w:vAlign w:val="center"/>
                </w:tcPr>
                <w:p w14:paraId="59CD878A">
                  <w:pPr>
                    <w:topLinePunct/>
                    <w:adjustRightInd w:val="0"/>
                    <w:snapToGrid w:val="0"/>
                    <w:jc w:val="center"/>
                    <w:rPr>
                      <w:kern w:val="0"/>
                      <w:sz w:val="18"/>
                      <w:szCs w:val="18"/>
                    </w:rPr>
                  </w:pPr>
                  <w:r>
                    <w:rPr>
                      <w:rFonts w:hint="eastAsia"/>
                      <w:kern w:val="0"/>
                      <w:sz w:val="18"/>
                      <w:szCs w:val="18"/>
                    </w:rPr>
                    <w:t>1.0t</w:t>
                  </w:r>
                </w:p>
              </w:tc>
              <w:tc>
                <w:tcPr>
                  <w:tcW w:w="708" w:type="dxa"/>
                  <w:tcBorders>
                    <w:tl2br w:val="nil"/>
                    <w:tr2bl w:val="nil"/>
                  </w:tcBorders>
                  <w:vAlign w:val="center"/>
                </w:tcPr>
                <w:p w14:paraId="529772C9">
                  <w:pPr>
                    <w:topLinePunct/>
                    <w:adjustRightInd w:val="0"/>
                    <w:snapToGrid w:val="0"/>
                    <w:jc w:val="center"/>
                    <w:rPr>
                      <w:kern w:val="0"/>
                      <w:sz w:val="18"/>
                      <w:szCs w:val="18"/>
                    </w:rPr>
                  </w:pPr>
                  <w:r>
                    <w:rPr>
                      <w:rFonts w:hint="eastAsia"/>
                      <w:kern w:val="0"/>
                      <w:sz w:val="18"/>
                      <w:szCs w:val="18"/>
                    </w:rPr>
                    <w:t>1年</w:t>
                  </w:r>
                </w:p>
              </w:tc>
            </w:tr>
          </w:tbl>
          <w:p w14:paraId="104C4D65">
            <w:pPr>
              <w:spacing w:line="360" w:lineRule="auto"/>
              <w:ind w:firstLine="480" w:firstLineChars="200"/>
              <w:rPr>
                <w:sz w:val="24"/>
                <w:szCs w:val="24"/>
              </w:rPr>
            </w:pPr>
            <w:r>
              <w:rPr>
                <w:sz w:val="24"/>
                <w:szCs w:val="24"/>
              </w:rPr>
              <w:t>（2）危险废物的转移及运输</w:t>
            </w:r>
          </w:p>
          <w:p w14:paraId="32E22B3C">
            <w:pPr>
              <w:spacing w:line="360" w:lineRule="auto"/>
              <w:ind w:firstLine="480"/>
              <w:rPr>
                <w:sz w:val="24"/>
                <w:szCs w:val="24"/>
              </w:rPr>
            </w:pPr>
            <w:r>
              <w:rPr>
                <w:sz w:val="24"/>
                <w:szCs w:val="24"/>
              </w:rPr>
              <w:t>1）危险废物的转移应遵从《危险废物转移联单管理办法》及其他有关规定的要求，并禁止在转移过程中将危险废物排放至外环境中。</w:t>
            </w:r>
          </w:p>
          <w:p w14:paraId="1ECF138A">
            <w:pPr>
              <w:spacing w:line="360" w:lineRule="auto"/>
              <w:ind w:firstLine="480"/>
              <w:rPr>
                <w:sz w:val="24"/>
                <w:szCs w:val="24"/>
              </w:rPr>
            </w:pPr>
            <w:r>
              <w:rPr>
                <w:sz w:val="24"/>
                <w:szCs w:val="24"/>
              </w:rPr>
              <w:t>2）采用专用车辆和专用容器运输贮存危险废物，禁止将危险废物混入生活垃圾或其他废物。</w:t>
            </w:r>
          </w:p>
          <w:p w14:paraId="3528CEE1">
            <w:pPr>
              <w:spacing w:line="360" w:lineRule="auto"/>
              <w:ind w:firstLine="480" w:firstLineChars="200"/>
              <w:rPr>
                <w:sz w:val="24"/>
                <w:szCs w:val="24"/>
              </w:rPr>
            </w:pPr>
            <w:r>
              <w:rPr>
                <w:sz w:val="24"/>
                <w:szCs w:val="24"/>
              </w:rPr>
              <w:t>3）项目产生的危险废物交由具有危险废物处置资质的单位进行回收处置。危险废物收集和运输应采用密闭容器和密闭专用货车，废物收集后立即运走，尽量缩短停滞时间。避免挥发产生的毒害气体对周围环境产生不利影响</w:t>
            </w:r>
            <w:r>
              <w:rPr>
                <w:rFonts w:hint="eastAsia"/>
                <w:sz w:val="24"/>
                <w:szCs w:val="24"/>
              </w:rPr>
              <w:t>。</w:t>
            </w:r>
          </w:p>
          <w:p w14:paraId="1BE7F929">
            <w:pPr>
              <w:spacing w:line="360" w:lineRule="auto"/>
              <w:ind w:firstLine="480" w:firstLineChars="200"/>
              <w:rPr>
                <w:bCs/>
                <w:sz w:val="24"/>
              </w:rPr>
            </w:pPr>
            <w:r>
              <w:rPr>
                <w:rFonts w:hint="eastAsia"/>
                <w:bCs/>
                <w:sz w:val="24"/>
              </w:rPr>
              <w:t>3、</w:t>
            </w:r>
            <w:r>
              <w:rPr>
                <w:bCs/>
                <w:sz w:val="24"/>
              </w:rPr>
              <w:t>生活垃圾</w:t>
            </w:r>
          </w:p>
          <w:p w14:paraId="49F06BBE">
            <w:pPr>
              <w:spacing w:line="360" w:lineRule="auto"/>
              <w:ind w:firstLine="482"/>
              <w:rPr>
                <w:sz w:val="24"/>
              </w:rPr>
            </w:pPr>
            <w:r>
              <w:rPr>
                <w:rFonts w:hint="eastAsia"/>
                <w:bCs/>
                <w:sz w:val="24"/>
              </w:rPr>
              <w:t>本项目</w:t>
            </w:r>
            <w:r>
              <w:rPr>
                <w:bCs/>
                <w:sz w:val="24"/>
              </w:rPr>
              <w:t>劳动定员</w:t>
            </w:r>
            <w:r>
              <w:rPr>
                <w:rFonts w:hint="eastAsia"/>
                <w:bCs/>
                <w:sz w:val="24"/>
              </w:rPr>
              <w:t>50</w:t>
            </w:r>
            <w:r>
              <w:rPr>
                <w:bCs/>
                <w:sz w:val="24"/>
              </w:rPr>
              <w:t>人，</w:t>
            </w:r>
            <w:r>
              <w:rPr>
                <w:kern w:val="0"/>
                <w:sz w:val="24"/>
                <w:szCs w:val="24"/>
                <w:lang w:val="zh-CN"/>
              </w:rPr>
              <w:t>生活垃圾产生量按0.5kg/人</w:t>
            </w:r>
            <w:r>
              <w:rPr>
                <w:rFonts w:hint="eastAsia" w:ascii="仿宋_GB2312" w:hAnsi="仿宋_GB2312" w:eastAsia="仿宋_GB2312" w:cs="仿宋_GB2312"/>
                <w:kern w:val="0"/>
                <w:sz w:val="24"/>
                <w:szCs w:val="24"/>
                <w:lang w:val="zh-CN"/>
              </w:rPr>
              <w:t>·</w:t>
            </w:r>
            <w:r>
              <w:rPr>
                <w:kern w:val="0"/>
                <w:sz w:val="24"/>
                <w:szCs w:val="24"/>
                <w:lang w:val="zh-CN"/>
              </w:rPr>
              <w:t>天计，年产生量</w:t>
            </w:r>
            <w:r>
              <w:rPr>
                <w:rFonts w:hint="eastAsia"/>
                <w:kern w:val="0"/>
                <w:sz w:val="24"/>
                <w:szCs w:val="24"/>
              </w:rPr>
              <w:t>7.5</w:t>
            </w:r>
            <w:r>
              <w:rPr>
                <w:kern w:val="0"/>
                <w:sz w:val="24"/>
                <w:szCs w:val="24"/>
                <w:lang w:val="zh-CN"/>
              </w:rPr>
              <w:t>t/a，生活垃圾集中收集后由环卫部门清运至</w:t>
            </w:r>
            <w:r>
              <w:rPr>
                <w:rFonts w:hint="eastAsia"/>
                <w:sz w:val="24"/>
                <w:szCs w:val="24"/>
              </w:rPr>
              <w:t>威海市垃圾处理场</w:t>
            </w:r>
            <w:r>
              <w:rPr>
                <w:sz w:val="24"/>
                <w:szCs w:val="24"/>
              </w:rPr>
              <w:t>进行</w:t>
            </w:r>
            <w:r>
              <w:rPr>
                <w:sz w:val="24"/>
              </w:rPr>
              <w:t>无</w:t>
            </w:r>
            <w:r>
              <w:rPr>
                <w:kern w:val="0"/>
                <w:sz w:val="24"/>
                <w:szCs w:val="24"/>
                <w:lang w:val="zh-CN"/>
              </w:rPr>
              <w:t>害化处理</w:t>
            </w:r>
            <w:r>
              <w:rPr>
                <w:sz w:val="24"/>
              </w:rPr>
              <w:t>。</w:t>
            </w:r>
          </w:p>
          <w:p w14:paraId="0CC5A382">
            <w:pPr>
              <w:spacing w:line="360" w:lineRule="auto"/>
              <w:ind w:firstLine="482"/>
              <w:rPr>
                <w:sz w:val="24"/>
              </w:rPr>
            </w:pPr>
            <w:r>
              <w:rPr>
                <w:sz w:val="24"/>
              </w:rPr>
              <w:t>威海市垃圾处理场位于威海市环翠区张村镇艾山红透山夼，该工程于1998年开工建设，2001年投入使用，主要处理方式为卫生填埋为主。二期工程总投资约3.2亿元，位于填埋场西侧，工艺采用目前国内外常用的机械炉排炉垃圾焚烧技术，处理能力是700 t/d，于2011年6月开始试运行，可以接纳项目产生的垃圾。</w:t>
            </w:r>
          </w:p>
          <w:p w14:paraId="1077102A">
            <w:pPr>
              <w:spacing w:line="360" w:lineRule="auto"/>
              <w:ind w:firstLine="480"/>
              <w:rPr>
                <w:sz w:val="24"/>
              </w:rPr>
            </w:pPr>
            <w:r>
              <w:rPr>
                <w:sz w:val="24"/>
              </w:rPr>
              <w:t>在采取上述措施后，</w:t>
            </w:r>
            <w:r>
              <w:rPr>
                <w:rFonts w:hint="eastAsia"/>
                <w:sz w:val="24"/>
              </w:rPr>
              <w:t>本项目</w:t>
            </w:r>
            <w:r>
              <w:rPr>
                <w:sz w:val="24"/>
              </w:rPr>
              <w:t>营运期产生的固体废物可实现零排放，对环境影响轻微，不会造成土壤、水和空气等环境的污染。</w:t>
            </w:r>
          </w:p>
          <w:p w14:paraId="7E2E6126">
            <w:pPr>
              <w:spacing w:line="360" w:lineRule="auto"/>
              <w:ind w:firstLine="482" w:firstLineChars="200"/>
              <w:rPr>
                <w:b/>
                <w:sz w:val="24"/>
              </w:rPr>
            </w:pPr>
            <w:r>
              <w:rPr>
                <w:b/>
                <w:sz w:val="24"/>
              </w:rPr>
              <w:t>五、环境风险分析</w:t>
            </w:r>
          </w:p>
          <w:p w14:paraId="4AA3A001">
            <w:pPr>
              <w:spacing w:line="360" w:lineRule="auto"/>
              <w:ind w:firstLine="480" w:firstLineChars="200"/>
              <w:jc w:val="left"/>
              <w:rPr>
                <w:sz w:val="24"/>
                <w:szCs w:val="24"/>
              </w:rPr>
            </w:pPr>
            <w:r>
              <w:rPr>
                <w:sz w:val="24"/>
                <w:szCs w:val="24"/>
              </w:rPr>
              <w:t>所谓环境风险是指突发性灾难事故造成重大环境污染的事件，它具有危害性大、影响范围广等特点，同时风险发生的概率又有很大的不确定性，倘若一旦发生，其破坏性极强，对生态环境会产生严重破坏。</w:t>
            </w:r>
          </w:p>
          <w:p w14:paraId="49898F13">
            <w:pPr>
              <w:spacing w:line="360" w:lineRule="auto"/>
              <w:ind w:firstLine="480" w:firstLineChars="200"/>
              <w:jc w:val="left"/>
              <w:rPr>
                <w:sz w:val="24"/>
                <w:szCs w:val="24"/>
              </w:rPr>
            </w:pPr>
            <w:r>
              <w:rPr>
                <w:sz w:val="24"/>
                <w:szCs w:val="24"/>
              </w:rPr>
              <w:t>环境风险评价的目的是分析和预测建设项目存在的潜在危险、有害因素，建设项目建设和运行期间可能发生的突发性事件或事故，引起有毒有害和易燃易爆等物质的泄漏，所造成的人身安全与环境影响和损害程度，提出合理可行的防范、应急与减缓措施，以使建设项目事故率、损失和环境影响达到可接受的水平。</w:t>
            </w:r>
          </w:p>
          <w:p w14:paraId="0860F3E9">
            <w:pPr>
              <w:adjustRightInd w:val="0"/>
              <w:snapToGrid w:val="0"/>
              <w:spacing w:line="360" w:lineRule="auto"/>
              <w:ind w:firstLine="439" w:firstLineChars="183"/>
              <w:rPr>
                <w:sz w:val="24"/>
                <w:szCs w:val="24"/>
              </w:rPr>
            </w:pPr>
            <w:r>
              <w:rPr>
                <w:sz w:val="24"/>
                <w:szCs w:val="24"/>
              </w:rPr>
              <w:t>根据国家环境保护部《关于进一步加强环境影响评价管理防范环境风险的通知》(国家环境保护部环发[2012]77号)和《关于切实加强风险防范严格环境影响评价管理的通知》(环发[2012]98号)的精神，本次环评对项目区进行环境风险评价，以便达到降低风险性、减少危害程度的目的。</w:t>
            </w:r>
          </w:p>
          <w:p w14:paraId="6DAE1791">
            <w:pPr>
              <w:spacing w:line="360" w:lineRule="auto"/>
              <w:ind w:firstLine="480" w:firstLineChars="200"/>
              <w:jc w:val="left"/>
              <w:rPr>
                <w:kern w:val="0"/>
                <w:sz w:val="24"/>
                <w:szCs w:val="24"/>
              </w:rPr>
            </w:pPr>
            <w:r>
              <w:rPr>
                <w:kern w:val="0"/>
                <w:sz w:val="24"/>
                <w:szCs w:val="24"/>
              </w:rPr>
              <w:t>1、风险调查</w:t>
            </w:r>
          </w:p>
          <w:p w14:paraId="7496AA4D">
            <w:pPr>
              <w:pStyle w:val="11"/>
              <w:spacing w:line="360" w:lineRule="auto"/>
              <w:ind w:firstLine="480" w:firstLineChars="200"/>
              <w:rPr>
                <w:rFonts w:ascii="Times New Roman"/>
              </w:rPr>
            </w:pPr>
            <w:r>
              <w:rPr>
                <w:rFonts w:ascii="Times New Roman"/>
                <w:bCs/>
                <w:szCs w:val="24"/>
              </w:rPr>
              <w:t>根据《建设项目环境风险评价技术导则》（HJ169-2018）附录B及《危险化学品重大危险源辨识》(GB18218-2018)可知，</w:t>
            </w:r>
            <w:r>
              <w:rPr>
                <w:rFonts w:ascii="Times New Roman"/>
                <w:kern w:val="0"/>
                <w:szCs w:val="24"/>
              </w:rPr>
              <w:t>本项目</w:t>
            </w:r>
            <w:r>
              <w:rPr>
                <w:rFonts w:hint="eastAsia" w:ascii="Times New Roman"/>
                <w:kern w:val="0"/>
                <w:szCs w:val="24"/>
              </w:rPr>
              <w:t>涉及的</w:t>
            </w:r>
            <w:r>
              <w:rPr>
                <w:rFonts w:ascii="Times New Roman"/>
                <w:kern w:val="0"/>
                <w:szCs w:val="24"/>
              </w:rPr>
              <w:t>危险物质</w:t>
            </w:r>
            <w:r>
              <w:rPr>
                <w:rFonts w:hint="eastAsia" w:ascii="Times New Roman"/>
                <w:kern w:val="0"/>
                <w:szCs w:val="24"/>
              </w:rPr>
              <w:t>主要包括油漆、稀料等</w:t>
            </w:r>
            <w:r>
              <w:rPr>
                <w:rFonts w:ascii="Times New Roman"/>
                <w:szCs w:val="24"/>
              </w:rPr>
              <w:t>。</w:t>
            </w:r>
          </w:p>
          <w:p w14:paraId="325544B2">
            <w:pPr>
              <w:spacing w:line="360" w:lineRule="auto"/>
              <w:ind w:firstLine="480" w:firstLineChars="200"/>
              <w:jc w:val="left"/>
              <w:rPr>
                <w:sz w:val="24"/>
                <w:szCs w:val="24"/>
              </w:rPr>
            </w:pPr>
            <w:r>
              <w:rPr>
                <w:sz w:val="24"/>
                <w:szCs w:val="24"/>
              </w:rPr>
              <w:t>2、风险潜势初判</w:t>
            </w:r>
          </w:p>
          <w:p w14:paraId="715CCA75">
            <w:pPr>
              <w:spacing w:line="360" w:lineRule="auto"/>
              <w:ind w:firstLine="480" w:firstLineChars="200"/>
              <w:jc w:val="left"/>
              <w:rPr>
                <w:sz w:val="24"/>
                <w:szCs w:val="24"/>
              </w:rPr>
            </w:pPr>
            <w:r>
              <w:rPr>
                <w:sz w:val="24"/>
                <w:szCs w:val="24"/>
              </w:rPr>
              <w:t>（1）环境风险潜势划分</w:t>
            </w:r>
          </w:p>
          <w:p w14:paraId="544AFDE8">
            <w:pPr>
              <w:spacing w:line="360" w:lineRule="auto"/>
              <w:ind w:firstLine="480" w:firstLineChars="200"/>
              <w:jc w:val="left"/>
              <w:rPr>
                <w:sz w:val="24"/>
                <w:szCs w:val="24"/>
              </w:rPr>
            </w:pPr>
            <w:r>
              <w:rPr>
                <w:sz w:val="24"/>
                <w:szCs w:val="24"/>
              </w:rPr>
              <w:t>建设项目环境风险潜势划分为Ⅰ、Ⅱ、Ⅲ、Ⅳ/Ⅳ+级。</w:t>
            </w:r>
          </w:p>
          <w:p w14:paraId="3B1C74D4">
            <w:pPr>
              <w:spacing w:line="360" w:lineRule="auto"/>
              <w:ind w:firstLine="480" w:firstLineChars="200"/>
              <w:jc w:val="left"/>
              <w:rPr>
                <w:sz w:val="24"/>
                <w:szCs w:val="24"/>
              </w:rPr>
            </w:pPr>
            <w:r>
              <w:rPr>
                <w:sz w:val="24"/>
                <w:szCs w:val="24"/>
              </w:rPr>
              <w:t>根据建设项目涉及的物质和工艺系统的危险性及其所在地的环境敏感程度，结合事故情形下环境影响途径，对建设项目潜在环境危害程度进行概化分析，按照下表确定环境风险潜势。</w:t>
            </w:r>
          </w:p>
          <w:p w14:paraId="48701769">
            <w:pPr>
              <w:jc w:val="center"/>
              <w:rPr>
                <w:b/>
                <w:bCs/>
                <w:sz w:val="24"/>
                <w:szCs w:val="24"/>
              </w:rPr>
            </w:pPr>
            <w:r>
              <w:rPr>
                <w:b/>
                <w:bCs/>
                <w:sz w:val="24"/>
                <w:szCs w:val="24"/>
              </w:rPr>
              <w:t>表7-</w:t>
            </w:r>
            <w:r>
              <w:rPr>
                <w:rFonts w:hint="eastAsia"/>
                <w:b/>
                <w:bCs/>
                <w:sz w:val="24"/>
                <w:szCs w:val="24"/>
              </w:rPr>
              <w:t>16</w:t>
            </w:r>
            <w:r>
              <w:rPr>
                <w:b/>
                <w:bCs/>
                <w:sz w:val="24"/>
                <w:szCs w:val="24"/>
              </w:rPr>
              <w:t xml:space="preserve"> 建设项目环境风险潜势划分</w:t>
            </w:r>
          </w:p>
          <w:tbl>
            <w:tblPr>
              <w:tblStyle w:val="27"/>
              <w:tblW w:w="895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190"/>
              <w:gridCol w:w="1652"/>
              <w:gridCol w:w="1708"/>
              <w:gridCol w:w="1708"/>
              <w:gridCol w:w="1696"/>
            </w:tblGrid>
            <w:tr w14:paraId="6A97F58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Merge w:val="restart"/>
                  <w:vAlign w:val="center"/>
                </w:tcPr>
                <w:p w14:paraId="74CBDA63">
                  <w:pPr>
                    <w:pStyle w:val="37"/>
                    <w:ind w:firstLine="0" w:firstLineChars="0"/>
                    <w:jc w:val="center"/>
                    <w:rPr>
                      <w:kern w:val="0"/>
                      <w:sz w:val="21"/>
                      <w:szCs w:val="21"/>
                    </w:rPr>
                  </w:pPr>
                  <w:r>
                    <w:rPr>
                      <w:kern w:val="0"/>
                      <w:sz w:val="21"/>
                      <w:szCs w:val="21"/>
                    </w:rPr>
                    <w:t>环境敏感程度（E）</w:t>
                  </w:r>
                </w:p>
              </w:tc>
              <w:tc>
                <w:tcPr>
                  <w:tcW w:w="6764" w:type="dxa"/>
                  <w:gridSpan w:val="4"/>
                  <w:vAlign w:val="center"/>
                </w:tcPr>
                <w:p w14:paraId="534B20DA">
                  <w:pPr>
                    <w:pStyle w:val="37"/>
                    <w:ind w:firstLine="0" w:firstLineChars="0"/>
                    <w:jc w:val="center"/>
                    <w:rPr>
                      <w:kern w:val="0"/>
                      <w:sz w:val="21"/>
                      <w:szCs w:val="21"/>
                    </w:rPr>
                  </w:pPr>
                  <w:r>
                    <w:rPr>
                      <w:kern w:val="0"/>
                      <w:sz w:val="21"/>
                      <w:szCs w:val="21"/>
                    </w:rPr>
                    <w:t>危险物质及工艺系统危险性（P）</w:t>
                  </w:r>
                </w:p>
              </w:tc>
            </w:tr>
            <w:tr w14:paraId="4F2F5B1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Merge w:val="continue"/>
                  <w:vAlign w:val="center"/>
                </w:tcPr>
                <w:p w14:paraId="166B9312">
                  <w:pPr>
                    <w:pStyle w:val="37"/>
                    <w:ind w:firstLine="0" w:firstLineChars="0"/>
                    <w:jc w:val="center"/>
                    <w:rPr>
                      <w:kern w:val="0"/>
                      <w:sz w:val="21"/>
                      <w:szCs w:val="21"/>
                    </w:rPr>
                  </w:pPr>
                </w:p>
              </w:tc>
              <w:tc>
                <w:tcPr>
                  <w:tcW w:w="1652" w:type="dxa"/>
                  <w:vAlign w:val="center"/>
                </w:tcPr>
                <w:p w14:paraId="764CF9F0">
                  <w:pPr>
                    <w:pStyle w:val="37"/>
                    <w:ind w:firstLine="0" w:firstLineChars="0"/>
                    <w:jc w:val="center"/>
                    <w:rPr>
                      <w:kern w:val="0"/>
                      <w:sz w:val="21"/>
                      <w:szCs w:val="21"/>
                    </w:rPr>
                  </w:pPr>
                  <w:r>
                    <w:rPr>
                      <w:kern w:val="0"/>
                      <w:sz w:val="21"/>
                      <w:szCs w:val="21"/>
                    </w:rPr>
                    <w:t>极高危害（P1）</w:t>
                  </w:r>
                </w:p>
              </w:tc>
              <w:tc>
                <w:tcPr>
                  <w:tcW w:w="1708" w:type="dxa"/>
                  <w:vAlign w:val="center"/>
                </w:tcPr>
                <w:p w14:paraId="773E0D89">
                  <w:pPr>
                    <w:pStyle w:val="37"/>
                    <w:ind w:firstLine="0" w:firstLineChars="0"/>
                    <w:jc w:val="center"/>
                    <w:rPr>
                      <w:kern w:val="0"/>
                      <w:sz w:val="21"/>
                      <w:szCs w:val="21"/>
                    </w:rPr>
                  </w:pPr>
                  <w:r>
                    <w:rPr>
                      <w:kern w:val="0"/>
                      <w:sz w:val="21"/>
                      <w:szCs w:val="21"/>
                    </w:rPr>
                    <w:t>高度危害（P2）</w:t>
                  </w:r>
                </w:p>
              </w:tc>
              <w:tc>
                <w:tcPr>
                  <w:tcW w:w="1708" w:type="dxa"/>
                  <w:vAlign w:val="center"/>
                </w:tcPr>
                <w:p w14:paraId="79065460">
                  <w:pPr>
                    <w:pStyle w:val="37"/>
                    <w:ind w:firstLine="0" w:firstLineChars="0"/>
                    <w:jc w:val="center"/>
                    <w:rPr>
                      <w:kern w:val="0"/>
                      <w:sz w:val="21"/>
                      <w:szCs w:val="21"/>
                    </w:rPr>
                  </w:pPr>
                  <w:r>
                    <w:rPr>
                      <w:kern w:val="0"/>
                      <w:sz w:val="21"/>
                      <w:szCs w:val="21"/>
                    </w:rPr>
                    <w:t>中度危害（P3）</w:t>
                  </w:r>
                </w:p>
              </w:tc>
              <w:tc>
                <w:tcPr>
                  <w:tcW w:w="1696" w:type="dxa"/>
                  <w:vAlign w:val="center"/>
                </w:tcPr>
                <w:p w14:paraId="4F0EF111">
                  <w:pPr>
                    <w:pStyle w:val="37"/>
                    <w:ind w:firstLine="0" w:firstLineChars="0"/>
                    <w:jc w:val="center"/>
                    <w:rPr>
                      <w:kern w:val="0"/>
                      <w:sz w:val="21"/>
                      <w:szCs w:val="21"/>
                    </w:rPr>
                  </w:pPr>
                  <w:r>
                    <w:rPr>
                      <w:kern w:val="0"/>
                      <w:sz w:val="21"/>
                      <w:szCs w:val="21"/>
                    </w:rPr>
                    <w:t>轻度危害（P4）</w:t>
                  </w:r>
                </w:p>
              </w:tc>
            </w:tr>
            <w:tr w14:paraId="2E68951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Align w:val="center"/>
                </w:tcPr>
                <w:p w14:paraId="60AA03A8">
                  <w:pPr>
                    <w:jc w:val="center"/>
                    <w:rPr>
                      <w:kern w:val="0"/>
                      <w:szCs w:val="21"/>
                    </w:rPr>
                  </w:pPr>
                  <w:r>
                    <w:rPr>
                      <w:kern w:val="0"/>
                      <w:szCs w:val="21"/>
                    </w:rPr>
                    <w:t>环境高度敏感区（E1）</w:t>
                  </w:r>
                </w:p>
              </w:tc>
              <w:tc>
                <w:tcPr>
                  <w:tcW w:w="1652" w:type="dxa"/>
                  <w:vAlign w:val="center"/>
                </w:tcPr>
                <w:p w14:paraId="39EE38D0">
                  <w:pPr>
                    <w:jc w:val="center"/>
                    <w:rPr>
                      <w:kern w:val="0"/>
                      <w:szCs w:val="21"/>
                    </w:rPr>
                  </w:pPr>
                  <w:r>
                    <w:rPr>
                      <w:kern w:val="0"/>
                      <w:szCs w:val="21"/>
                    </w:rPr>
                    <w:t>Ⅳ</w:t>
                  </w:r>
                  <w:r>
                    <w:rPr>
                      <w:kern w:val="0"/>
                      <w:szCs w:val="21"/>
                      <w:vertAlign w:val="superscript"/>
                    </w:rPr>
                    <w:t>+</w:t>
                  </w:r>
                </w:p>
              </w:tc>
              <w:tc>
                <w:tcPr>
                  <w:tcW w:w="1708" w:type="dxa"/>
                  <w:vAlign w:val="center"/>
                </w:tcPr>
                <w:p w14:paraId="007B472E">
                  <w:pPr>
                    <w:jc w:val="center"/>
                    <w:rPr>
                      <w:kern w:val="0"/>
                      <w:szCs w:val="21"/>
                    </w:rPr>
                  </w:pPr>
                  <w:r>
                    <w:rPr>
                      <w:kern w:val="0"/>
                      <w:szCs w:val="21"/>
                    </w:rPr>
                    <w:t>Ⅳ</w:t>
                  </w:r>
                </w:p>
              </w:tc>
              <w:tc>
                <w:tcPr>
                  <w:tcW w:w="1708" w:type="dxa"/>
                  <w:vAlign w:val="center"/>
                </w:tcPr>
                <w:p w14:paraId="4FB70476">
                  <w:pPr>
                    <w:jc w:val="center"/>
                    <w:rPr>
                      <w:kern w:val="0"/>
                      <w:szCs w:val="21"/>
                    </w:rPr>
                  </w:pPr>
                  <w:r>
                    <w:rPr>
                      <w:kern w:val="0"/>
                      <w:szCs w:val="21"/>
                    </w:rPr>
                    <w:t>Ⅲ</w:t>
                  </w:r>
                </w:p>
              </w:tc>
              <w:tc>
                <w:tcPr>
                  <w:tcW w:w="1696" w:type="dxa"/>
                  <w:vAlign w:val="center"/>
                </w:tcPr>
                <w:p w14:paraId="4593C43E">
                  <w:pPr>
                    <w:jc w:val="center"/>
                    <w:rPr>
                      <w:kern w:val="0"/>
                      <w:szCs w:val="21"/>
                    </w:rPr>
                  </w:pPr>
                  <w:r>
                    <w:rPr>
                      <w:kern w:val="0"/>
                      <w:szCs w:val="21"/>
                    </w:rPr>
                    <w:t>Ⅲ</w:t>
                  </w:r>
                </w:p>
              </w:tc>
            </w:tr>
            <w:tr w14:paraId="218E260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Align w:val="center"/>
                </w:tcPr>
                <w:p w14:paraId="01FCA9BD">
                  <w:pPr>
                    <w:jc w:val="center"/>
                    <w:rPr>
                      <w:kern w:val="0"/>
                      <w:szCs w:val="21"/>
                    </w:rPr>
                  </w:pPr>
                  <w:r>
                    <w:rPr>
                      <w:kern w:val="0"/>
                      <w:szCs w:val="21"/>
                    </w:rPr>
                    <w:t>环境中度敏感区（E2）</w:t>
                  </w:r>
                </w:p>
              </w:tc>
              <w:tc>
                <w:tcPr>
                  <w:tcW w:w="1652" w:type="dxa"/>
                  <w:vAlign w:val="center"/>
                </w:tcPr>
                <w:p w14:paraId="413154A8">
                  <w:pPr>
                    <w:jc w:val="center"/>
                    <w:rPr>
                      <w:kern w:val="0"/>
                      <w:szCs w:val="21"/>
                    </w:rPr>
                  </w:pPr>
                  <w:r>
                    <w:rPr>
                      <w:kern w:val="0"/>
                      <w:szCs w:val="21"/>
                    </w:rPr>
                    <w:t>Ⅳ</w:t>
                  </w:r>
                </w:p>
              </w:tc>
              <w:tc>
                <w:tcPr>
                  <w:tcW w:w="1708" w:type="dxa"/>
                  <w:vAlign w:val="center"/>
                </w:tcPr>
                <w:p w14:paraId="0FFFE344">
                  <w:pPr>
                    <w:jc w:val="center"/>
                    <w:rPr>
                      <w:kern w:val="0"/>
                      <w:szCs w:val="21"/>
                    </w:rPr>
                  </w:pPr>
                  <w:r>
                    <w:rPr>
                      <w:kern w:val="0"/>
                      <w:szCs w:val="21"/>
                    </w:rPr>
                    <w:t>Ⅲ</w:t>
                  </w:r>
                </w:p>
              </w:tc>
              <w:tc>
                <w:tcPr>
                  <w:tcW w:w="1708" w:type="dxa"/>
                  <w:vAlign w:val="center"/>
                </w:tcPr>
                <w:p w14:paraId="3667F53F">
                  <w:pPr>
                    <w:jc w:val="center"/>
                    <w:rPr>
                      <w:kern w:val="0"/>
                      <w:szCs w:val="21"/>
                    </w:rPr>
                  </w:pPr>
                  <w:r>
                    <w:rPr>
                      <w:kern w:val="0"/>
                      <w:szCs w:val="21"/>
                    </w:rPr>
                    <w:t>Ⅲ</w:t>
                  </w:r>
                </w:p>
              </w:tc>
              <w:tc>
                <w:tcPr>
                  <w:tcW w:w="1696" w:type="dxa"/>
                  <w:vAlign w:val="center"/>
                </w:tcPr>
                <w:p w14:paraId="2405C498">
                  <w:pPr>
                    <w:jc w:val="center"/>
                    <w:rPr>
                      <w:kern w:val="0"/>
                      <w:szCs w:val="21"/>
                    </w:rPr>
                  </w:pPr>
                  <w:r>
                    <w:rPr>
                      <w:kern w:val="0"/>
                      <w:szCs w:val="21"/>
                    </w:rPr>
                    <w:t>Ⅱ</w:t>
                  </w:r>
                </w:p>
              </w:tc>
            </w:tr>
            <w:tr w14:paraId="223ECF0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Align w:val="center"/>
                </w:tcPr>
                <w:p w14:paraId="02DAE6B6">
                  <w:pPr>
                    <w:jc w:val="center"/>
                    <w:rPr>
                      <w:kern w:val="0"/>
                      <w:szCs w:val="21"/>
                    </w:rPr>
                  </w:pPr>
                  <w:r>
                    <w:rPr>
                      <w:kern w:val="0"/>
                      <w:szCs w:val="21"/>
                    </w:rPr>
                    <w:t>环境低度敏感区（E3）</w:t>
                  </w:r>
                </w:p>
              </w:tc>
              <w:tc>
                <w:tcPr>
                  <w:tcW w:w="1652" w:type="dxa"/>
                  <w:vAlign w:val="center"/>
                </w:tcPr>
                <w:p w14:paraId="78E165DE">
                  <w:pPr>
                    <w:jc w:val="center"/>
                    <w:rPr>
                      <w:kern w:val="0"/>
                      <w:szCs w:val="21"/>
                    </w:rPr>
                  </w:pPr>
                  <w:r>
                    <w:rPr>
                      <w:kern w:val="0"/>
                      <w:szCs w:val="21"/>
                    </w:rPr>
                    <w:t>Ⅲ</w:t>
                  </w:r>
                </w:p>
              </w:tc>
              <w:tc>
                <w:tcPr>
                  <w:tcW w:w="1708" w:type="dxa"/>
                  <w:vAlign w:val="center"/>
                </w:tcPr>
                <w:p w14:paraId="5AD13F6E">
                  <w:pPr>
                    <w:jc w:val="center"/>
                    <w:rPr>
                      <w:kern w:val="0"/>
                      <w:szCs w:val="21"/>
                    </w:rPr>
                  </w:pPr>
                  <w:r>
                    <w:rPr>
                      <w:kern w:val="0"/>
                      <w:szCs w:val="21"/>
                    </w:rPr>
                    <w:t>Ⅲ</w:t>
                  </w:r>
                </w:p>
              </w:tc>
              <w:tc>
                <w:tcPr>
                  <w:tcW w:w="1708" w:type="dxa"/>
                  <w:vAlign w:val="center"/>
                </w:tcPr>
                <w:p w14:paraId="2429BF08">
                  <w:pPr>
                    <w:jc w:val="center"/>
                    <w:rPr>
                      <w:kern w:val="0"/>
                      <w:szCs w:val="21"/>
                    </w:rPr>
                  </w:pPr>
                  <w:r>
                    <w:rPr>
                      <w:kern w:val="0"/>
                      <w:szCs w:val="21"/>
                    </w:rPr>
                    <w:t>Ⅱ</w:t>
                  </w:r>
                </w:p>
              </w:tc>
              <w:tc>
                <w:tcPr>
                  <w:tcW w:w="1696" w:type="dxa"/>
                  <w:vAlign w:val="center"/>
                </w:tcPr>
                <w:p w14:paraId="1030EB29">
                  <w:pPr>
                    <w:jc w:val="center"/>
                    <w:rPr>
                      <w:kern w:val="0"/>
                      <w:szCs w:val="21"/>
                    </w:rPr>
                  </w:pPr>
                  <w:r>
                    <w:rPr>
                      <w:kern w:val="0"/>
                      <w:szCs w:val="21"/>
                    </w:rPr>
                    <w:t>Ⅰ</w:t>
                  </w:r>
                </w:p>
              </w:tc>
            </w:tr>
            <w:tr w14:paraId="417471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54" w:type="dxa"/>
                  <w:gridSpan w:val="5"/>
                  <w:vAlign w:val="center"/>
                </w:tcPr>
                <w:p w14:paraId="32B44FA8">
                  <w:pPr>
                    <w:pStyle w:val="37"/>
                    <w:ind w:firstLine="0" w:firstLineChars="0"/>
                    <w:jc w:val="both"/>
                    <w:rPr>
                      <w:kern w:val="0"/>
                      <w:sz w:val="21"/>
                      <w:szCs w:val="21"/>
                    </w:rPr>
                  </w:pPr>
                  <w:r>
                    <w:rPr>
                      <w:kern w:val="0"/>
                      <w:sz w:val="21"/>
                      <w:szCs w:val="21"/>
                    </w:rPr>
                    <w:t>注：Ⅳ</w:t>
                  </w:r>
                  <w:r>
                    <w:rPr>
                      <w:kern w:val="0"/>
                      <w:sz w:val="21"/>
                      <w:szCs w:val="21"/>
                      <w:vertAlign w:val="superscript"/>
                    </w:rPr>
                    <w:t>+</w:t>
                  </w:r>
                  <w:r>
                    <w:rPr>
                      <w:kern w:val="0"/>
                      <w:sz w:val="21"/>
                      <w:szCs w:val="21"/>
                    </w:rPr>
                    <w:t>为极高环境风险。</w:t>
                  </w:r>
                </w:p>
              </w:tc>
            </w:tr>
          </w:tbl>
          <w:p w14:paraId="0CB37739">
            <w:pPr>
              <w:snapToGrid w:val="0"/>
              <w:spacing w:line="240" w:lineRule="exact"/>
              <w:ind w:firstLine="420" w:firstLineChars="200"/>
              <w:rPr>
                <w:rFonts w:eastAsia="黑体"/>
                <w:szCs w:val="22"/>
              </w:rPr>
            </w:pPr>
          </w:p>
          <w:p w14:paraId="7E568B67">
            <w:pPr>
              <w:snapToGrid w:val="0"/>
              <w:spacing w:line="360" w:lineRule="auto"/>
              <w:ind w:firstLine="480" w:firstLineChars="200"/>
              <w:jc w:val="left"/>
              <w:rPr>
                <w:sz w:val="24"/>
                <w:szCs w:val="24"/>
              </w:rPr>
            </w:pPr>
            <w:r>
              <w:rPr>
                <w:sz w:val="24"/>
                <w:szCs w:val="24"/>
              </w:rPr>
              <w:t>（2）P的分级确定</w:t>
            </w:r>
          </w:p>
          <w:p w14:paraId="1B06A170">
            <w:pPr>
              <w:pStyle w:val="110"/>
              <w:widowControl w:val="0"/>
              <w:snapToGrid w:val="0"/>
              <w:ind w:firstLine="480"/>
              <w:rPr>
                <w:rFonts w:ascii="Times New Roman" w:hAnsi="Times New Roman"/>
              </w:rPr>
            </w:pPr>
            <w:r>
              <w:rPr>
                <w:rFonts w:ascii="Times New Roman" w:hAnsi="Times New Roman"/>
              </w:rPr>
              <w:t>根据《建设项目环境风险评价技术导则》（HJ/T169-2018）附录C，计算所涉及的每种危险物质在厂界内的最大存在总量与其在附录B中对应临界量的比值Q。在不同厂区的同一种物质，按其在厂界内的最大存在总量计算。对于长输管线项目，按照两个截断阀室之间管段危险物质最大存在总量计算。</w:t>
            </w:r>
          </w:p>
          <w:p w14:paraId="7CCDE709">
            <w:pPr>
              <w:pStyle w:val="110"/>
              <w:widowControl w:val="0"/>
              <w:snapToGrid w:val="0"/>
              <w:ind w:firstLine="480"/>
              <w:rPr>
                <w:rFonts w:ascii="Times New Roman" w:hAnsi="Times New Roman"/>
              </w:rPr>
            </w:pPr>
            <w:r>
              <w:rPr>
                <w:rFonts w:ascii="Times New Roman" w:hAnsi="Times New Roman"/>
              </w:rPr>
              <w:t>当只涉及一种危险物质时，计算该物质的总量与其临界量比值，即为Q；</w:t>
            </w:r>
          </w:p>
          <w:p w14:paraId="049DFA11">
            <w:pPr>
              <w:pStyle w:val="110"/>
              <w:widowControl w:val="0"/>
              <w:snapToGrid w:val="0"/>
              <w:ind w:firstLine="480"/>
              <w:rPr>
                <w:rFonts w:ascii="Times New Roman" w:hAnsi="Times New Roman"/>
              </w:rPr>
            </w:pPr>
            <w:r>
              <w:rPr>
                <w:rFonts w:ascii="Times New Roman" w:hAnsi="Times New Roman"/>
              </w:rPr>
              <w:t>当存在多种危险物质时，则按式（C.1）计算物质总量与其临界量比值（Q）：</w:t>
            </w:r>
          </w:p>
          <w:p w14:paraId="15805873">
            <w:pPr>
              <w:pStyle w:val="110"/>
              <w:widowControl w:val="0"/>
              <w:snapToGrid w:val="0"/>
              <w:ind w:firstLine="480"/>
              <w:rPr>
                <w:rFonts w:ascii="Times New Roman" w:hAnsi="Times New Roman"/>
              </w:rPr>
            </w:pPr>
            <w:r>
              <w:rPr>
                <w:rFonts w:ascii="Times New Roman" w:hAnsi="Times New Roman"/>
              </w:rPr>
              <w:drawing>
                <wp:inline distT="0" distB="0" distL="114300" distR="114300">
                  <wp:extent cx="3237865" cy="481965"/>
                  <wp:effectExtent l="0" t="0" r="635" b="13335"/>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8" cstate="print"/>
                          <a:stretch>
                            <a:fillRect/>
                          </a:stretch>
                        </pic:blipFill>
                        <pic:spPr>
                          <a:xfrm>
                            <a:off x="0" y="0"/>
                            <a:ext cx="3237865" cy="481965"/>
                          </a:xfrm>
                          <a:prstGeom prst="rect">
                            <a:avLst/>
                          </a:prstGeom>
                          <a:noFill/>
                          <a:ln>
                            <a:noFill/>
                          </a:ln>
                        </pic:spPr>
                      </pic:pic>
                    </a:graphicData>
                  </a:graphic>
                </wp:inline>
              </w:drawing>
            </w:r>
          </w:p>
          <w:p w14:paraId="0733E8F1">
            <w:pPr>
              <w:pStyle w:val="110"/>
              <w:widowControl w:val="0"/>
              <w:snapToGrid w:val="0"/>
              <w:ind w:firstLine="480"/>
              <w:rPr>
                <w:rFonts w:ascii="Times New Roman" w:hAnsi="Times New Roman"/>
              </w:rPr>
            </w:pPr>
            <w:r>
              <w:rPr>
                <w:rFonts w:ascii="Times New Roman" w:hAnsi="Times New Roman"/>
              </w:rPr>
              <w:t>式中：q</w:t>
            </w:r>
            <w:r>
              <w:rPr>
                <w:rFonts w:ascii="Times New Roman" w:hAnsi="Times New Roman"/>
                <w:vertAlign w:val="subscript"/>
              </w:rPr>
              <w:t>1</w:t>
            </w:r>
            <w:r>
              <w:rPr>
                <w:rFonts w:ascii="Times New Roman" w:hAnsi="Times New Roman"/>
              </w:rPr>
              <w:t>，q</w:t>
            </w:r>
            <w:r>
              <w:rPr>
                <w:rFonts w:ascii="Times New Roman" w:hAnsi="Times New Roman"/>
                <w:vertAlign w:val="subscript"/>
              </w:rPr>
              <w:t>2</w:t>
            </w:r>
            <w:r>
              <w:rPr>
                <w:rFonts w:ascii="Times New Roman" w:hAnsi="Times New Roman"/>
              </w:rPr>
              <w:t>，...，q</w:t>
            </w:r>
            <w:r>
              <w:rPr>
                <w:rFonts w:ascii="Times New Roman" w:hAnsi="Times New Roman"/>
                <w:vertAlign w:val="subscript"/>
              </w:rPr>
              <w:t>n</w:t>
            </w:r>
            <w:r>
              <w:rPr>
                <w:rFonts w:ascii="Times New Roman" w:hAnsi="Times New Roman"/>
              </w:rPr>
              <w:t>——每种危险物质的最大存在总量，t；</w:t>
            </w:r>
          </w:p>
          <w:p w14:paraId="0B2CD00A">
            <w:pPr>
              <w:pStyle w:val="110"/>
              <w:widowControl w:val="0"/>
              <w:snapToGrid w:val="0"/>
              <w:ind w:firstLine="480"/>
              <w:rPr>
                <w:rFonts w:ascii="Times New Roman" w:hAnsi="Times New Roman"/>
              </w:rPr>
            </w:pPr>
            <w:r>
              <w:rPr>
                <w:rFonts w:ascii="Times New Roman" w:hAnsi="Times New Roman"/>
              </w:rPr>
              <w:t>Q</w:t>
            </w:r>
            <w:r>
              <w:rPr>
                <w:rFonts w:ascii="Times New Roman" w:hAnsi="Times New Roman"/>
                <w:vertAlign w:val="subscript"/>
              </w:rPr>
              <w:t>1</w:t>
            </w:r>
            <w:r>
              <w:rPr>
                <w:rFonts w:ascii="Times New Roman" w:hAnsi="Times New Roman"/>
              </w:rPr>
              <w:t>，Q</w:t>
            </w:r>
            <w:r>
              <w:rPr>
                <w:rFonts w:ascii="Times New Roman" w:hAnsi="Times New Roman"/>
                <w:vertAlign w:val="subscript"/>
              </w:rPr>
              <w:t>2</w:t>
            </w:r>
            <w:r>
              <w:rPr>
                <w:rFonts w:ascii="Times New Roman" w:hAnsi="Times New Roman"/>
              </w:rPr>
              <w:t>，...，Qn——每种危险物质的临界量，t。</w:t>
            </w:r>
          </w:p>
          <w:p w14:paraId="049561C0">
            <w:pPr>
              <w:pStyle w:val="110"/>
              <w:widowControl w:val="0"/>
              <w:snapToGrid w:val="0"/>
              <w:ind w:firstLine="480"/>
              <w:rPr>
                <w:rFonts w:ascii="Times New Roman" w:hAnsi="Times New Roman"/>
              </w:rPr>
            </w:pPr>
            <w:r>
              <w:rPr>
                <w:rFonts w:ascii="Times New Roman" w:hAnsi="Times New Roman"/>
              </w:rPr>
              <w:t>当 Q＜1 时，该项目环境风险潜势为Ⅰ。</w:t>
            </w:r>
          </w:p>
          <w:p w14:paraId="2B25FFCC">
            <w:pPr>
              <w:pStyle w:val="110"/>
              <w:widowControl w:val="0"/>
              <w:snapToGrid w:val="0"/>
              <w:ind w:firstLine="480"/>
              <w:rPr>
                <w:rFonts w:ascii="Times New Roman" w:hAnsi="Times New Roman"/>
                <w:szCs w:val="21"/>
              </w:rPr>
            </w:pPr>
            <w:r>
              <w:rPr>
                <w:rFonts w:ascii="Times New Roman" w:hAnsi="Times New Roman"/>
              </w:rPr>
              <w:t>当 Q≥1 时，将 Q 值划分为：（1）1≤Q＜10；（2）10≤Q＜100；（3）Q≥100。</w:t>
            </w:r>
          </w:p>
          <w:p w14:paraId="6F1D34B7">
            <w:pPr>
              <w:jc w:val="center"/>
              <w:rPr>
                <w:b/>
                <w:bCs/>
                <w:sz w:val="24"/>
                <w:szCs w:val="24"/>
              </w:rPr>
            </w:pPr>
            <w:r>
              <w:rPr>
                <w:b/>
                <w:bCs/>
                <w:sz w:val="24"/>
                <w:szCs w:val="24"/>
              </w:rPr>
              <w:t>表7-1</w:t>
            </w:r>
            <w:r>
              <w:rPr>
                <w:rFonts w:hint="eastAsia"/>
                <w:b/>
                <w:bCs/>
                <w:sz w:val="24"/>
                <w:szCs w:val="24"/>
              </w:rPr>
              <w:t>7</w:t>
            </w:r>
            <w:r>
              <w:rPr>
                <w:b/>
                <w:bCs/>
                <w:sz w:val="24"/>
                <w:szCs w:val="24"/>
              </w:rPr>
              <w:t>本项目危险化学品Q值确定</w:t>
            </w:r>
          </w:p>
          <w:tbl>
            <w:tblPr>
              <w:tblStyle w:val="27"/>
              <w:tblW w:w="853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55"/>
              <w:gridCol w:w="1860"/>
              <w:gridCol w:w="913"/>
              <w:gridCol w:w="1701"/>
              <w:gridCol w:w="1984"/>
              <w:gridCol w:w="1418"/>
            </w:tblGrid>
            <w:tr w14:paraId="21E62FE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5" w:type="dxa"/>
                  <w:vAlign w:val="center"/>
                </w:tcPr>
                <w:p w14:paraId="75FCD083">
                  <w:pPr>
                    <w:spacing w:line="360" w:lineRule="exact"/>
                    <w:jc w:val="center"/>
                    <w:rPr>
                      <w:szCs w:val="21"/>
                    </w:rPr>
                  </w:pPr>
                  <w:r>
                    <w:rPr>
                      <w:szCs w:val="21"/>
                    </w:rPr>
                    <w:t>序号</w:t>
                  </w:r>
                </w:p>
              </w:tc>
              <w:tc>
                <w:tcPr>
                  <w:tcW w:w="1860" w:type="dxa"/>
                  <w:vAlign w:val="center"/>
                </w:tcPr>
                <w:p w14:paraId="18A8128B">
                  <w:pPr>
                    <w:spacing w:line="360" w:lineRule="exact"/>
                    <w:jc w:val="center"/>
                    <w:rPr>
                      <w:szCs w:val="21"/>
                    </w:rPr>
                  </w:pPr>
                  <w:r>
                    <w:rPr>
                      <w:szCs w:val="21"/>
                    </w:rPr>
                    <w:t>物质名称</w:t>
                  </w:r>
                </w:p>
              </w:tc>
              <w:tc>
                <w:tcPr>
                  <w:tcW w:w="913" w:type="dxa"/>
                  <w:vAlign w:val="center"/>
                </w:tcPr>
                <w:p w14:paraId="487C0450">
                  <w:pPr>
                    <w:spacing w:line="360" w:lineRule="exact"/>
                    <w:jc w:val="center"/>
                    <w:rPr>
                      <w:szCs w:val="21"/>
                    </w:rPr>
                  </w:pPr>
                  <w:r>
                    <w:rPr>
                      <w:szCs w:val="21"/>
                    </w:rPr>
                    <w:t>状态</w:t>
                  </w:r>
                </w:p>
              </w:tc>
              <w:tc>
                <w:tcPr>
                  <w:tcW w:w="1701" w:type="dxa"/>
                  <w:vAlign w:val="center"/>
                </w:tcPr>
                <w:p w14:paraId="0034E98E">
                  <w:pPr>
                    <w:spacing w:line="360" w:lineRule="exact"/>
                    <w:jc w:val="center"/>
                    <w:rPr>
                      <w:szCs w:val="21"/>
                    </w:rPr>
                  </w:pPr>
                  <w:r>
                    <w:rPr>
                      <w:szCs w:val="21"/>
                    </w:rPr>
                    <w:t>贮存临界量（t）</w:t>
                  </w:r>
                </w:p>
              </w:tc>
              <w:tc>
                <w:tcPr>
                  <w:tcW w:w="1984" w:type="dxa"/>
                  <w:vAlign w:val="center"/>
                </w:tcPr>
                <w:p w14:paraId="481D619C">
                  <w:pPr>
                    <w:spacing w:line="360" w:lineRule="exact"/>
                    <w:jc w:val="center"/>
                    <w:rPr>
                      <w:szCs w:val="21"/>
                    </w:rPr>
                  </w:pPr>
                  <w:r>
                    <w:rPr>
                      <w:szCs w:val="21"/>
                    </w:rPr>
                    <w:t>最大存储量（t）</w:t>
                  </w:r>
                </w:p>
              </w:tc>
              <w:tc>
                <w:tcPr>
                  <w:tcW w:w="1418" w:type="dxa"/>
                  <w:vAlign w:val="center"/>
                </w:tcPr>
                <w:p w14:paraId="1648F818">
                  <w:pPr>
                    <w:spacing w:line="360" w:lineRule="exact"/>
                    <w:jc w:val="center"/>
                    <w:rPr>
                      <w:szCs w:val="21"/>
                    </w:rPr>
                  </w:pPr>
                  <w:r>
                    <w:rPr>
                      <w:szCs w:val="21"/>
                    </w:rPr>
                    <w:t>Q</w:t>
                  </w:r>
                </w:p>
              </w:tc>
            </w:tr>
            <w:tr w14:paraId="137A9CB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655" w:type="dxa"/>
                  <w:vAlign w:val="center"/>
                </w:tcPr>
                <w:p w14:paraId="26F244B9">
                  <w:pPr>
                    <w:spacing w:line="360" w:lineRule="exact"/>
                    <w:jc w:val="center"/>
                    <w:rPr>
                      <w:szCs w:val="21"/>
                    </w:rPr>
                  </w:pPr>
                  <w:r>
                    <w:rPr>
                      <w:szCs w:val="21"/>
                    </w:rPr>
                    <w:t>1</w:t>
                  </w:r>
                </w:p>
              </w:tc>
              <w:tc>
                <w:tcPr>
                  <w:tcW w:w="1860" w:type="dxa"/>
                  <w:vAlign w:val="center"/>
                </w:tcPr>
                <w:p w14:paraId="0E509470">
                  <w:pPr>
                    <w:jc w:val="center"/>
                    <w:rPr>
                      <w:szCs w:val="21"/>
                    </w:rPr>
                  </w:pPr>
                  <w:r>
                    <w:rPr>
                      <w:rFonts w:hint="eastAsia"/>
                      <w:szCs w:val="21"/>
                    </w:rPr>
                    <w:t>油漆、稀料</w:t>
                  </w:r>
                </w:p>
              </w:tc>
              <w:tc>
                <w:tcPr>
                  <w:tcW w:w="913" w:type="dxa"/>
                  <w:vAlign w:val="center"/>
                </w:tcPr>
                <w:p w14:paraId="62B3DD70">
                  <w:pPr>
                    <w:spacing w:line="320" w:lineRule="exact"/>
                    <w:jc w:val="center"/>
                    <w:rPr>
                      <w:szCs w:val="21"/>
                    </w:rPr>
                  </w:pPr>
                  <w:r>
                    <w:rPr>
                      <w:rFonts w:hint="eastAsia"/>
                      <w:szCs w:val="21"/>
                    </w:rPr>
                    <w:t>液态</w:t>
                  </w:r>
                </w:p>
              </w:tc>
              <w:tc>
                <w:tcPr>
                  <w:tcW w:w="1701" w:type="dxa"/>
                  <w:vAlign w:val="center"/>
                </w:tcPr>
                <w:p w14:paraId="00E4ACB6">
                  <w:pPr>
                    <w:adjustRightInd w:val="0"/>
                    <w:snapToGrid w:val="0"/>
                    <w:spacing w:line="320" w:lineRule="exact"/>
                    <w:jc w:val="center"/>
                    <w:rPr>
                      <w:szCs w:val="21"/>
                    </w:rPr>
                  </w:pPr>
                  <w:r>
                    <w:rPr>
                      <w:rFonts w:hint="eastAsia"/>
                      <w:szCs w:val="21"/>
                    </w:rPr>
                    <w:t>50</w:t>
                  </w:r>
                </w:p>
              </w:tc>
              <w:tc>
                <w:tcPr>
                  <w:tcW w:w="1984" w:type="dxa"/>
                  <w:vAlign w:val="center"/>
                </w:tcPr>
                <w:p w14:paraId="7874648C">
                  <w:pPr>
                    <w:spacing w:line="320" w:lineRule="exact"/>
                    <w:jc w:val="center"/>
                    <w:rPr>
                      <w:szCs w:val="21"/>
                    </w:rPr>
                  </w:pPr>
                  <w:r>
                    <w:rPr>
                      <w:rFonts w:hint="eastAsia"/>
                      <w:szCs w:val="21"/>
                    </w:rPr>
                    <w:t>1.6</w:t>
                  </w:r>
                </w:p>
              </w:tc>
              <w:tc>
                <w:tcPr>
                  <w:tcW w:w="1418" w:type="dxa"/>
                  <w:vAlign w:val="center"/>
                </w:tcPr>
                <w:p w14:paraId="24731766">
                  <w:pPr>
                    <w:spacing w:line="360" w:lineRule="exact"/>
                    <w:jc w:val="center"/>
                    <w:rPr>
                      <w:szCs w:val="21"/>
                    </w:rPr>
                  </w:pPr>
                  <w:r>
                    <w:rPr>
                      <w:rFonts w:hint="eastAsia"/>
                      <w:szCs w:val="21"/>
                    </w:rPr>
                    <w:t>0.032</w:t>
                  </w:r>
                </w:p>
              </w:tc>
            </w:tr>
          </w:tbl>
          <w:p w14:paraId="383F645D">
            <w:pPr>
              <w:spacing w:line="360" w:lineRule="auto"/>
              <w:ind w:firstLine="480" w:firstLineChars="200"/>
              <w:jc w:val="left"/>
              <w:rPr>
                <w:bCs/>
                <w:sz w:val="24"/>
                <w:szCs w:val="24"/>
              </w:rPr>
            </w:pPr>
            <w:r>
              <w:rPr>
                <w:sz w:val="24"/>
                <w:szCs w:val="24"/>
              </w:rPr>
              <w:t>本项目</w:t>
            </w:r>
            <w:r>
              <w:rPr>
                <w:rFonts w:hint="eastAsia"/>
                <w:sz w:val="24"/>
                <w:szCs w:val="24"/>
              </w:rPr>
              <w:t>Q=0.032＜1，</w:t>
            </w:r>
            <w:r>
              <w:rPr>
                <w:sz w:val="24"/>
                <w:szCs w:val="24"/>
              </w:rPr>
              <w:t>环境风险潜势为Ⅰ。</w:t>
            </w:r>
          </w:p>
          <w:p w14:paraId="746F5989">
            <w:pPr>
              <w:spacing w:line="360" w:lineRule="auto"/>
              <w:ind w:firstLine="480" w:firstLineChars="200"/>
              <w:jc w:val="left"/>
              <w:rPr>
                <w:sz w:val="24"/>
                <w:szCs w:val="24"/>
              </w:rPr>
            </w:pPr>
            <w:r>
              <w:rPr>
                <w:sz w:val="24"/>
                <w:szCs w:val="24"/>
              </w:rPr>
              <w:t>3、评价等级及评价范围</w:t>
            </w:r>
          </w:p>
          <w:p w14:paraId="0BA9C27B">
            <w:pPr>
              <w:pStyle w:val="110"/>
              <w:widowControl w:val="0"/>
              <w:snapToGrid w:val="0"/>
              <w:ind w:firstLine="480"/>
              <w:rPr>
                <w:rFonts w:ascii="Times New Roman" w:hAnsi="Times New Roman"/>
              </w:rPr>
            </w:pPr>
            <w:r>
              <w:rPr>
                <w:rFonts w:ascii="Times New Roman" w:hAnsi="Times New Roman"/>
              </w:rPr>
              <w:t>环境风险评价工作等级划分为一级、二级、三级。根据建设项目涉及的物质及工艺系统危险性和所在地的环境敏感性确定环境风险潜势，按照下表确定评价工作等级。</w:t>
            </w:r>
          </w:p>
          <w:p w14:paraId="0E27B00B">
            <w:pPr>
              <w:jc w:val="center"/>
              <w:rPr>
                <w:b/>
                <w:bCs/>
                <w:sz w:val="24"/>
                <w:szCs w:val="24"/>
              </w:rPr>
            </w:pPr>
            <w:r>
              <w:rPr>
                <w:b/>
                <w:bCs/>
                <w:sz w:val="24"/>
                <w:szCs w:val="24"/>
              </w:rPr>
              <w:t>表7-1</w:t>
            </w:r>
            <w:r>
              <w:rPr>
                <w:rFonts w:hint="eastAsia"/>
                <w:b/>
                <w:bCs/>
                <w:sz w:val="24"/>
                <w:szCs w:val="24"/>
              </w:rPr>
              <w:t>8</w:t>
            </w:r>
            <w:r>
              <w:rPr>
                <w:b/>
                <w:bCs/>
                <w:sz w:val="24"/>
                <w:szCs w:val="24"/>
              </w:rPr>
              <w:t xml:space="preserve"> 评价工作等级划分</w:t>
            </w:r>
          </w:p>
          <w:tbl>
            <w:tblPr>
              <w:tblStyle w:val="27"/>
              <w:tblW w:w="895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190"/>
              <w:gridCol w:w="1652"/>
              <w:gridCol w:w="1708"/>
              <w:gridCol w:w="1708"/>
              <w:gridCol w:w="1696"/>
            </w:tblGrid>
            <w:tr w14:paraId="609441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Align w:val="center"/>
                </w:tcPr>
                <w:p w14:paraId="6C135C17">
                  <w:pPr>
                    <w:jc w:val="center"/>
                    <w:rPr>
                      <w:kern w:val="0"/>
                      <w:szCs w:val="21"/>
                    </w:rPr>
                  </w:pPr>
                  <w:r>
                    <w:rPr>
                      <w:kern w:val="0"/>
                      <w:szCs w:val="21"/>
                    </w:rPr>
                    <w:t>环境风险潜势</w:t>
                  </w:r>
                </w:p>
              </w:tc>
              <w:tc>
                <w:tcPr>
                  <w:tcW w:w="1652" w:type="dxa"/>
                  <w:vAlign w:val="center"/>
                </w:tcPr>
                <w:p w14:paraId="06D3C5E5">
                  <w:pPr>
                    <w:jc w:val="center"/>
                    <w:rPr>
                      <w:kern w:val="0"/>
                      <w:szCs w:val="21"/>
                    </w:rPr>
                  </w:pPr>
                  <w:r>
                    <w:rPr>
                      <w:kern w:val="0"/>
                      <w:szCs w:val="21"/>
                    </w:rPr>
                    <w:t>Ⅳ</w:t>
                  </w:r>
                  <w:r>
                    <w:rPr>
                      <w:kern w:val="0"/>
                      <w:szCs w:val="21"/>
                      <w:vertAlign w:val="superscript"/>
                    </w:rPr>
                    <w:t>+</w:t>
                  </w:r>
                  <w:r>
                    <w:rPr>
                      <w:kern w:val="0"/>
                      <w:szCs w:val="21"/>
                    </w:rPr>
                    <w:t>、Ⅳ</w:t>
                  </w:r>
                </w:p>
              </w:tc>
              <w:tc>
                <w:tcPr>
                  <w:tcW w:w="1708" w:type="dxa"/>
                  <w:vAlign w:val="center"/>
                </w:tcPr>
                <w:p w14:paraId="72731D76">
                  <w:pPr>
                    <w:jc w:val="center"/>
                    <w:rPr>
                      <w:kern w:val="0"/>
                      <w:szCs w:val="21"/>
                    </w:rPr>
                  </w:pPr>
                  <w:r>
                    <w:rPr>
                      <w:kern w:val="0"/>
                      <w:szCs w:val="21"/>
                    </w:rPr>
                    <w:t>Ⅲ</w:t>
                  </w:r>
                </w:p>
              </w:tc>
              <w:tc>
                <w:tcPr>
                  <w:tcW w:w="1708" w:type="dxa"/>
                  <w:vAlign w:val="center"/>
                </w:tcPr>
                <w:p w14:paraId="4062BB33">
                  <w:pPr>
                    <w:jc w:val="center"/>
                    <w:rPr>
                      <w:kern w:val="0"/>
                      <w:szCs w:val="21"/>
                    </w:rPr>
                  </w:pPr>
                  <w:r>
                    <w:rPr>
                      <w:kern w:val="0"/>
                      <w:szCs w:val="21"/>
                    </w:rPr>
                    <w:t>Ⅱ</w:t>
                  </w:r>
                </w:p>
              </w:tc>
              <w:tc>
                <w:tcPr>
                  <w:tcW w:w="1696" w:type="dxa"/>
                  <w:vAlign w:val="center"/>
                </w:tcPr>
                <w:p w14:paraId="2D168DCC">
                  <w:pPr>
                    <w:jc w:val="center"/>
                    <w:rPr>
                      <w:kern w:val="0"/>
                      <w:szCs w:val="21"/>
                    </w:rPr>
                  </w:pPr>
                  <w:r>
                    <w:rPr>
                      <w:kern w:val="0"/>
                      <w:szCs w:val="21"/>
                    </w:rPr>
                    <w:t>Ⅰ</w:t>
                  </w:r>
                </w:p>
              </w:tc>
            </w:tr>
            <w:tr w14:paraId="07EF17B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Align w:val="center"/>
                </w:tcPr>
                <w:p w14:paraId="5BB0D888">
                  <w:pPr>
                    <w:jc w:val="center"/>
                    <w:rPr>
                      <w:kern w:val="0"/>
                      <w:szCs w:val="21"/>
                    </w:rPr>
                  </w:pPr>
                  <w:r>
                    <w:rPr>
                      <w:kern w:val="0"/>
                      <w:szCs w:val="21"/>
                    </w:rPr>
                    <w:t>评价工作等级</w:t>
                  </w:r>
                </w:p>
              </w:tc>
              <w:tc>
                <w:tcPr>
                  <w:tcW w:w="1652" w:type="dxa"/>
                  <w:vAlign w:val="center"/>
                </w:tcPr>
                <w:p w14:paraId="2C9D69D7">
                  <w:pPr>
                    <w:jc w:val="center"/>
                    <w:rPr>
                      <w:kern w:val="0"/>
                      <w:szCs w:val="21"/>
                    </w:rPr>
                  </w:pPr>
                  <w:r>
                    <w:rPr>
                      <w:kern w:val="0"/>
                      <w:szCs w:val="21"/>
                    </w:rPr>
                    <w:t>一</w:t>
                  </w:r>
                </w:p>
              </w:tc>
              <w:tc>
                <w:tcPr>
                  <w:tcW w:w="1708" w:type="dxa"/>
                  <w:vAlign w:val="center"/>
                </w:tcPr>
                <w:p w14:paraId="38012B00">
                  <w:pPr>
                    <w:jc w:val="center"/>
                    <w:rPr>
                      <w:kern w:val="0"/>
                      <w:szCs w:val="21"/>
                    </w:rPr>
                  </w:pPr>
                  <w:r>
                    <w:rPr>
                      <w:kern w:val="0"/>
                      <w:szCs w:val="21"/>
                    </w:rPr>
                    <w:t>二</w:t>
                  </w:r>
                </w:p>
              </w:tc>
              <w:tc>
                <w:tcPr>
                  <w:tcW w:w="1708" w:type="dxa"/>
                  <w:vAlign w:val="center"/>
                </w:tcPr>
                <w:p w14:paraId="01337E37">
                  <w:pPr>
                    <w:jc w:val="center"/>
                    <w:rPr>
                      <w:kern w:val="0"/>
                      <w:szCs w:val="21"/>
                    </w:rPr>
                  </w:pPr>
                  <w:r>
                    <w:rPr>
                      <w:kern w:val="0"/>
                      <w:szCs w:val="21"/>
                    </w:rPr>
                    <w:t>三</w:t>
                  </w:r>
                </w:p>
              </w:tc>
              <w:tc>
                <w:tcPr>
                  <w:tcW w:w="1696" w:type="dxa"/>
                  <w:vAlign w:val="center"/>
                </w:tcPr>
                <w:p w14:paraId="417BD3A1">
                  <w:pPr>
                    <w:jc w:val="center"/>
                    <w:rPr>
                      <w:kern w:val="0"/>
                      <w:szCs w:val="21"/>
                    </w:rPr>
                  </w:pPr>
                  <w:r>
                    <w:rPr>
                      <w:kern w:val="0"/>
                      <w:szCs w:val="21"/>
                    </w:rPr>
                    <w:t>简单分析</w:t>
                  </w:r>
                </w:p>
              </w:tc>
            </w:tr>
          </w:tbl>
          <w:p w14:paraId="2114A7BE">
            <w:pPr>
              <w:pStyle w:val="110"/>
              <w:widowControl w:val="0"/>
              <w:snapToGrid w:val="0"/>
              <w:spacing w:line="240" w:lineRule="exact"/>
              <w:ind w:firstLine="480"/>
              <w:rPr>
                <w:rFonts w:ascii="Times New Roman" w:hAnsi="Times New Roman"/>
              </w:rPr>
            </w:pPr>
          </w:p>
          <w:p w14:paraId="6167C564">
            <w:pPr>
              <w:pStyle w:val="110"/>
              <w:widowControl w:val="0"/>
              <w:snapToGrid w:val="0"/>
              <w:ind w:firstLine="480"/>
              <w:rPr>
                <w:rFonts w:ascii="Times New Roman" w:hAnsi="Times New Roman"/>
              </w:rPr>
            </w:pPr>
            <w:r>
              <w:rPr>
                <w:rFonts w:ascii="Times New Roman" w:hAnsi="Times New Roman"/>
              </w:rPr>
              <w:t>根据上表可知，本项目环境风险潜势为Ⅰ，可开展简单分析</w:t>
            </w:r>
            <w:r>
              <w:rPr>
                <w:rFonts w:hint="eastAsia" w:ascii="Times New Roman" w:hAnsi="Times New Roman"/>
              </w:rPr>
              <w:t>，</w:t>
            </w:r>
            <w:r>
              <w:rPr>
                <w:rFonts w:ascii="Times New Roman" w:hAnsi="Times New Roman"/>
              </w:rPr>
              <w:t>不设置风险评价范围</w:t>
            </w:r>
            <w:r>
              <w:rPr>
                <w:rFonts w:hint="eastAsia" w:ascii="Times New Roman" w:hAnsi="Times New Roman"/>
              </w:rPr>
              <w:t>。</w:t>
            </w:r>
          </w:p>
          <w:p w14:paraId="70790995">
            <w:pPr>
              <w:spacing w:line="360" w:lineRule="auto"/>
              <w:ind w:firstLine="480" w:firstLineChars="200"/>
              <w:jc w:val="left"/>
              <w:rPr>
                <w:sz w:val="24"/>
                <w:szCs w:val="24"/>
              </w:rPr>
            </w:pPr>
            <w:r>
              <w:rPr>
                <w:rFonts w:hint="eastAsia"/>
                <w:sz w:val="24"/>
                <w:szCs w:val="24"/>
              </w:rPr>
              <w:t>4</w:t>
            </w:r>
            <w:r>
              <w:rPr>
                <w:sz w:val="24"/>
                <w:szCs w:val="24"/>
              </w:rPr>
              <w:t>、环境风险分析及防范措施</w:t>
            </w:r>
          </w:p>
          <w:p w14:paraId="280A0527">
            <w:pPr>
              <w:spacing w:line="360" w:lineRule="auto"/>
              <w:ind w:firstLine="480" w:firstLineChars="200"/>
              <w:rPr>
                <w:sz w:val="24"/>
                <w:szCs w:val="24"/>
              </w:rPr>
            </w:pPr>
            <w:r>
              <w:rPr>
                <w:sz w:val="24"/>
              </w:rPr>
              <w:t>本项目营运期潜存的环境风险问题有：</w:t>
            </w:r>
          </w:p>
          <w:p w14:paraId="57F6F29E">
            <w:pPr>
              <w:spacing w:line="360" w:lineRule="auto"/>
              <w:ind w:firstLine="480" w:firstLineChars="200"/>
              <w:rPr>
                <w:sz w:val="24"/>
                <w:szCs w:val="24"/>
              </w:rPr>
            </w:pPr>
            <w:r>
              <w:rPr>
                <w:rFonts w:eastAsiaTheme="minorEastAsia"/>
                <w:sz w:val="24"/>
                <w:szCs w:val="24"/>
              </w:rPr>
              <w:t>（</w:t>
            </w:r>
            <w:r>
              <w:rPr>
                <w:rFonts w:hint="eastAsia" w:eastAsiaTheme="minorEastAsia"/>
                <w:sz w:val="24"/>
                <w:szCs w:val="24"/>
              </w:rPr>
              <w:t>1</w:t>
            </w:r>
            <w:r>
              <w:rPr>
                <w:rFonts w:eastAsiaTheme="minorEastAsia"/>
                <w:sz w:val="24"/>
                <w:szCs w:val="24"/>
              </w:rPr>
              <w:t>）</w:t>
            </w:r>
            <w:r>
              <w:rPr>
                <w:rFonts w:hint="eastAsia" w:eastAsiaTheme="minorEastAsia"/>
                <w:sz w:val="24"/>
                <w:szCs w:val="24"/>
              </w:rPr>
              <w:t>有机</w:t>
            </w:r>
            <w:r>
              <w:rPr>
                <w:rFonts w:eastAsiaTheme="minorEastAsia"/>
                <w:sz w:val="24"/>
                <w:szCs w:val="24"/>
              </w:rPr>
              <w:t>废气处理装置故障，发生事故性排放</w:t>
            </w:r>
            <w:r>
              <w:rPr>
                <w:kern w:val="0"/>
                <w:sz w:val="24"/>
                <w:szCs w:val="24"/>
              </w:rPr>
              <w:t>；</w:t>
            </w:r>
          </w:p>
          <w:p w14:paraId="07E8E699">
            <w:pPr>
              <w:spacing w:line="360" w:lineRule="auto"/>
              <w:ind w:firstLine="480" w:firstLineChars="200"/>
              <w:rPr>
                <w:rFonts w:eastAsiaTheme="minorEastAsia"/>
                <w:sz w:val="24"/>
                <w:szCs w:val="24"/>
              </w:rPr>
            </w:pPr>
            <w:r>
              <w:rPr>
                <w:rFonts w:eastAsiaTheme="minorEastAsia"/>
                <w:sz w:val="24"/>
                <w:szCs w:val="24"/>
              </w:rPr>
              <w:t>（</w:t>
            </w:r>
            <w:r>
              <w:rPr>
                <w:rFonts w:hint="eastAsia" w:eastAsiaTheme="minorEastAsia"/>
                <w:sz w:val="24"/>
                <w:szCs w:val="24"/>
              </w:rPr>
              <w:t>2</w:t>
            </w:r>
            <w:r>
              <w:rPr>
                <w:rFonts w:eastAsiaTheme="minorEastAsia"/>
                <w:sz w:val="24"/>
                <w:szCs w:val="24"/>
              </w:rPr>
              <w:t>）电路短路、电线老化等可能发生火灾风险；</w:t>
            </w:r>
          </w:p>
          <w:p w14:paraId="29D99B3E">
            <w:pPr>
              <w:spacing w:line="360" w:lineRule="auto"/>
              <w:ind w:firstLine="480" w:firstLineChars="200"/>
              <w:rPr>
                <w:rFonts w:eastAsiaTheme="minorEastAsia"/>
                <w:sz w:val="24"/>
                <w:szCs w:val="24"/>
              </w:rPr>
            </w:pPr>
            <w:r>
              <w:rPr>
                <w:rFonts w:eastAsiaTheme="minorEastAsia"/>
                <w:sz w:val="24"/>
                <w:szCs w:val="24"/>
              </w:rPr>
              <w:t>（</w:t>
            </w:r>
            <w:r>
              <w:rPr>
                <w:rFonts w:hint="eastAsia" w:eastAsiaTheme="minorEastAsia"/>
                <w:sz w:val="24"/>
                <w:szCs w:val="24"/>
              </w:rPr>
              <w:t>3</w:t>
            </w:r>
            <w:r>
              <w:rPr>
                <w:rFonts w:eastAsiaTheme="minorEastAsia"/>
                <w:sz w:val="24"/>
                <w:szCs w:val="24"/>
              </w:rPr>
              <w:t>）化粪池、排污管道损坏导致项目废水外漏，污水渗漏对周围地表水、地下水的污染风险；</w:t>
            </w:r>
          </w:p>
          <w:p w14:paraId="2CEC3A6F">
            <w:pPr>
              <w:spacing w:line="360" w:lineRule="auto"/>
              <w:ind w:firstLine="480" w:firstLineChars="200"/>
              <w:rPr>
                <w:kern w:val="0"/>
                <w:sz w:val="24"/>
                <w:szCs w:val="24"/>
              </w:rPr>
            </w:pPr>
            <w:r>
              <w:rPr>
                <w:rFonts w:eastAsiaTheme="minorEastAsia"/>
                <w:sz w:val="24"/>
                <w:szCs w:val="24"/>
              </w:rPr>
              <w:t>（</w:t>
            </w:r>
            <w:r>
              <w:rPr>
                <w:rFonts w:hint="eastAsia" w:eastAsiaTheme="minorEastAsia"/>
                <w:sz w:val="24"/>
                <w:szCs w:val="24"/>
              </w:rPr>
              <w:t>4</w:t>
            </w:r>
            <w:r>
              <w:rPr>
                <w:rFonts w:eastAsiaTheme="minorEastAsia"/>
                <w:sz w:val="24"/>
                <w:szCs w:val="24"/>
              </w:rPr>
              <w:t>）项目运行过程中</w:t>
            </w:r>
            <w:r>
              <w:rPr>
                <w:rFonts w:hint="eastAsia"/>
                <w:kern w:val="0"/>
                <w:sz w:val="24"/>
                <w:szCs w:val="24"/>
              </w:rPr>
              <w:t>油漆、稀料等危险物质存储不当导致泄漏事故；</w:t>
            </w:r>
          </w:p>
          <w:p w14:paraId="5748908A">
            <w:pPr>
              <w:spacing w:line="360" w:lineRule="auto"/>
              <w:ind w:firstLine="480" w:firstLineChars="200"/>
              <w:rPr>
                <w:rFonts w:eastAsiaTheme="minorEastAsia"/>
                <w:sz w:val="24"/>
                <w:szCs w:val="24"/>
              </w:rPr>
            </w:pPr>
            <w:r>
              <w:rPr>
                <w:rFonts w:hint="eastAsia"/>
                <w:kern w:val="0"/>
                <w:sz w:val="24"/>
                <w:szCs w:val="24"/>
              </w:rPr>
              <w:t>（5）项目生产过程</w:t>
            </w:r>
            <w:r>
              <w:rPr>
                <w:rFonts w:eastAsiaTheme="minorEastAsia"/>
                <w:sz w:val="24"/>
                <w:szCs w:val="24"/>
              </w:rPr>
              <w:t>产生危险废物不按国家有关危险废物的处置方式进行管理，会对项目区周围地表水、地下水、土壤等造成严重污染。</w:t>
            </w:r>
          </w:p>
          <w:p w14:paraId="0862F2F5">
            <w:pPr>
              <w:spacing w:line="360" w:lineRule="auto"/>
              <w:ind w:firstLine="480" w:firstLineChars="200"/>
              <w:rPr>
                <w:rFonts w:eastAsiaTheme="minorEastAsia"/>
                <w:sz w:val="24"/>
                <w:szCs w:val="24"/>
              </w:rPr>
            </w:pPr>
            <w:r>
              <w:rPr>
                <w:rFonts w:eastAsiaTheme="minorEastAsia"/>
                <w:sz w:val="24"/>
                <w:szCs w:val="24"/>
              </w:rPr>
              <w:t>针对项目工程特征及潜在风险因素，提出以下风险防范措施：</w:t>
            </w:r>
          </w:p>
          <w:p w14:paraId="7D4181DE">
            <w:pPr>
              <w:spacing w:line="360" w:lineRule="auto"/>
              <w:ind w:firstLine="480" w:firstLineChars="200"/>
              <w:rPr>
                <w:sz w:val="24"/>
                <w:szCs w:val="24"/>
              </w:rPr>
            </w:pPr>
            <w:r>
              <w:rPr>
                <w:rFonts w:eastAsiaTheme="minorEastAsia"/>
                <w:sz w:val="24"/>
                <w:szCs w:val="24"/>
              </w:rPr>
              <w:t>（1）</w:t>
            </w:r>
            <w:r>
              <w:rPr>
                <w:sz w:val="24"/>
                <w:szCs w:val="24"/>
              </w:rPr>
              <w:t>加强废气处理设备的运行管理、维护，保证正常运行，杜绝事故性排放；配备监护员和应急救援人员； 严格安全管理，落实作业许可，制订科学的应急预案，并加强演练</w:t>
            </w:r>
            <w:r>
              <w:rPr>
                <w:rFonts w:hint="eastAsia" w:eastAsiaTheme="minorEastAsia"/>
                <w:sz w:val="24"/>
                <w:szCs w:val="24"/>
              </w:rPr>
              <w:t>；</w:t>
            </w:r>
          </w:p>
          <w:p w14:paraId="6A819F2E">
            <w:pPr>
              <w:spacing w:line="360" w:lineRule="auto"/>
              <w:ind w:firstLine="480" w:firstLineChars="200"/>
              <w:rPr>
                <w:sz w:val="24"/>
                <w:szCs w:val="24"/>
              </w:rPr>
            </w:pPr>
            <w:r>
              <w:rPr>
                <w:rFonts w:eastAsiaTheme="minorEastAsia"/>
                <w:sz w:val="24"/>
                <w:szCs w:val="24"/>
              </w:rPr>
              <w:t>（2）</w:t>
            </w:r>
            <w:r>
              <w:rPr>
                <w:sz w:val="24"/>
                <w:szCs w:val="24"/>
              </w:rPr>
              <w:t>生产装置区的配电和照明均应按《爆炸和火灾危险环境电力装置设计规范》的规定，选用相应防爆级别的电气设备和照明灯具及开关，线路敷设均应满足安全要求</w:t>
            </w:r>
            <w:r>
              <w:rPr>
                <w:rFonts w:hint="eastAsia"/>
                <w:sz w:val="24"/>
                <w:szCs w:val="24"/>
              </w:rPr>
              <w:t>；</w:t>
            </w:r>
            <w:r>
              <w:rPr>
                <w:sz w:val="24"/>
                <w:szCs w:val="24"/>
              </w:rPr>
              <w:t>加强设备管理，特别是对易产生火灾隐患的部位加强检查</w:t>
            </w:r>
            <w:r>
              <w:rPr>
                <w:rFonts w:hint="eastAsia"/>
                <w:sz w:val="24"/>
                <w:szCs w:val="24"/>
              </w:rPr>
              <w:t>；</w:t>
            </w:r>
            <w:r>
              <w:rPr>
                <w:sz w:val="24"/>
                <w:szCs w:val="24"/>
              </w:rPr>
              <w:t>加强事故管理，生产车间需严禁烟火，</w:t>
            </w:r>
            <w:r>
              <w:rPr>
                <w:rFonts w:hint="eastAsia"/>
                <w:sz w:val="24"/>
                <w:szCs w:val="24"/>
              </w:rPr>
              <w:t>防止</w:t>
            </w:r>
            <w:r>
              <w:rPr>
                <w:sz w:val="24"/>
                <w:szCs w:val="24"/>
              </w:rPr>
              <w:t>火灾事故的发生，在生产过程中注意对其它单位相关事故的研究，充分吸取经验和教训</w:t>
            </w:r>
            <w:r>
              <w:rPr>
                <w:rFonts w:hint="eastAsia"/>
                <w:sz w:val="24"/>
                <w:szCs w:val="24"/>
              </w:rPr>
              <w:t>；</w:t>
            </w:r>
          </w:p>
          <w:p w14:paraId="455E9D71">
            <w:pPr>
              <w:spacing w:line="360" w:lineRule="auto"/>
              <w:ind w:firstLine="480" w:firstLineChars="200"/>
              <w:rPr>
                <w:rFonts w:eastAsiaTheme="minorEastAsia"/>
                <w:sz w:val="24"/>
                <w:szCs w:val="24"/>
              </w:rPr>
            </w:pPr>
            <w:r>
              <w:rPr>
                <w:rFonts w:hint="eastAsia" w:eastAsiaTheme="minorEastAsia"/>
                <w:sz w:val="24"/>
                <w:szCs w:val="24"/>
              </w:rPr>
              <w:t>（3）</w:t>
            </w:r>
            <w:r>
              <w:rPr>
                <w:rFonts w:eastAsiaTheme="minorEastAsia"/>
                <w:sz w:val="24"/>
                <w:szCs w:val="24"/>
              </w:rPr>
              <w:t>项目危险物质</w:t>
            </w:r>
            <w:r>
              <w:rPr>
                <w:kern w:val="0"/>
                <w:sz w:val="24"/>
                <w:szCs w:val="24"/>
              </w:rPr>
              <w:t>存储、转运、使用过程均密闭操作；</w:t>
            </w:r>
            <w:r>
              <w:rPr>
                <w:sz w:val="24"/>
                <w:szCs w:val="24"/>
              </w:rPr>
              <w:t>加强事故管理，</w:t>
            </w:r>
            <w:r>
              <w:rPr>
                <w:kern w:val="0"/>
                <w:sz w:val="24"/>
                <w:szCs w:val="24"/>
              </w:rPr>
              <w:t>加强日常监控，以杜绝危险物质泄漏事故的发生</w:t>
            </w:r>
            <w:r>
              <w:rPr>
                <w:rFonts w:hint="eastAsia"/>
                <w:kern w:val="0"/>
                <w:sz w:val="24"/>
                <w:szCs w:val="24"/>
              </w:rPr>
              <w:t>；</w:t>
            </w:r>
          </w:p>
          <w:p w14:paraId="196EBF68">
            <w:pPr>
              <w:spacing w:line="360" w:lineRule="auto"/>
              <w:ind w:firstLine="480" w:firstLineChars="200"/>
              <w:rPr>
                <w:rFonts w:eastAsiaTheme="minorEastAsia"/>
                <w:sz w:val="24"/>
                <w:szCs w:val="24"/>
              </w:rPr>
            </w:pPr>
            <w:r>
              <w:rPr>
                <w:rFonts w:eastAsiaTheme="minorEastAsia"/>
                <w:sz w:val="24"/>
                <w:szCs w:val="24"/>
              </w:rPr>
              <w:t>（</w:t>
            </w:r>
            <w:r>
              <w:rPr>
                <w:rFonts w:hint="eastAsia" w:eastAsiaTheme="minorEastAsia"/>
                <w:sz w:val="24"/>
                <w:szCs w:val="24"/>
              </w:rPr>
              <w:t>4</w:t>
            </w:r>
            <w:r>
              <w:rPr>
                <w:rFonts w:eastAsiaTheme="minorEastAsia"/>
                <w:sz w:val="24"/>
                <w:szCs w:val="24"/>
              </w:rPr>
              <w:t>）对危险废物的处置要严格按照《危险废物贮存污染控制标准》（GB 18597-2001）中相关规定和要求执行，设置专门的贮存场所，并采取防渗、防雨等措施；所有危险废物须全部委托有资质的危险废物处置单位进行处置，并同时建立危险废物去向登记制度，明确其去向和处置方式</w:t>
            </w:r>
            <w:r>
              <w:rPr>
                <w:rFonts w:hint="eastAsia" w:eastAsiaTheme="minorEastAsia"/>
                <w:sz w:val="24"/>
                <w:szCs w:val="24"/>
              </w:rPr>
              <w:t>；</w:t>
            </w:r>
          </w:p>
          <w:p w14:paraId="531C98E9">
            <w:pPr>
              <w:spacing w:line="360" w:lineRule="auto"/>
              <w:ind w:firstLine="480" w:firstLineChars="200"/>
              <w:rPr>
                <w:rFonts w:eastAsiaTheme="minorEastAsia"/>
                <w:sz w:val="24"/>
                <w:szCs w:val="24"/>
              </w:rPr>
            </w:pPr>
            <w:r>
              <w:rPr>
                <w:rFonts w:eastAsiaTheme="minorEastAsia"/>
                <w:sz w:val="24"/>
                <w:szCs w:val="24"/>
              </w:rPr>
              <w:t>（</w:t>
            </w:r>
            <w:r>
              <w:rPr>
                <w:rFonts w:hint="eastAsia" w:eastAsiaTheme="minorEastAsia"/>
                <w:sz w:val="24"/>
                <w:szCs w:val="24"/>
              </w:rPr>
              <w:t>5</w:t>
            </w:r>
            <w:r>
              <w:rPr>
                <w:rFonts w:eastAsiaTheme="minorEastAsia"/>
                <w:sz w:val="24"/>
                <w:szCs w:val="24"/>
              </w:rPr>
              <w:t>）对于因化粪池等设施损坏造成的污水外漏风险，要加强管理和教育培训，加强巡视和检查，坚决杜绝生产过程中的“跑、冒、滴、漏”现象，并制定详尽的应急预案和预防措施</w:t>
            </w:r>
            <w:r>
              <w:rPr>
                <w:rFonts w:hint="eastAsia" w:eastAsiaTheme="minorEastAsia"/>
                <w:sz w:val="24"/>
                <w:szCs w:val="24"/>
              </w:rPr>
              <w:t>；</w:t>
            </w:r>
          </w:p>
          <w:p w14:paraId="724DF738">
            <w:pPr>
              <w:spacing w:line="360" w:lineRule="auto"/>
              <w:ind w:firstLine="480" w:firstLineChars="200"/>
              <w:rPr>
                <w:sz w:val="24"/>
                <w:szCs w:val="24"/>
              </w:rPr>
            </w:pPr>
            <w:r>
              <w:rPr>
                <w:rFonts w:eastAsiaTheme="minorEastAsia"/>
                <w:sz w:val="24"/>
                <w:szCs w:val="24"/>
              </w:rPr>
              <w:t>（</w:t>
            </w:r>
            <w:r>
              <w:rPr>
                <w:rFonts w:hint="eastAsia" w:eastAsiaTheme="minorEastAsia"/>
                <w:sz w:val="24"/>
                <w:szCs w:val="24"/>
              </w:rPr>
              <w:t>6</w:t>
            </w:r>
            <w:r>
              <w:rPr>
                <w:rFonts w:eastAsiaTheme="minorEastAsia"/>
                <w:sz w:val="24"/>
                <w:szCs w:val="24"/>
              </w:rPr>
              <w:t>）</w:t>
            </w:r>
            <w:r>
              <w:rPr>
                <w:sz w:val="24"/>
                <w:szCs w:val="24"/>
              </w:rPr>
              <w:t>制定各项安全生产管理制度</w:t>
            </w:r>
            <w:r>
              <w:rPr>
                <w:rFonts w:hint="eastAsia"/>
                <w:sz w:val="24"/>
                <w:szCs w:val="24"/>
              </w:rPr>
              <w:t>、</w:t>
            </w:r>
            <w:r>
              <w:rPr>
                <w:rFonts w:eastAsiaTheme="minorEastAsia"/>
                <w:sz w:val="24"/>
                <w:szCs w:val="24"/>
              </w:rPr>
              <w:t>环境管理巡查制度等，</w:t>
            </w:r>
            <w:r>
              <w:rPr>
                <w:sz w:val="24"/>
                <w:szCs w:val="24"/>
              </w:rPr>
              <w:t>加强岗位培训，落实岗位责任制</w:t>
            </w:r>
            <w:r>
              <w:rPr>
                <w:rFonts w:hint="eastAsia"/>
                <w:sz w:val="24"/>
                <w:szCs w:val="24"/>
              </w:rPr>
              <w:t>，</w:t>
            </w:r>
            <w:r>
              <w:rPr>
                <w:rFonts w:eastAsiaTheme="minorEastAsia"/>
                <w:sz w:val="24"/>
                <w:szCs w:val="24"/>
              </w:rPr>
              <w:t>严格落实各项防火、用电安全和环境风险防范措施，加强对职工的安全教育，向职工传授消防灭火和环境安全知识等</w:t>
            </w:r>
            <w:r>
              <w:rPr>
                <w:rFonts w:hint="eastAsia" w:eastAsiaTheme="minorEastAsia"/>
                <w:sz w:val="24"/>
                <w:szCs w:val="24"/>
              </w:rPr>
              <w:t>，</w:t>
            </w:r>
            <w:r>
              <w:rPr>
                <w:sz w:val="24"/>
                <w:szCs w:val="24"/>
              </w:rPr>
              <w:t>提高职工的安全意识和安全防范能力</w:t>
            </w:r>
            <w:r>
              <w:rPr>
                <w:rFonts w:hint="eastAsia"/>
                <w:sz w:val="24"/>
                <w:szCs w:val="24"/>
              </w:rPr>
              <w:t>。</w:t>
            </w:r>
          </w:p>
          <w:p w14:paraId="3834BAC9">
            <w:pPr>
              <w:spacing w:line="360" w:lineRule="auto"/>
              <w:ind w:firstLine="480" w:firstLineChars="200"/>
              <w:rPr>
                <w:sz w:val="24"/>
                <w:szCs w:val="24"/>
              </w:rPr>
            </w:pPr>
            <w:r>
              <w:rPr>
                <w:rFonts w:hint="eastAsia"/>
                <w:sz w:val="24"/>
                <w:szCs w:val="24"/>
              </w:rPr>
              <w:t>5</w:t>
            </w:r>
            <w:r>
              <w:rPr>
                <w:sz w:val="24"/>
                <w:szCs w:val="24"/>
              </w:rPr>
              <w:t>、事故应急预案</w:t>
            </w:r>
          </w:p>
          <w:p w14:paraId="2E15F477">
            <w:pPr>
              <w:spacing w:line="360" w:lineRule="auto"/>
              <w:ind w:firstLine="480" w:firstLineChars="200"/>
              <w:jc w:val="left"/>
              <w:rPr>
                <w:sz w:val="24"/>
                <w:szCs w:val="24"/>
              </w:rPr>
            </w:pPr>
            <w:r>
              <w:rPr>
                <w:sz w:val="24"/>
                <w:szCs w:val="24"/>
              </w:rPr>
              <w:t>（1）事故处置措施</w:t>
            </w:r>
          </w:p>
          <w:p w14:paraId="7CF0411B">
            <w:pPr>
              <w:spacing w:line="360" w:lineRule="auto"/>
              <w:ind w:firstLine="480" w:firstLineChars="200"/>
              <w:jc w:val="left"/>
              <w:rPr>
                <w:sz w:val="24"/>
                <w:szCs w:val="24"/>
              </w:rPr>
            </w:pPr>
            <w:r>
              <w:rPr>
                <w:sz w:val="24"/>
                <w:szCs w:val="24"/>
              </w:rPr>
              <w:t>由于自然灾害或人为原因，当事故灾害不可避免的时候，有效的应急救援行动是唯一可以抵御事故灾害蔓延和减缓灾害后果的有力措施。所以，如果在事故灾害发生前建立完善的应急救援系统，制定周密的救援计划，而在灾害发生的时候采取及时有效的应急救援行动，以及系统恢复和善后处理，可以拯救生命、保护财产、保护环境。事故处置的核心是及时报警，正确决策，迅速扑救。为采取有效行动，应有充分的处置措施。</w:t>
            </w:r>
          </w:p>
          <w:p w14:paraId="641E57AE">
            <w:pPr>
              <w:spacing w:line="360" w:lineRule="auto"/>
              <w:ind w:firstLine="480" w:firstLineChars="200"/>
              <w:jc w:val="left"/>
              <w:rPr>
                <w:sz w:val="24"/>
                <w:szCs w:val="24"/>
              </w:rPr>
            </w:pPr>
            <w:r>
              <w:rPr>
                <w:sz w:val="24"/>
                <w:szCs w:val="24"/>
              </w:rPr>
              <w:t>①除报警、通讯系统外，还应设立事故处置领导指挥体系。</w:t>
            </w:r>
          </w:p>
          <w:p w14:paraId="47932B60">
            <w:pPr>
              <w:spacing w:line="360" w:lineRule="auto"/>
              <w:ind w:firstLine="480" w:firstLineChars="200"/>
              <w:jc w:val="left"/>
              <w:rPr>
                <w:sz w:val="24"/>
                <w:szCs w:val="24"/>
              </w:rPr>
            </w:pPr>
            <w:r>
              <w:rPr>
                <w:sz w:val="24"/>
                <w:szCs w:val="24"/>
              </w:rPr>
              <w:t>②制定有效处理事故的应急行动方案，方案要经过有关部门认可，并能与职工、地方政府及各服务部门（如：消防、医务）充分配合、协调行动。</w:t>
            </w:r>
          </w:p>
          <w:p w14:paraId="6F66B2DD">
            <w:pPr>
              <w:spacing w:line="360" w:lineRule="auto"/>
              <w:ind w:firstLine="480" w:firstLineChars="200"/>
              <w:jc w:val="left"/>
              <w:rPr>
                <w:sz w:val="24"/>
                <w:szCs w:val="24"/>
              </w:rPr>
            </w:pPr>
            <w:r>
              <w:rPr>
                <w:sz w:val="24"/>
                <w:szCs w:val="24"/>
              </w:rPr>
              <w:t>③有制止事故漫延、控制和减少影响范围和程度及扑救的具体行动计划，包括救护措施，保护企业内部及周围企业人员和财产、设备及周围环境安全所必须采取的措施和办法。</w:t>
            </w:r>
          </w:p>
          <w:p w14:paraId="0CB0DACF">
            <w:pPr>
              <w:spacing w:line="360" w:lineRule="auto"/>
              <w:ind w:firstLine="480" w:firstLineChars="200"/>
              <w:jc w:val="left"/>
              <w:rPr>
                <w:sz w:val="24"/>
                <w:szCs w:val="24"/>
              </w:rPr>
            </w:pPr>
            <w:r>
              <w:rPr>
                <w:sz w:val="24"/>
                <w:szCs w:val="24"/>
              </w:rPr>
              <w:t>④相关管理人员和富有事故处置经验的人员要轮流值班，监视事故现场及其处置作业，直至事故结束。</w:t>
            </w:r>
          </w:p>
          <w:p w14:paraId="2AF53F93">
            <w:pPr>
              <w:spacing w:line="360" w:lineRule="auto"/>
              <w:ind w:firstLine="480" w:firstLineChars="200"/>
              <w:jc w:val="left"/>
              <w:rPr>
                <w:sz w:val="24"/>
                <w:szCs w:val="24"/>
              </w:rPr>
            </w:pPr>
            <w:r>
              <w:rPr>
                <w:sz w:val="24"/>
                <w:szCs w:val="24"/>
              </w:rPr>
              <w:t>⑤演练事故处置人员，包括事故发生时的工艺技术处置和扑救。</w:t>
            </w:r>
          </w:p>
          <w:p w14:paraId="218AD30F">
            <w:pPr>
              <w:spacing w:line="360" w:lineRule="auto"/>
              <w:ind w:firstLine="480" w:firstLineChars="200"/>
              <w:jc w:val="left"/>
              <w:rPr>
                <w:sz w:val="24"/>
                <w:szCs w:val="24"/>
              </w:rPr>
            </w:pPr>
            <w:r>
              <w:rPr>
                <w:sz w:val="24"/>
                <w:szCs w:val="24"/>
              </w:rPr>
              <w:t>（2）应急反应计划</w:t>
            </w:r>
          </w:p>
          <w:p w14:paraId="369EFF3D">
            <w:pPr>
              <w:spacing w:line="360" w:lineRule="auto"/>
              <w:ind w:firstLine="480" w:firstLineChars="200"/>
              <w:jc w:val="left"/>
              <w:rPr>
                <w:sz w:val="24"/>
                <w:szCs w:val="24"/>
              </w:rPr>
            </w:pPr>
            <w:r>
              <w:rPr>
                <w:sz w:val="24"/>
                <w:szCs w:val="24"/>
              </w:rPr>
              <w:t>①应急反应计划内容</w:t>
            </w:r>
          </w:p>
          <w:p w14:paraId="54BA45D5">
            <w:pPr>
              <w:spacing w:line="360" w:lineRule="auto"/>
              <w:ind w:firstLine="480" w:firstLineChars="200"/>
              <w:jc w:val="left"/>
              <w:rPr>
                <w:sz w:val="24"/>
                <w:szCs w:val="24"/>
              </w:rPr>
            </w:pPr>
            <w:r>
              <w:rPr>
                <w:sz w:val="24"/>
                <w:szCs w:val="24"/>
              </w:rPr>
              <w:t>A、进行应急反应和火灾控制的组织、责任、授权人和程序，包括内部和外部通讯；B、提供人员避险、撤退、救援和医疗处理系统的程序；C、防止、消减和监测应急行动产生的环境影响的系统和程序；D、与授权人、有关人员和相关方通讯联系的程序；E、调动公司设备、设施和人员的系统和程序；F、训练应急反应小队和试验应急系统及程序的安排。</w:t>
            </w:r>
          </w:p>
          <w:p w14:paraId="2F37C8B5">
            <w:pPr>
              <w:spacing w:line="360" w:lineRule="auto"/>
              <w:ind w:firstLine="480" w:firstLineChars="200"/>
              <w:jc w:val="left"/>
              <w:rPr>
                <w:sz w:val="24"/>
                <w:szCs w:val="24"/>
              </w:rPr>
            </w:pPr>
            <w:r>
              <w:rPr>
                <w:sz w:val="24"/>
                <w:szCs w:val="24"/>
              </w:rPr>
              <w:t>②具体应急程序</w:t>
            </w:r>
          </w:p>
          <w:p w14:paraId="2E18D391">
            <w:pPr>
              <w:spacing w:line="360" w:lineRule="auto"/>
              <w:ind w:firstLine="480" w:firstLineChars="200"/>
              <w:jc w:val="left"/>
              <w:rPr>
                <w:sz w:val="24"/>
                <w:szCs w:val="24"/>
              </w:rPr>
            </w:pPr>
            <w:r>
              <w:rPr>
                <w:sz w:val="24"/>
                <w:szCs w:val="24"/>
              </w:rPr>
              <w:t>A、现场应急报警办法；B、火灾、爆炸应急方案和程序；C、有毒有害物质泄漏应急措施；D、停水、停电应急措施；E、现场急救医疗措施；F、污染应急措施。</w:t>
            </w:r>
          </w:p>
          <w:p w14:paraId="52DABCD1">
            <w:pPr>
              <w:spacing w:line="360" w:lineRule="auto"/>
              <w:ind w:firstLine="480" w:firstLineChars="200"/>
              <w:jc w:val="left"/>
              <w:rPr>
                <w:sz w:val="24"/>
                <w:szCs w:val="24"/>
              </w:rPr>
            </w:pPr>
            <w:r>
              <w:rPr>
                <w:sz w:val="24"/>
                <w:szCs w:val="24"/>
              </w:rPr>
              <w:t>③应急反应计划的传达对象</w:t>
            </w:r>
          </w:p>
          <w:p w14:paraId="41EFD753">
            <w:pPr>
              <w:spacing w:line="360" w:lineRule="auto"/>
              <w:ind w:firstLine="480" w:firstLineChars="200"/>
              <w:jc w:val="left"/>
              <w:rPr>
                <w:sz w:val="24"/>
                <w:szCs w:val="24"/>
              </w:rPr>
            </w:pPr>
            <w:r>
              <w:rPr>
                <w:sz w:val="24"/>
                <w:szCs w:val="24"/>
              </w:rPr>
              <w:t>A、指挥和控制人员；B、应急服务部门；C、可能受影响的职工；D、其他可能的受影响方。</w:t>
            </w:r>
          </w:p>
          <w:p w14:paraId="4BA0FD5A">
            <w:pPr>
              <w:spacing w:line="360" w:lineRule="auto"/>
              <w:ind w:firstLine="480" w:firstLineChars="200"/>
              <w:jc w:val="left"/>
              <w:rPr>
                <w:sz w:val="24"/>
                <w:szCs w:val="24"/>
              </w:rPr>
            </w:pPr>
            <w:r>
              <w:rPr>
                <w:sz w:val="24"/>
                <w:szCs w:val="24"/>
              </w:rPr>
              <w:t>④应急反应的演练和实施</w:t>
            </w:r>
          </w:p>
          <w:p w14:paraId="3D424931">
            <w:pPr>
              <w:spacing w:line="360" w:lineRule="auto"/>
              <w:ind w:firstLine="480" w:firstLineChars="200"/>
              <w:jc w:val="left"/>
              <w:rPr>
                <w:sz w:val="24"/>
                <w:szCs w:val="24"/>
              </w:rPr>
            </w:pPr>
            <w:r>
              <w:rPr>
                <w:sz w:val="24"/>
                <w:szCs w:val="24"/>
              </w:rPr>
              <w:t>A、应急反应计划应定期训练，不断改进；B、根据人员的在岗情况，安排好应急反应人员；C、一旦发生需采取应急反应的事故，生产人员可立即根据应急反应计划安排转变为应急人员，按预定方案投入扑救行动。</w:t>
            </w:r>
          </w:p>
          <w:p w14:paraId="4973B79F">
            <w:pPr>
              <w:spacing w:line="360" w:lineRule="auto"/>
              <w:ind w:firstLine="480" w:firstLineChars="200"/>
              <w:rPr>
                <w:sz w:val="24"/>
                <w:szCs w:val="24"/>
              </w:rPr>
            </w:pPr>
            <w:r>
              <w:rPr>
                <w:sz w:val="24"/>
                <w:szCs w:val="24"/>
              </w:rPr>
              <w:t>（3）应急预案的内容和要求</w:t>
            </w:r>
          </w:p>
          <w:p w14:paraId="7DF792DD">
            <w:pPr>
              <w:jc w:val="center"/>
              <w:rPr>
                <w:sz w:val="24"/>
                <w:szCs w:val="24"/>
              </w:rPr>
            </w:pPr>
            <w:r>
              <w:rPr>
                <w:b/>
                <w:bCs/>
                <w:sz w:val="24"/>
                <w:szCs w:val="24"/>
              </w:rPr>
              <w:t>表7-1</w:t>
            </w:r>
            <w:r>
              <w:rPr>
                <w:rFonts w:hint="eastAsia"/>
                <w:b/>
                <w:bCs/>
                <w:sz w:val="24"/>
                <w:szCs w:val="24"/>
              </w:rPr>
              <w:t>9</w:t>
            </w:r>
            <w:r>
              <w:rPr>
                <w:b/>
                <w:bCs/>
                <w:sz w:val="24"/>
                <w:szCs w:val="24"/>
              </w:rPr>
              <w:t xml:space="preserve"> 应急预案内容</w:t>
            </w:r>
          </w:p>
          <w:tbl>
            <w:tblPr>
              <w:tblStyle w:val="27"/>
              <w:tblW w:w="877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717"/>
              <w:gridCol w:w="2268"/>
              <w:gridCol w:w="5789"/>
            </w:tblGrid>
            <w:tr w14:paraId="591DBA0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717" w:type="dxa"/>
                  <w:vAlign w:val="center"/>
                </w:tcPr>
                <w:p w14:paraId="0D4AEFCD">
                  <w:pPr>
                    <w:autoSpaceDE w:val="0"/>
                    <w:autoSpaceDN w:val="0"/>
                    <w:adjustRightInd w:val="0"/>
                    <w:snapToGrid w:val="0"/>
                    <w:spacing w:line="320" w:lineRule="exact"/>
                    <w:jc w:val="center"/>
                  </w:pPr>
                  <w:r>
                    <w:rPr>
                      <w:lang w:val="zh-CN"/>
                    </w:rPr>
                    <w:t>序号</w:t>
                  </w:r>
                </w:p>
              </w:tc>
              <w:tc>
                <w:tcPr>
                  <w:tcW w:w="2268" w:type="dxa"/>
                  <w:vAlign w:val="center"/>
                </w:tcPr>
                <w:p w14:paraId="7C075194">
                  <w:pPr>
                    <w:autoSpaceDE w:val="0"/>
                    <w:autoSpaceDN w:val="0"/>
                    <w:adjustRightInd w:val="0"/>
                    <w:snapToGrid w:val="0"/>
                    <w:spacing w:line="320" w:lineRule="exact"/>
                    <w:jc w:val="center"/>
                  </w:pPr>
                  <w:r>
                    <w:rPr>
                      <w:lang w:val="zh-CN"/>
                    </w:rPr>
                    <w:t>项目</w:t>
                  </w:r>
                </w:p>
              </w:tc>
              <w:tc>
                <w:tcPr>
                  <w:tcW w:w="5789" w:type="dxa"/>
                  <w:vAlign w:val="center"/>
                </w:tcPr>
                <w:p w14:paraId="0B7C409F">
                  <w:pPr>
                    <w:autoSpaceDE w:val="0"/>
                    <w:autoSpaceDN w:val="0"/>
                    <w:adjustRightInd w:val="0"/>
                    <w:snapToGrid w:val="0"/>
                    <w:spacing w:line="320" w:lineRule="exact"/>
                    <w:jc w:val="center"/>
                  </w:pPr>
                  <w:r>
                    <w:rPr>
                      <w:lang w:val="zh-CN"/>
                    </w:rPr>
                    <w:t>内容及要求</w:t>
                  </w:r>
                </w:p>
              </w:tc>
            </w:tr>
            <w:tr w14:paraId="6ABEBF7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19B50644">
                  <w:pPr>
                    <w:autoSpaceDE w:val="0"/>
                    <w:autoSpaceDN w:val="0"/>
                    <w:adjustRightInd w:val="0"/>
                    <w:snapToGrid w:val="0"/>
                    <w:spacing w:line="320" w:lineRule="exact"/>
                    <w:jc w:val="center"/>
                  </w:pPr>
                  <w:r>
                    <w:t>1</w:t>
                  </w:r>
                </w:p>
              </w:tc>
              <w:tc>
                <w:tcPr>
                  <w:tcW w:w="2268" w:type="dxa"/>
                  <w:vAlign w:val="center"/>
                </w:tcPr>
                <w:p w14:paraId="2B006D9C">
                  <w:pPr>
                    <w:autoSpaceDE w:val="0"/>
                    <w:autoSpaceDN w:val="0"/>
                    <w:adjustRightInd w:val="0"/>
                    <w:snapToGrid w:val="0"/>
                    <w:spacing w:line="320" w:lineRule="exact"/>
                    <w:ind w:left="105" w:leftChars="50" w:right="105" w:rightChars="50"/>
                    <w:jc w:val="center"/>
                  </w:pPr>
                  <w:r>
                    <w:rPr>
                      <w:lang w:val="zh-CN"/>
                    </w:rPr>
                    <w:t>应急计划区</w:t>
                  </w:r>
                </w:p>
              </w:tc>
              <w:tc>
                <w:tcPr>
                  <w:tcW w:w="5789" w:type="dxa"/>
                  <w:vAlign w:val="center"/>
                </w:tcPr>
                <w:p w14:paraId="0264FDC8">
                  <w:pPr>
                    <w:autoSpaceDE w:val="0"/>
                    <w:autoSpaceDN w:val="0"/>
                    <w:adjustRightInd w:val="0"/>
                    <w:snapToGrid w:val="0"/>
                    <w:spacing w:line="320" w:lineRule="exact"/>
                    <w:ind w:left="105" w:leftChars="50" w:right="105" w:rightChars="50"/>
                    <w:jc w:val="center"/>
                  </w:pPr>
                  <w:r>
                    <w:rPr>
                      <w:lang w:val="zh-CN"/>
                    </w:rPr>
                    <w:t>危险目标：装置区、环境保护目标</w:t>
                  </w:r>
                </w:p>
              </w:tc>
            </w:tr>
            <w:tr w14:paraId="3A797FB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5B8E7A7D">
                  <w:pPr>
                    <w:autoSpaceDE w:val="0"/>
                    <w:autoSpaceDN w:val="0"/>
                    <w:adjustRightInd w:val="0"/>
                    <w:snapToGrid w:val="0"/>
                    <w:spacing w:line="320" w:lineRule="exact"/>
                    <w:jc w:val="center"/>
                  </w:pPr>
                  <w:r>
                    <w:t>2</w:t>
                  </w:r>
                </w:p>
              </w:tc>
              <w:tc>
                <w:tcPr>
                  <w:tcW w:w="2268" w:type="dxa"/>
                  <w:vAlign w:val="center"/>
                </w:tcPr>
                <w:p w14:paraId="72B0BB23">
                  <w:pPr>
                    <w:autoSpaceDE w:val="0"/>
                    <w:autoSpaceDN w:val="0"/>
                    <w:adjustRightInd w:val="0"/>
                    <w:snapToGrid w:val="0"/>
                    <w:spacing w:line="320" w:lineRule="exact"/>
                    <w:ind w:left="105" w:leftChars="50" w:right="105" w:rightChars="50"/>
                    <w:jc w:val="center"/>
                  </w:pPr>
                  <w:r>
                    <w:rPr>
                      <w:lang w:val="zh-CN"/>
                    </w:rPr>
                    <w:t>应急组织机构、人员</w:t>
                  </w:r>
                </w:p>
              </w:tc>
              <w:tc>
                <w:tcPr>
                  <w:tcW w:w="5789" w:type="dxa"/>
                  <w:vAlign w:val="center"/>
                </w:tcPr>
                <w:p w14:paraId="576B8A68">
                  <w:pPr>
                    <w:autoSpaceDE w:val="0"/>
                    <w:autoSpaceDN w:val="0"/>
                    <w:adjustRightInd w:val="0"/>
                    <w:snapToGrid w:val="0"/>
                    <w:spacing w:line="320" w:lineRule="exact"/>
                    <w:ind w:left="105" w:leftChars="50" w:right="105" w:rightChars="50"/>
                    <w:jc w:val="center"/>
                  </w:pPr>
                  <w:r>
                    <w:rPr>
                      <w:lang w:val="zh-CN"/>
                    </w:rPr>
                    <w:t>工厂、地区应急组织机构、人员</w:t>
                  </w:r>
                </w:p>
              </w:tc>
            </w:tr>
            <w:tr w14:paraId="3D1C199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76E16389">
                  <w:pPr>
                    <w:autoSpaceDE w:val="0"/>
                    <w:autoSpaceDN w:val="0"/>
                    <w:adjustRightInd w:val="0"/>
                    <w:snapToGrid w:val="0"/>
                    <w:spacing w:line="320" w:lineRule="exact"/>
                    <w:jc w:val="center"/>
                  </w:pPr>
                  <w:r>
                    <w:t>3</w:t>
                  </w:r>
                </w:p>
              </w:tc>
              <w:tc>
                <w:tcPr>
                  <w:tcW w:w="2268" w:type="dxa"/>
                  <w:vAlign w:val="center"/>
                </w:tcPr>
                <w:p w14:paraId="3666CBCA">
                  <w:pPr>
                    <w:autoSpaceDE w:val="0"/>
                    <w:autoSpaceDN w:val="0"/>
                    <w:adjustRightInd w:val="0"/>
                    <w:snapToGrid w:val="0"/>
                    <w:spacing w:line="320" w:lineRule="exact"/>
                    <w:ind w:left="105" w:leftChars="50" w:right="105" w:rightChars="50"/>
                    <w:jc w:val="center"/>
                  </w:pPr>
                  <w:r>
                    <w:rPr>
                      <w:lang w:val="zh-CN"/>
                    </w:rPr>
                    <w:t>预案分级响应条件</w:t>
                  </w:r>
                </w:p>
              </w:tc>
              <w:tc>
                <w:tcPr>
                  <w:tcW w:w="5789" w:type="dxa"/>
                  <w:vAlign w:val="center"/>
                </w:tcPr>
                <w:p w14:paraId="2B9B3487">
                  <w:pPr>
                    <w:autoSpaceDE w:val="0"/>
                    <w:autoSpaceDN w:val="0"/>
                    <w:adjustRightInd w:val="0"/>
                    <w:snapToGrid w:val="0"/>
                    <w:spacing w:line="320" w:lineRule="exact"/>
                    <w:ind w:left="105" w:leftChars="50" w:right="105" w:rightChars="50"/>
                    <w:jc w:val="center"/>
                  </w:pPr>
                  <w:r>
                    <w:rPr>
                      <w:lang w:val="zh-CN"/>
                    </w:rPr>
                    <w:t>规定预案的级别及分级响应程序</w:t>
                  </w:r>
                </w:p>
              </w:tc>
            </w:tr>
            <w:tr w14:paraId="1F8E9C9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0B65E51D">
                  <w:pPr>
                    <w:autoSpaceDE w:val="0"/>
                    <w:autoSpaceDN w:val="0"/>
                    <w:adjustRightInd w:val="0"/>
                    <w:snapToGrid w:val="0"/>
                    <w:spacing w:line="320" w:lineRule="exact"/>
                    <w:jc w:val="center"/>
                  </w:pPr>
                  <w:r>
                    <w:t>4</w:t>
                  </w:r>
                </w:p>
              </w:tc>
              <w:tc>
                <w:tcPr>
                  <w:tcW w:w="2268" w:type="dxa"/>
                  <w:vAlign w:val="center"/>
                </w:tcPr>
                <w:p w14:paraId="24A34F44">
                  <w:pPr>
                    <w:autoSpaceDE w:val="0"/>
                    <w:autoSpaceDN w:val="0"/>
                    <w:adjustRightInd w:val="0"/>
                    <w:snapToGrid w:val="0"/>
                    <w:spacing w:line="320" w:lineRule="exact"/>
                    <w:ind w:left="105" w:leftChars="50" w:right="105" w:rightChars="50"/>
                    <w:jc w:val="center"/>
                  </w:pPr>
                  <w:r>
                    <w:rPr>
                      <w:lang w:val="zh-CN"/>
                    </w:rPr>
                    <w:t>应急救援保障</w:t>
                  </w:r>
                </w:p>
              </w:tc>
              <w:tc>
                <w:tcPr>
                  <w:tcW w:w="5789" w:type="dxa"/>
                  <w:vAlign w:val="center"/>
                </w:tcPr>
                <w:p w14:paraId="4CAF59E1">
                  <w:pPr>
                    <w:autoSpaceDE w:val="0"/>
                    <w:autoSpaceDN w:val="0"/>
                    <w:adjustRightInd w:val="0"/>
                    <w:snapToGrid w:val="0"/>
                    <w:spacing w:line="320" w:lineRule="exact"/>
                    <w:ind w:left="105" w:leftChars="50" w:right="105" w:rightChars="50"/>
                    <w:jc w:val="center"/>
                  </w:pPr>
                  <w:r>
                    <w:rPr>
                      <w:lang w:val="zh-CN"/>
                    </w:rPr>
                    <w:t>应急设施，设备与器材等</w:t>
                  </w:r>
                </w:p>
              </w:tc>
            </w:tr>
            <w:tr w14:paraId="46B4822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7703E809">
                  <w:pPr>
                    <w:autoSpaceDE w:val="0"/>
                    <w:autoSpaceDN w:val="0"/>
                    <w:adjustRightInd w:val="0"/>
                    <w:snapToGrid w:val="0"/>
                    <w:spacing w:line="320" w:lineRule="exact"/>
                    <w:jc w:val="center"/>
                  </w:pPr>
                  <w:r>
                    <w:t>5</w:t>
                  </w:r>
                </w:p>
              </w:tc>
              <w:tc>
                <w:tcPr>
                  <w:tcW w:w="2268" w:type="dxa"/>
                  <w:vAlign w:val="center"/>
                </w:tcPr>
                <w:p w14:paraId="0089F57C">
                  <w:pPr>
                    <w:autoSpaceDE w:val="0"/>
                    <w:autoSpaceDN w:val="0"/>
                    <w:adjustRightInd w:val="0"/>
                    <w:snapToGrid w:val="0"/>
                    <w:spacing w:line="320" w:lineRule="exact"/>
                    <w:ind w:left="105" w:leftChars="50" w:right="105" w:rightChars="50"/>
                    <w:jc w:val="center"/>
                  </w:pPr>
                  <w:r>
                    <w:rPr>
                      <w:lang w:val="zh-CN"/>
                    </w:rPr>
                    <w:t>报警、通讯联络方式</w:t>
                  </w:r>
                </w:p>
              </w:tc>
              <w:tc>
                <w:tcPr>
                  <w:tcW w:w="5789" w:type="dxa"/>
                  <w:vAlign w:val="center"/>
                </w:tcPr>
                <w:p w14:paraId="2450B381">
                  <w:pPr>
                    <w:autoSpaceDE w:val="0"/>
                    <w:autoSpaceDN w:val="0"/>
                    <w:adjustRightInd w:val="0"/>
                    <w:snapToGrid w:val="0"/>
                    <w:spacing w:line="320" w:lineRule="exact"/>
                    <w:ind w:left="105" w:leftChars="50" w:right="105" w:rightChars="50"/>
                    <w:jc w:val="center"/>
                  </w:pPr>
                  <w:r>
                    <w:rPr>
                      <w:lang w:val="zh-CN"/>
                    </w:rPr>
                    <w:t>规定应急状态下的报警通讯方式、通知方式和交通保障、管制</w:t>
                  </w:r>
                </w:p>
              </w:tc>
            </w:tr>
            <w:tr w14:paraId="70380DC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053C821A">
                  <w:pPr>
                    <w:autoSpaceDE w:val="0"/>
                    <w:autoSpaceDN w:val="0"/>
                    <w:adjustRightInd w:val="0"/>
                    <w:snapToGrid w:val="0"/>
                    <w:spacing w:line="320" w:lineRule="exact"/>
                    <w:jc w:val="center"/>
                  </w:pPr>
                  <w:r>
                    <w:t>6</w:t>
                  </w:r>
                </w:p>
              </w:tc>
              <w:tc>
                <w:tcPr>
                  <w:tcW w:w="2268" w:type="dxa"/>
                  <w:vAlign w:val="center"/>
                </w:tcPr>
                <w:p w14:paraId="1C91239E">
                  <w:pPr>
                    <w:autoSpaceDE w:val="0"/>
                    <w:autoSpaceDN w:val="0"/>
                    <w:adjustRightInd w:val="0"/>
                    <w:snapToGrid w:val="0"/>
                    <w:spacing w:line="320" w:lineRule="exact"/>
                    <w:ind w:left="105" w:leftChars="50" w:right="105" w:rightChars="50"/>
                    <w:jc w:val="center"/>
                  </w:pPr>
                  <w:r>
                    <w:rPr>
                      <w:lang w:val="zh-CN"/>
                    </w:rPr>
                    <w:t>应急环境监测、抢险、救援及控制措施</w:t>
                  </w:r>
                </w:p>
              </w:tc>
              <w:tc>
                <w:tcPr>
                  <w:tcW w:w="5789" w:type="dxa"/>
                  <w:vAlign w:val="center"/>
                </w:tcPr>
                <w:p w14:paraId="485BDC57">
                  <w:pPr>
                    <w:autoSpaceDE w:val="0"/>
                    <w:autoSpaceDN w:val="0"/>
                    <w:adjustRightInd w:val="0"/>
                    <w:snapToGrid w:val="0"/>
                    <w:spacing w:line="320" w:lineRule="exact"/>
                    <w:ind w:left="105" w:leftChars="50" w:right="105" w:rightChars="50"/>
                    <w:jc w:val="center"/>
                  </w:pPr>
                  <w:r>
                    <w:rPr>
                      <w:lang w:val="zh-CN"/>
                    </w:rPr>
                    <w:t>由专业队伍负责对事故现场进行侦察监测，对事故性质、参数与后果进行评估，为指挥部门提供决策依据</w:t>
                  </w:r>
                </w:p>
              </w:tc>
            </w:tr>
            <w:tr w14:paraId="68F565E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235B6727">
                  <w:pPr>
                    <w:autoSpaceDE w:val="0"/>
                    <w:autoSpaceDN w:val="0"/>
                    <w:adjustRightInd w:val="0"/>
                    <w:snapToGrid w:val="0"/>
                    <w:spacing w:line="320" w:lineRule="exact"/>
                    <w:jc w:val="center"/>
                  </w:pPr>
                  <w:r>
                    <w:t>7</w:t>
                  </w:r>
                </w:p>
              </w:tc>
              <w:tc>
                <w:tcPr>
                  <w:tcW w:w="2268" w:type="dxa"/>
                  <w:vAlign w:val="center"/>
                </w:tcPr>
                <w:p w14:paraId="49E52707">
                  <w:pPr>
                    <w:autoSpaceDE w:val="0"/>
                    <w:autoSpaceDN w:val="0"/>
                    <w:adjustRightInd w:val="0"/>
                    <w:snapToGrid w:val="0"/>
                    <w:spacing w:line="320" w:lineRule="exact"/>
                    <w:ind w:left="105" w:leftChars="50" w:right="105" w:rightChars="50"/>
                    <w:jc w:val="center"/>
                  </w:pPr>
                  <w:r>
                    <w:rPr>
                      <w:lang w:val="zh-CN"/>
                    </w:rPr>
                    <w:t>应急检测、防护措施、清除泄漏措施和器材</w:t>
                  </w:r>
                </w:p>
              </w:tc>
              <w:tc>
                <w:tcPr>
                  <w:tcW w:w="5789" w:type="dxa"/>
                  <w:vAlign w:val="center"/>
                </w:tcPr>
                <w:p w14:paraId="57000482">
                  <w:pPr>
                    <w:autoSpaceDE w:val="0"/>
                    <w:autoSpaceDN w:val="0"/>
                    <w:adjustRightInd w:val="0"/>
                    <w:snapToGrid w:val="0"/>
                    <w:spacing w:line="320" w:lineRule="exact"/>
                    <w:ind w:left="105" w:leftChars="50" w:right="105" w:rightChars="50"/>
                    <w:jc w:val="center"/>
                  </w:pPr>
                  <w:r>
                    <w:rPr>
                      <w:lang w:val="zh-CN"/>
                    </w:rPr>
                    <w:t>事故现场、邻近区域、控制防火区域，控制和清除污染措施及相应设备</w:t>
                  </w:r>
                </w:p>
              </w:tc>
            </w:tr>
            <w:tr w14:paraId="700DD85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42122E0A">
                  <w:pPr>
                    <w:autoSpaceDE w:val="0"/>
                    <w:autoSpaceDN w:val="0"/>
                    <w:adjustRightInd w:val="0"/>
                    <w:snapToGrid w:val="0"/>
                    <w:spacing w:line="320" w:lineRule="exact"/>
                    <w:jc w:val="center"/>
                  </w:pPr>
                  <w:r>
                    <w:t>8</w:t>
                  </w:r>
                </w:p>
              </w:tc>
              <w:tc>
                <w:tcPr>
                  <w:tcW w:w="2268" w:type="dxa"/>
                  <w:vAlign w:val="center"/>
                </w:tcPr>
                <w:p w14:paraId="7E8047C6">
                  <w:pPr>
                    <w:autoSpaceDE w:val="0"/>
                    <w:autoSpaceDN w:val="0"/>
                    <w:adjustRightInd w:val="0"/>
                    <w:snapToGrid w:val="0"/>
                    <w:spacing w:line="320" w:lineRule="exact"/>
                    <w:ind w:left="105" w:leftChars="50" w:right="105" w:rightChars="50"/>
                    <w:jc w:val="center"/>
                  </w:pPr>
                  <w:r>
                    <w:rPr>
                      <w:lang w:val="zh-CN"/>
                    </w:rPr>
                    <w:t>人员紧急撤离、疏散，应急剂量控制、撤离组织计划</w:t>
                  </w:r>
                </w:p>
              </w:tc>
              <w:tc>
                <w:tcPr>
                  <w:tcW w:w="5789" w:type="dxa"/>
                  <w:vAlign w:val="center"/>
                </w:tcPr>
                <w:p w14:paraId="118F0D8F">
                  <w:pPr>
                    <w:autoSpaceDE w:val="0"/>
                    <w:autoSpaceDN w:val="0"/>
                    <w:adjustRightInd w:val="0"/>
                    <w:snapToGrid w:val="0"/>
                    <w:spacing w:line="320" w:lineRule="exact"/>
                    <w:ind w:left="105" w:leftChars="50" w:right="105" w:rightChars="50"/>
                    <w:jc w:val="center"/>
                  </w:pPr>
                  <w:r>
                    <w:rPr>
                      <w:lang w:val="zh-CN"/>
                    </w:rPr>
                    <w:t>事故现场、工厂邻近区、受事故影响的区域人员及公众对毒物应急剂量控制规定，撤离组织计划及救护，医疗救护与公众健康</w:t>
                  </w:r>
                </w:p>
              </w:tc>
            </w:tr>
            <w:tr w14:paraId="2757AD7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7657409E">
                  <w:pPr>
                    <w:autoSpaceDE w:val="0"/>
                    <w:autoSpaceDN w:val="0"/>
                    <w:adjustRightInd w:val="0"/>
                    <w:snapToGrid w:val="0"/>
                    <w:spacing w:line="320" w:lineRule="exact"/>
                    <w:jc w:val="center"/>
                  </w:pPr>
                  <w:r>
                    <w:t>9</w:t>
                  </w:r>
                </w:p>
              </w:tc>
              <w:tc>
                <w:tcPr>
                  <w:tcW w:w="2268" w:type="dxa"/>
                  <w:vAlign w:val="center"/>
                </w:tcPr>
                <w:p w14:paraId="47E9A6AD">
                  <w:pPr>
                    <w:autoSpaceDE w:val="0"/>
                    <w:autoSpaceDN w:val="0"/>
                    <w:adjustRightInd w:val="0"/>
                    <w:snapToGrid w:val="0"/>
                    <w:spacing w:line="320" w:lineRule="exact"/>
                    <w:ind w:left="105" w:leftChars="50" w:right="105" w:rightChars="50"/>
                    <w:jc w:val="center"/>
                  </w:pPr>
                  <w:r>
                    <w:rPr>
                      <w:lang w:val="zh-CN"/>
                    </w:rPr>
                    <w:t>事故应急救援关闭程序与恢复措施</w:t>
                  </w:r>
                </w:p>
              </w:tc>
              <w:tc>
                <w:tcPr>
                  <w:tcW w:w="5789" w:type="dxa"/>
                  <w:vAlign w:val="center"/>
                </w:tcPr>
                <w:p w14:paraId="7B395603">
                  <w:pPr>
                    <w:autoSpaceDE w:val="0"/>
                    <w:autoSpaceDN w:val="0"/>
                    <w:adjustRightInd w:val="0"/>
                    <w:snapToGrid w:val="0"/>
                    <w:spacing w:line="320" w:lineRule="exact"/>
                    <w:ind w:left="105" w:leftChars="50" w:right="105" w:rightChars="50"/>
                    <w:jc w:val="center"/>
                  </w:pPr>
                  <w:r>
                    <w:rPr>
                      <w:lang w:val="zh-CN"/>
                    </w:rPr>
                    <w:t>规定应急状态终止程序</w:t>
                  </w:r>
                </w:p>
                <w:p w14:paraId="79768F3B">
                  <w:pPr>
                    <w:autoSpaceDE w:val="0"/>
                    <w:autoSpaceDN w:val="0"/>
                    <w:adjustRightInd w:val="0"/>
                    <w:snapToGrid w:val="0"/>
                    <w:spacing w:line="320" w:lineRule="exact"/>
                    <w:ind w:left="105" w:leftChars="50" w:right="105" w:rightChars="50"/>
                    <w:jc w:val="center"/>
                  </w:pPr>
                  <w:r>
                    <w:rPr>
                      <w:lang w:val="zh-CN"/>
                    </w:rPr>
                    <w:t>事故现场善后处理，恢复措施</w:t>
                  </w:r>
                </w:p>
                <w:p w14:paraId="559861F5">
                  <w:pPr>
                    <w:autoSpaceDE w:val="0"/>
                    <w:autoSpaceDN w:val="0"/>
                    <w:adjustRightInd w:val="0"/>
                    <w:snapToGrid w:val="0"/>
                    <w:spacing w:line="320" w:lineRule="exact"/>
                    <w:ind w:left="105" w:leftChars="50" w:right="105" w:rightChars="50"/>
                    <w:jc w:val="center"/>
                  </w:pPr>
                  <w:r>
                    <w:rPr>
                      <w:lang w:val="zh-CN"/>
                    </w:rPr>
                    <w:t>邻近区域解除事故警戒及善后恢复措施</w:t>
                  </w:r>
                </w:p>
              </w:tc>
            </w:tr>
            <w:tr w14:paraId="3AC132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47D88ABC">
                  <w:pPr>
                    <w:autoSpaceDE w:val="0"/>
                    <w:autoSpaceDN w:val="0"/>
                    <w:adjustRightInd w:val="0"/>
                    <w:snapToGrid w:val="0"/>
                    <w:spacing w:line="320" w:lineRule="exact"/>
                    <w:jc w:val="center"/>
                  </w:pPr>
                  <w:r>
                    <w:t>10</w:t>
                  </w:r>
                </w:p>
              </w:tc>
              <w:tc>
                <w:tcPr>
                  <w:tcW w:w="2268" w:type="dxa"/>
                  <w:vAlign w:val="center"/>
                </w:tcPr>
                <w:p w14:paraId="3AF7943C">
                  <w:pPr>
                    <w:autoSpaceDE w:val="0"/>
                    <w:autoSpaceDN w:val="0"/>
                    <w:adjustRightInd w:val="0"/>
                    <w:snapToGrid w:val="0"/>
                    <w:spacing w:line="320" w:lineRule="exact"/>
                    <w:ind w:left="105" w:leftChars="50" w:right="105" w:rightChars="50"/>
                    <w:jc w:val="center"/>
                  </w:pPr>
                  <w:r>
                    <w:rPr>
                      <w:lang w:val="zh-CN"/>
                    </w:rPr>
                    <w:t>应急培训计划</w:t>
                  </w:r>
                </w:p>
              </w:tc>
              <w:tc>
                <w:tcPr>
                  <w:tcW w:w="5789" w:type="dxa"/>
                  <w:vAlign w:val="center"/>
                </w:tcPr>
                <w:p w14:paraId="7E6DFA4C">
                  <w:pPr>
                    <w:autoSpaceDE w:val="0"/>
                    <w:autoSpaceDN w:val="0"/>
                    <w:adjustRightInd w:val="0"/>
                    <w:snapToGrid w:val="0"/>
                    <w:spacing w:line="320" w:lineRule="exact"/>
                    <w:ind w:left="105" w:leftChars="50" w:right="105" w:rightChars="50"/>
                    <w:jc w:val="center"/>
                  </w:pPr>
                  <w:r>
                    <w:rPr>
                      <w:lang w:val="zh-CN"/>
                    </w:rPr>
                    <w:t>应急计划制定后，平时安排人员培训与演练</w:t>
                  </w:r>
                </w:p>
              </w:tc>
            </w:tr>
            <w:tr w14:paraId="06726F3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vAlign w:val="center"/>
                </w:tcPr>
                <w:p w14:paraId="1CE01C58">
                  <w:pPr>
                    <w:autoSpaceDE w:val="0"/>
                    <w:autoSpaceDN w:val="0"/>
                    <w:adjustRightInd w:val="0"/>
                    <w:snapToGrid w:val="0"/>
                    <w:spacing w:line="320" w:lineRule="exact"/>
                    <w:jc w:val="center"/>
                  </w:pPr>
                  <w:r>
                    <w:t>11</w:t>
                  </w:r>
                </w:p>
              </w:tc>
              <w:tc>
                <w:tcPr>
                  <w:tcW w:w="2268" w:type="dxa"/>
                  <w:vAlign w:val="center"/>
                </w:tcPr>
                <w:p w14:paraId="09E46D3A">
                  <w:pPr>
                    <w:autoSpaceDE w:val="0"/>
                    <w:autoSpaceDN w:val="0"/>
                    <w:adjustRightInd w:val="0"/>
                    <w:snapToGrid w:val="0"/>
                    <w:spacing w:line="320" w:lineRule="exact"/>
                    <w:jc w:val="center"/>
                  </w:pPr>
                  <w:r>
                    <w:rPr>
                      <w:lang w:val="zh-CN"/>
                    </w:rPr>
                    <w:t>公众教育和信息</w:t>
                  </w:r>
                </w:p>
              </w:tc>
              <w:tc>
                <w:tcPr>
                  <w:tcW w:w="5789" w:type="dxa"/>
                  <w:vAlign w:val="center"/>
                </w:tcPr>
                <w:p w14:paraId="425A467D">
                  <w:pPr>
                    <w:autoSpaceDE w:val="0"/>
                    <w:autoSpaceDN w:val="0"/>
                    <w:adjustRightInd w:val="0"/>
                    <w:snapToGrid w:val="0"/>
                    <w:spacing w:line="320" w:lineRule="exact"/>
                    <w:jc w:val="center"/>
                  </w:pPr>
                  <w:r>
                    <w:rPr>
                      <w:lang w:val="zh-CN"/>
                    </w:rPr>
                    <w:t>对工厂邻近地区开展公众教育、培训和发布有关信息</w:t>
                  </w:r>
                </w:p>
              </w:tc>
            </w:tr>
          </w:tbl>
          <w:p w14:paraId="6240969E">
            <w:pPr>
              <w:spacing w:line="360" w:lineRule="auto"/>
              <w:ind w:firstLine="480" w:firstLineChars="200"/>
              <w:jc w:val="left"/>
              <w:rPr>
                <w:sz w:val="24"/>
                <w:szCs w:val="24"/>
              </w:rPr>
            </w:pPr>
            <w:r>
              <w:rPr>
                <w:rFonts w:hint="eastAsia"/>
                <w:sz w:val="24"/>
                <w:szCs w:val="24"/>
              </w:rPr>
              <w:t>6</w:t>
            </w:r>
            <w:r>
              <w:rPr>
                <w:sz w:val="24"/>
                <w:szCs w:val="24"/>
              </w:rPr>
              <w:t>、环境风险评价结论</w:t>
            </w:r>
          </w:p>
          <w:p w14:paraId="03816DDD">
            <w:pPr>
              <w:spacing w:line="360" w:lineRule="auto"/>
              <w:ind w:firstLine="480" w:firstLineChars="200"/>
              <w:rPr>
                <w:spacing w:val="8"/>
                <w:sz w:val="24"/>
                <w:szCs w:val="24"/>
              </w:rPr>
            </w:pPr>
            <w:r>
              <w:rPr>
                <w:sz w:val="24"/>
                <w:szCs w:val="24"/>
              </w:rPr>
              <w:t>按照《建设项目环境风险评价技术导则》（HJ169-2018），</w:t>
            </w:r>
            <w:r>
              <w:rPr>
                <w:rFonts w:hint="eastAsia"/>
                <w:sz w:val="24"/>
                <w:szCs w:val="24"/>
              </w:rPr>
              <w:t>本</w:t>
            </w:r>
            <w:r>
              <w:rPr>
                <w:sz w:val="24"/>
                <w:szCs w:val="24"/>
              </w:rPr>
              <w:t>项目风险潜势为Ⅰ，环境风险评价等级为简单分析。</w:t>
            </w:r>
            <w:r>
              <w:rPr>
                <w:spacing w:val="8"/>
                <w:sz w:val="24"/>
                <w:szCs w:val="24"/>
              </w:rPr>
              <w:t>在采取设计与本评价要求的风险防范措施后，可大大降低风险事故发生的机率，通过制定项目应急预案和采取事故应急措施，减缓风险事故对环境的影响，本项目所存在的环境风险是可以接</w:t>
            </w:r>
            <w:r>
              <w:rPr>
                <w:rFonts w:hint="eastAsia"/>
                <w:spacing w:val="8"/>
                <w:sz w:val="24"/>
                <w:szCs w:val="24"/>
              </w:rPr>
              <w:t>受的。</w:t>
            </w:r>
          </w:p>
          <w:p w14:paraId="52B5BA58">
            <w:pPr>
              <w:adjustRightInd w:val="0"/>
              <w:snapToGrid w:val="0"/>
              <w:spacing w:line="360" w:lineRule="auto"/>
              <w:jc w:val="left"/>
              <w:rPr>
                <w:b/>
                <w:sz w:val="24"/>
                <w:szCs w:val="24"/>
              </w:rPr>
            </w:pPr>
            <w:r>
              <w:rPr>
                <w:rFonts w:hint="eastAsia"/>
                <w:b/>
                <w:sz w:val="24"/>
                <w:szCs w:val="24"/>
              </w:rPr>
              <w:t xml:space="preserve">    7、</w:t>
            </w:r>
            <w:r>
              <w:rPr>
                <w:rFonts w:hint="eastAsia"/>
                <w:bCs/>
                <w:sz w:val="24"/>
                <w:szCs w:val="24"/>
              </w:rPr>
              <w:t>自查表</w:t>
            </w:r>
          </w:p>
          <w:p w14:paraId="27709105">
            <w:pPr>
              <w:adjustRightInd w:val="0"/>
              <w:snapToGrid w:val="0"/>
              <w:jc w:val="center"/>
              <w:rPr>
                <w:b/>
                <w:sz w:val="24"/>
                <w:szCs w:val="24"/>
              </w:rPr>
            </w:pPr>
            <w:r>
              <w:rPr>
                <w:b/>
                <w:sz w:val="24"/>
                <w:szCs w:val="24"/>
              </w:rPr>
              <w:t>表7-</w:t>
            </w:r>
            <w:r>
              <w:rPr>
                <w:rFonts w:hint="eastAsia"/>
                <w:b/>
                <w:sz w:val="24"/>
                <w:szCs w:val="24"/>
              </w:rPr>
              <w:t>20</w:t>
            </w:r>
            <w:r>
              <w:rPr>
                <w:b/>
                <w:sz w:val="24"/>
                <w:szCs w:val="24"/>
              </w:rPr>
              <w:t xml:space="preserve">  环境风险评价自查表</w:t>
            </w:r>
          </w:p>
          <w:tbl>
            <w:tblPr>
              <w:tblStyle w:val="27"/>
              <w:tblW w:w="850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80"/>
              <w:gridCol w:w="1110"/>
              <w:gridCol w:w="1005"/>
              <w:gridCol w:w="885"/>
              <w:gridCol w:w="316"/>
              <w:gridCol w:w="520"/>
              <w:gridCol w:w="319"/>
              <w:gridCol w:w="98"/>
              <w:gridCol w:w="225"/>
              <w:gridCol w:w="146"/>
              <w:gridCol w:w="737"/>
              <w:gridCol w:w="146"/>
              <w:gridCol w:w="418"/>
              <w:gridCol w:w="321"/>
              <w:gridCol w:w="207"/>
              <w:gridCol w:w="234"/>
              <w:gridCol w:w="10"/>
              <w:gridCol w:w="64"/>
              <w:gridCol w:w="589"/>
              <w:gridCol w:w="675"/>
            </w:tblGrid>
            <w:tr w14:paraId="43C5C26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vAlign w:val="center"/>
                </w:tcPr>
                <w:p w14:paraId="5DA39AD9">
                  <w:pPr>
                    <w:pStyle w:val="58"/>
                    <w:spacing w:before="28"/>
                    <w:jc w:val="center"/>
                    <w:rPr>
                      <w:rFonts w:ascii="Times New Roman" w:hAnsi="Times New Roman"/>
                      <w:sz w:val="21"/>
                      <w:szCs w:val="21"/>
                    </w:rPr>
                  </w:pPr>
                  <w:r>
                    <w:rPr>
                      <w:rFonts w:ascii="Times New Roman" w:hAnsi="Times New Roman"/>
                      <w:sz w:val="21"/>
                      <w:szCs w:val="21"/>
                    </w:rPr>
                    <w:t>工作内容</w:t>
                  </w:r>
                </w:p>
              </w:tc>
              <w:tc>
                <w:tcPr>
                  <w:tcW w:w="6915" w:type="dxa"/>
                  <w:gridSpan w:val="18"/>
                  <w:tcBorders>
                    <w:tl2br w:val="nil"/>
                    <w:tr2bl w:val="nil"/>
                  </w:tcBorders>
                  <w:vAlign w:val="center"/>
                </w:tcPr>
                <w:p w14:paraId="0159DB73">
                  <w:pPr>
                    <w:pStyle w:val="58"/>
                    <w:spacing w:before="28"/>
                    <w:jc w:val="center"/>
                    <w:rPr>
                      <w:rFonts w:ascii="Times New Roman" w:hAnsi="Times New Roman"/>
                      <w:sz w:val="21"/>
                      <w:szCs w:val="21"/>
                    </w:rPr>
                  </w:pPr>
                  <w:r>
                    <w:rPr>
                      <w:rFonts w:ascii="Times New Roman" w:hAnsi="Times New Roman"/>
                      <w:sz w:val="21"/>
                      <w:szCs w:val="21"/>
                    </w:rPr>
                    <w:t>完成情况</w:t>
                  </w:r>
                </w:p>
              </w:tc>
            </w:tr>
            <w:tr w14:paraId="5406EA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restart"/>
                  <w:tcBorders>
                    <w:tl2br w:val="nil"/>
                    <w:tr2bl w:val="nil"/>
                  </w:tcBorders>
                  <w:vAlign w:val="center"/>
                </w:tcPr>
                <w:p w14:paraId="6C845239">
                  <w:pPr>
                    <w:pStyle w:val="58"/>
                    <w:spacing w:before="28"/>
                    <w:jc w:val="center"/>
                    <w:rPr>
                      <w:rFonts w:ascii="Times New Roman" w:hAnsi="Times New Roman"/>
                      <w:sz w:val="21"/>
                      <w:szCs w:val="21"/>
                    </w:rPr>
                  </w:pPr>
                  <w:r>
                    <w:rPr>
                      <w:rFonts w:ascii="Times New Roman" w:hAnsi="Times New Roman"/>
                      <w:sz w:val="21"/>
                      <w:szCs w:val="21"/>
                    </w:rPr>
                    <w:t>风</w:t>
                  </w:r>
                </w:p>
                <w:p w14:paraId="08F039A3">
                  <w:pPr>
                    <w:pStyle w:val="58"/>
                    <w:spacing w:before="28"/>
                    <w:jc w:val="center"/>
                    <w:rPr>
                      <w:rFonts w:ascii="Times New Roman" w:hAnsi="Times New Roman"/>
                      <w:sz w:val="21"/>
                      <w:szCs w:val="21"/>
                    </w:rPr>
                  </w:pPr>
                  <w:r>
                    <w:rPr>
                      <w:rFonts w:ascii="Times New Roman" w:hAnsi="Times New Roman"/>
                      <w:sz w:val="21"/>
                      <w:szCs w:val="21"/>
                    </w:rPr>
                    <w:t>险</w:t>
                  </w:r>
                </w:p>
                <w:p w14:paraId="1A32D1D4">
                  <w:pPr>
                    <w:pStyle w:val="58"/>
                    <w:spacing w:before="28"/>
                    <w:jc w:val="center"/>
                    <w:rPr>
                      <w:rFonts w:ascii="Times New Roman" w:hAnsi="Times New Roman"/>
                      <w:sz w:val="21"/>
                      <w:szCs w:val="21"/>
                    </w:rPr>
                  </w:pPr>
                  <w:r>
                    <w:rPr>
                      <w:rFonts w:ascii="Times New Roman" w:hAnsi="Times New Roman"/>
                      <w:sz w:val="21"/>
                      <w:szCs w:val="21"/>
                    </w:rPr>
                    <w:t>调</w:t>
                  </w:r>
                </w:p>
                <w:p w14:paraId="243FC612">
                  <w:pPr>
                    <w:pStyle w:val="58"/>
                    <w:spacing w:before="28"/>
                    <w:jc w:val="center"/>
                    <w:rPr>
                      <w:rFonts w:ascii="Times New Roman" w:hAnsi="Times New Roman"/>
                      <w:sz w:val="21"/>
                      <w:szCs w:val="21"/>
                    </w:rPr>
                  </w:pPr>
                  <w:r>
                    <w:rPr>
                      <w:rFonts w:ascii="Times New Roman" w:hAnsi="Times New Roman"/>
                      <w:sz w:val="21"/>
                      <w:szCs w:val="21"/>
                    </w:rPr>
                    <w:t>查</w:t>
                  </w:r>
                </w:p>
              </w:tc>
              <w:tc>
                <w:tcPr>
                  <w:tcW w:w="1110" w:type="dxa"/>
                  <w:vMerge w:val="restart"/>
                  <w:tcBorders>
                    <w:tl2br w:val="nil"/>
                    <w:tr2bl w:val="nil"/>
                  </w:tcBorders>
                  <w:vAlign w:val="center"/>
                </w:tcPr>
                <w:p w14:paraId="47615C37">
                  <w:pPr>
                    <w:pStyle w:val="58"/>
                    <w:spacing w:before="28"/>
                    <w:jc w:val="center"/>
                    <w:rPr>
                      <w:rFonts w:ascii="Times New Roman" w:hAnsi="Times New Roman"/>
                      <w:sz w:val="21"/>
                      <w:szCs w:val="21"/>
                    </w:rPr>
                  </w:pPr>
                  <w:r>
                    <w:rPr>
                      <w:rFonts w:ascii="Times New Roman" w:hAnsi="Times New Roman"/>
                      <w:sz w:val="21"/>
                      <w:szCs w:val="21"/>
                    </w:rPr>
                    <w:t>危险物质</w:t>
                  </w:r>
                </w:p>
              </w:tc>
              <w:tc>
                <w:tcPr>
                  <w:tcW w:w="1005" w:type="dxa"/>
                  <w:tcBorders>
                    <w:tl2br w:val="nil"/>
                    <w:tr2bl w:val="nil"/>
                  </w:tcBorders>
                  <w:vAlign w:val="center"/>
                </w:tcPr>
                <w:p w14:paraId="417C927C">
                  <w:pPr>
                    <w:pStyle w:val="58"/>
                    <w:spacing w:before="28"/>
                    <w:jc w:val="center"/>
                    <w:rPr>
                      <w:rFonts w:ascii="Times New Roman" w:hAnsi="Times New Roman"/>
                      <w:sz w:val="21"/>
                      <w:szCs w:val="21"/>
                    </w:rPr>
                  </w:pPr>
                  <w:r>
                    <w:rPr>
                      <w:rFonts w:ascii="Times New Roman" w:hAnsi="Times New Roman"/>
                      <w:sz w:val="21"/>
                      <w:szCs w:val="21"/>
                    </w:rPr>
                    <w:t>名称</w:t>
                  </w:r>
                </w:p>
              </w:tc>
              <w:tc>
                <w:tcPr>
                  <w:tcW w:w="2040" w:type="dxa"/>
                  <w:gridSpan w:val="4"/>
                  <w:tcBorders>
                    <w:tl2br w:val="nil"/>
                    <w:tr2bl w:val="nil"/>
                  </w:tcBorders>
                  <w:vAlign w:val="center"/>
                </w:tcPr>
                <w:p w14:paraId="2B479454">
                  <w:pPr>
                    <w:pStyle w:val="58"/>
                    <w:spacing w:before="28"/>
                    <w:jc w:val="center"/>
                    <w:rPr>
                      <w:rFonts w:ascii="Times New Roman" w:hAnsi="Times New Roman"/>
                      <w:sz w:val="21"/>
                      <w:szCs w:val="21"/>
                      <w:lang w:eastAsia="zh-CN"/>
                    </w:rPr>
                  </w:pPr>
                  <w:r>
                    <w:rPr>
                      <w:rFonts w:hint="eastAsia" w:ascii="Times New Roman" w:hAnsi="Times New Roman"/>
                      <w:sz w:val="21"/>
                      <w:szCs w:val="21"/>
                      <w:lang w:eastAsia="zh-CN"/>
                    </w:rPr>
                    <w:t>油漆、稀料</w:t>
                  </w:r>
                </w:p>
              </w:tc>
              <w:tc>
                <w:tcPr>
                  <w:tcW w:w="1206" w:type="dxa"/>
                  <w:gridSpan w:val="4"/>
                  <w:tcBorders>
                    <w:tl2br w:val="nil"/>
                    <w:tr2bl w:val="nil"/>
                  </w:tcBorders>
                  <w:vAlign w:val="center"/>
                </w:tcPr>
                <w:p w14:paraId="433F152E">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c>
                <w:tcPr>
                  <w:tcW w:w="1326" w:type="dxa"/>
                  <w:gridSpan w:val="5"/>
                  <w:tcBorders>
                    <w:tl2br w:val="nil"/>
                    <w:tr2bl w:val="nil"/>
                  </w:tcBorders>
                  <w:vAlign w:val="center"/>
                </w:tcPr>
                <w:p w14:paraId="4DCA2EAE">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c>
                <w:tcPr>
                  <w:tcW w:w="663" w:type="dxa"/>
                  <w:gridSpan w:val="3"/>
                  <w:tcBorders>
                    <w:tl2br w:val="nil"/>
                    <w:tr2bl w:val="nil"/>
                  </w:tcBorders>
                  <w:vAlign w:val="center"/>
                </w:tcPr>
                <w:p w14:paraId="23D15D77">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c>
                <w:tcPr>
                  <w:tcW w:w="675" w:type="dxa"/>
                  <w:tcBorders>
                    <w:tl2br w:val="nil"/>
                    <w:tr2bl w:val="nil"/>
                  </w:tcBorders>
                  <w:vAlign w:val="center"/>
                </w:tcPr>
                <w:p w14:paraId="6C2F2D89">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r>
            <w:tr w14:paraId="7E3D313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221F2E62">
                  <w:pPr>
                    <w:pStyle w:val="58"/>
                    <w:spacing w:before="28"/>
                    <w:jc w:val="center"/>
                    <w:rPr>
                      <w:rFonts w:ascii="Times New Roman" w:hAnsi="Times New Roman"/>
                      <w:sz w:val="21"/>
                      <w:szCs w:val="21"/>
                    </w:rPr>
                  </w:pPr>
                </w:p>
              </w:tc>
              <w:tc>
                <w:tcPr>
                  <w:tcW w:w="1110" w:type="dxa"/>
                  <w:vMerge w:val="continue"/>
                  <w:tcBorders>
                    <w:tl2br w:val="nil"/>
                    <w:tr2bl w:val="nil"/>
                  </w:tcBorders>
                  <w:vAlign w:val="center"/>
                </w:tcPr>
                <w:p w14:paraId="6C860E06">
                  <w:pPr>
                    <w:pStyle w:val="58"/>
                    <w:spacing w:before="28"/>
                    <w:jc w:val="center"/>
                    <w:rPr>
                      <w:rFonts w:ascii="Times New Roman" w:hAnsi="Times New Roman"/>
                      <w:sz w:val="21"/>
                      <w:szCs w:val="21"/>
                    </w:rPr>
                  </w:pPr>
                </w:p>
              </w:tc>
              <w:tc>
                <w:tcPr>
                  <w:tcW w:w="1005" w:type="dxa"/>
                  <w:tcBorders>
                    <w:tl2br w:val="nil"/>
                    <w:tr2bl w:val="nil"/>
                  </w:tcBorders>
                  <w:vAlign w:val="center"/>
                </w:tcPr>
                <w:p w14:paraId="35678A06">
                  <w:pPr>
                    <w:pStyle w:val="58"/>
                    <w:spacing w:before="28"/>
                    <w:jc w:val="center"/>
                    <w:rPr>
                      <w:rFonts w:ascii="Times New Roman" w:hAnsi="Times New Roman"/>
                      <w:sz w:val="21"/>
                      <w:szCs w:val="21"/>
                    </w:rPr>
                  </w:pPr>
                  <w:r>
                    <w:rPr>
                      <w:rFonts w:ascii="Times New Roman" w:hAnsi="Times New Roman"/>
                      <w:sz w:val="21"/>
                      <w:szCs w:val="21"/>
                    </w:rPr>
                    <w:t>存在总量/t</w:t>
                  </w:r>
                </w:p>
              </w:tc>
              <w:tc>
                <w:tcPr>
                  <w:tcW w:w="2040" w:type="dxa"/>
                  <w:gridSpan w:val="4"/>
                  <w:tcBorders>
                    <w:tl2br w:val="nil"/>
                    <w:tr2bl w:val="nil"/>
                  </w:tcBorders>
                  <w:vAlign w:val="center"/>
                </w:tcPr>
                <w:p w14:paraId="5F69CF7C">
                  <w:pPr>
                    <w:pStyle w:val="58"/>
                    <w:spacing w:before="28"/>
                    <w:jc w:val="center"/>
                    <w:rPr>
                      <w:rFonts w:ascii="Times New Roman" w:hAnsi="Times New Roman"/>
                      <w:sz w:val="21"/>
                      <w:szCs w:val="21"/>
                      <w:lang w:eastAsia="zh-CN"/>
                    </w:rPr>
                  </w:pPr>
                  <w:r>
                    <w:rPr>
                      <w:rFonts w:hint="eastAsia" w:ascii="Times New Roman" w:hAnsi="Times New Roman"/>
                      <w:sz w:val="21"/>
                      <w:szCs w:val="21"/>
                      <w:lang w:eastAsia="zh-CN"/>
                    </w:rPr>
                    <w:t>1.6</w:t>
                  </w:r>
                </w:p>
              </w:tc>
              <w:tc>
                <w:tcPr>
                  <w:tcW w:w="1206" w:type="dxa"/>
                  <w:gridSpan w:val="4"/>
                  <w:tcBorders>
                    <w:tl2br w:val="nil"/>
                    <w:tr2bl w:val="nil"/>
                  </w:tcBorders>
                  <w:vAlign w:val="center"/>
                </w:tcPr>
                <w:p w14:paraId="4A2C2B70">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c>
                <w:tcPr>
                  <w:tcW w:w="1326" w:type="dxa"/>
                  <w:gridSpan w:val="5"/>
                  <w:tcBorders>
                    <w:tl2br w:val="nil"/>
                    <w:tr2bl w:val="nil"/>
                  </w:tcBorders>
                  <w:vAlign w:val="center"/>
                </w:tcPr>
                <w:p w14:paraId="28DBDD5A">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c>
                <w:tcPr>
                  <w:tcW w:w="663" w:type="dxa"/>
                  <w:gridSpan w:val="3"/>
                  <w:tcBorders>
                    <w:tl2br w:val="nil"/>
                    <w:tr2bl w:val="nil"/>
                  </w:tcBorders>
                  <w:vAlign w:val="center"/>
                </w:tcPr>
                <w:p w14:paraId="2DFA9257">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c>
                <w:tcPr>
                  <w:tcW w:w="675" w:type="dxa"/>
                  <w:tcBorders>
                    <w:tl2br w:val="nil"/>
                    <w:tr2bl w:val="nil"/>
                  </w:tcBorders>
                  <w:vAlign w:val="center"/>
                </w:tcPr>
                <w:p w14:paraId="6D85C1BA">
                  <w:pPr>
                    <w:pStyle w:val="58"/>
                    <w:spacing w:before="28"/>
                    <w:jc w:val="center"/>
                    <w:rPr>
                      <w:rFonts w:ascii="Times New Roman" w:hAnsi="Times New Roman"/>
                      <w:sz w:val="21"/>
                      <w:szCs w:val="21"/>
                      <w:lang w:eastAsia="zh-CN"/>
                    </w:rPr>
                  </w:pPr>
                  <w:r>
                    <w:rPr>
                      <w:rFonts w:ascii="Times New Roman" w:hAnsi="Times New Roman"/>
                      <w:sz w:val="21"/>
                      <w:szCs w:val="21"/>
                      <w:lang w:eastAsia="zh-CN"/>
                    </w:rPr>
                    <w:t>/</w:t>
                  </w:r>
                </w:p>
              </w:tc>
            </w:tr>
            <w:tr w14:paraId="4C38BD1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1F57ABE6">
                  <w:pPr>
                    <w:pStyle w:val="58"/>
                    <w:spacing w:before="28"/>
                    <w:jc w:val="center"/>
                    <w:rPr>
                      <w:rFonts w:ascii="Times New Roman" w:hAnsi="Times New Roman"/>
                      <w:sz w:val="21"/>
                      <w:szCs w:val="21"/>
                    </w:rPr>
                  </w:pPr>
                </w:p>
              </w:tc>
              <w:tc>
                <w:tcPr>
                  <w:tcW w:w="1110" w:type="dxa"/>
                  <w:vMerge w:val="restart"/>
                  <w:tcBorders>
                    <w:tl2br w:val="nil"/>
                    <w:tr2bl w:val="nil"/>
                  </w:tcBorders>
                  <w:vAlign w:val="center"/>
                </w:tcPr>
                <w:p w14:paraId="62A1E007">
                  <w:pPr>
                    <w:pStyle w:val="58"/>
                    <w:spacing w:before="28"/>
                    <w:jc w:val="center"/>
                    <w:rPr>
                      <w:rFonts w:ascii="Times New Roman" w:hAnsi="Times New Roman"/>
                      <w:sz w:val="21"/>
                      <w:szCs w:val="21"/>
                    </w:rPr>
                  </w:pPr>
                  <w:r>
                    <w:rPr>
                      <w:rFonts w:ascii="Times New Roman" w:hAnsi="Times New Roman"/>
                      <w:sz w:val="21"/>
                      <w:szCs w:val="21"/>
                    </w:rPr>
                    <w:t>环境敏感性</w:t>
                  </w:r>
                </w:p>
              </w:tc>
              <w:tc>
                <w:tcPr>
                  <w:tcW w:w="1005" w:type="dxa"/>
                  <w:vMerge w:val="restart"/>
                  <w:tcBorders>
                    <w:tl2br w:val="nil"/>
                    <w:tr2bl w:val="nil"/>
                  </w:tcBorders>
                  <w:vAlign w:val="center"/>
                </w:tcPr>
                <w:p w14:paraId="7893A22F">
                  <w:pPr>
                    <w:pStyle w:val="58"/>
                    <w:spacing w:before="28"/>
                    <w:jc w:val="center"/>
                    <w:rPr>
                      <w:rFonts w:ascii="Times New Roman" w:hAnsi="Times New Roman"/>
                      <w:sz w:val="21"/>
                      <w:szCs w:val="21"/>
                    </w:rPr>
                  </w:pPr>
                  <w:r>
                    <w:rPr>
                      <w:rFonts w:ascii="Times New Roman" w:hAnsi="Times New Roman"/>
                      <w:sz w:val="21"/>
                      <w:szCs w:val="21"/>
                    </w:rPr>
                    <w:t>大气</w:t>
                  </w:r>
                </w:p>
              </w:tc>
              <w:tc>
                <w:tcPr>
                  <w:tcW w:w="3246" w:type="dxa"/>
                  <w:gridSpan w:val="8"/>
                  <w:tcBorders>
                    <w:tl2br w:val="nil"/>
                    <w:tr2bl w:val="nil"/>
                  </w:tcBorders>
                  <w:vAlign w:val="center"/>
                </w:tcPr>
                <w:p w14:paraId="36797094">
                  <w:pPr>
                    <w:pStyle w:val="58"/>
                    <w:spacing w:before="28"/>
                    <w:jc w:val="center"/>
                    <w:rPr>
                      <w:rFonts w:ascii="Times New Roman" w:hAnsi="Times New Roman"/>
                      <w:sz w:val="21"/>
                      <w:szCs w:val="21"/>
                    </w:rPr>
                  </w:pPr>
                  <w:r>
                    <w:rPr>
                      <w:rFonts w:ascii="Times New Roman" w:hAnsi="Times New Roman"/>
                      <w:sz w:val="21"/>
                      <w:szCs w:val="21"/>
                    </w:rPr>
                    <w:t>500m范围内人口数</w:t>
                  </w:r>
                  <w:r>
                    <w:rPr>
                      <w:rFonts w:hint="eastAsia" w:ascii="Times New Roman" w:hAnsi="Times New Roman"/>
                      <w:sz w:val="21"/>
                      <w:szCs w:val="21"/>
                      <w:u w:val="single"/>
                      <w:lang w:eastAsia="zh-CN"/>
                    </w:rPr>
                    <w:t xml:space="preserve"> </w:t>
                  </w:r>
                  <w:r>
                    <w:rPr>
                      <w:rFonts w:ascii="Times New Roman" w:hAnsi="Times New Roman"/>
                      <w:sz w:val="21"/>
                      <w:szCs w:val="21"/>
                      <w:u w:val="single"/>
                    </w:rPr>
                    <w:t xml:space="preserve">  </w:t>
                  </w:r>
                  <w:r>
                    <w:rPr>
                      <w:rFonts w:ascii="Times New Roman" w:hAnsi="Times New Roman"/>
                      <w:sz w:val="21"/>
                      <w:szCs w:val="21"/>
                    </w:rPr>
                    <w:t>人</w:t>
                  </w:r>
                </w:p>
              </w:tc>
              <w:tc>
                <w:tcPr>
                  <w:tcW w:w="2664" w:type="dxa"/>
                  <w:gridSpan w:val="9"/>
                  <w:tcBorders>
                    <w:tl2br w:val="nil"/>
                    <w:tr2bl w:val="nil"/>
                  </w:tcBorders>
                  <w:vAlign w:val="center"/>
                </w:tcPr>
                <w:p w14:paraId="30FCB592">
                  <w:pPr>
                    <w:pStyle w:val="58"/>
                    <w:spacing w:before="28"/>
                    <w:jc w:val="center"/>
                    <w:rPr>
                      <w:rFonts w:ascii="Times New Roman" w:hAnsi="Times New Roman"/>
                      <w:sz w:val="21"/>
                      <w:szCs w:val="21"/>
                    </w:rPr>
                  </w:pPr>
                  <w:r>
                    <w:rPr>
                      <w:rFonts w:ascii="Times New Roman" w:hAnsi="Times New Roman"/>
                      <w:sz w:val="21"/>
                      <w:szCs w:val="21"/>
                    </w:rPr>
                    <w:t>5km范围内人口数</w:t>
                  </w:r>
                  <w:r>
                    <w:rPr>
                      <w:rFonts w:ascii="Times New Roman" w:hAnsi="Times New Roman"/>
                      <w:sz w:val="21"/>
                      <w:szCs w:val="21"/>
                      <w:u w:val="single"/>
                    </w:rPr>
                    <w:t xml:space="preserve"> </w:t>
                  </w:r>
                  <w:r>
                    <w:rPr>
                      <w:rFonts w:hint="eastAsia" w:ascii="Times New Roman" w:hAnsi="Times New Roman"/>
                      <w:sz w:val="21"/>
                      <w:szCs w:val="21"/>
                      <w:u w:val="single"/>
                      <w:lang w:eastAsia="zh-CN"/>
                    </w:rPr>
                    <w:t xml:space="preserve"> </w:t>
                  </w:r>
                  <w:r>
                    <w:rPr>
                      <w:rFonts w:ascii="Times New Roman" w:hAnsi="Times New Roman"/>
                      <w:sz w:val="21"/>
                      <w:szCs w:val="21"/>
                      <w:u w:val="single"/>
                    </w:rPr>
                    <w:t xml:space="preserve"> </w:t>
                  </w:r>
                  <w:r>
                    <w:rPr>
                      <w:rFonts w:ascii="Times New Roman" w:hAnsi="Times New Roman"/>
                      <w:sz w:val="21"/>
                      <w:szCs w:val="21"/>
                    </w:rPr>
                    <w:t>人</w:t>
                  </w:r>
                </w:p>
              </w:tc>
            </w:tr>
            <w:tr w14:paraId="472F071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726E5037">
                  <w:pPr>
                    <w:pStyle w:val="58"/>
                    <w:spacing w:before="28"/>
                    <w:jc w:val="center"/>
                    <w:rPr>
                      <w:rFonts w:ascii="Times New Roman" w:hAnsi="Times New Roman"/>
                      <w:sz w:val="21"/>
                      <w:szCs w:val="21"/>
                    </w:rPr>
                  </w:pPr>
                </w:p>
              </w:tc>
              <w:tc>
                <w:tcPr>
                  <w:tcW w:w="1110" w:type="dxa"/>
                  <w:vMerge w:val="continue"/>
                  <w:tcBorders>
                    <w:tl2br w:val="nil"/>
                    <w:tr2bl w:val="nil"/>
                  </w:tcBorders>
                  <w:vAlign w:val="center"/>
                </w:tcPr>
                <w:p w14:paraId="458A11D0">
                  <w:pPr>
                    <w:pStyle w:val="58"/>
                    <w:spacing w:before="28"/>
                    <w:jc w:val="center"/>
                    <w:rPr>
                      <w:rFonts w:ascii="Times New Roman" w:hAnsi="Times New Roman"/>
                      <w:sz w:val="21"/>
                      <w:szCs w:val="21"/>
                    </w:rPr>
                  </w:pPr>
                </w:p>
              </w:tc>
              <w:tc>
                <w:tcPr>
                  <w:tcW w:w="1005" w:type="dxa"/>
                  <w:vMerge w:val="continue"/>
                  <w:tcBorders>
                    <w:tl2br w:val="nil"/>
                    <w:tr2bl w:val="nil"/>
                  </w:tcBorders>
                  <w:vAlign w:val="center"/>
                </w:tcPr>
                <w:p w14:paraId="1E3090CE">
                  <w:pPr>
                    <w:pStyle w:val="58"/>
                    <w:spacing w:before="28"/>
                    <w:jc w:val="center"/>
                    <w:rPr>
                      <w:rFonts w:ascii="Times New Roman" w:hAnsi="Times New Roman"/>
                      <w:sz w:val="21"/>
                      <w:szCs w:val="21"/>
                    </w:rPr>
                  </w:pPr>
                </w:p>
              </w:tc>
              <w:tc>
                <w:tcPr>
                  <w:tcW w:w="4582" w:type="dxa"/>
                  <w:gridSpan w:val="14"/>
                  <w:tcBorders>
                    <w:tl2br w:val="nil"/>
                    <w:tr2bl w:val="nil"/>
                  </w:tcBorders>
                  <w:vAlign w:val="center"/>
                </w:tcPr>
                <w:p w14:paraId="0C32C2EA">
                  <w:pPr>
                    <w:pStyle w:val="58"/>
                    <w:spacing w:before="28"/>
                    <w:jc w:val="center"/>
                    <w:rPr>
                      <w:rFonts w:ascii="Times New Roman" w:hAnsi="Times New Roman"/>
                      <w:sz w:val="21"/>
                      <w:szCs w:val="21"/>
                      <w:lang w:eastAsia="zh-CN"/>
                    </w:rPr>
                  </w:pPr>
                  <w:r>
                    <w:rPr>
                      <w:rFonts w:ascii="Times New Roman" w:hAnsi="Times New Roman"/>
                      <w:sz w:val="21"/>
                      <w:szCs w:val="21"/>
                      <w:lang w:eastAsia="zh-CN"/>
                    </w:rPr>
                    <w:t>每公里管段周边200m范围内人口数（最大）</w:t>
                  </w:r>
                </w:p>
              </w:tc>
              <w:tc>
                <w:tcPr>
                  <w:tcW w:w="1328" w:type="dxa"/>
                  <w:gridSpan w:val="3"/>
                  <w:tcBorders>
                    <w:tl2br w:val="nil"/>
                    <w:tr2bl w:val="nil"/>
                  </w:tcBorders>
                  <w:vAlign w:val="center"/>
                </w:tcPr>
                <w:p w14:paraId="2095804F">
                  <w:pPr>
                    <w:pStyle w:val="58"/>
                    <w:spacing w:before="28"/>
                    <w:jc w:val="center"/>
                    <w:rPr>
                      <w:rFonts w:ascii="Times New Roman" w:hAnsi="Times New Roman"/>
                      <w:sz w:val="21"/>
                      <w:szCs w:val="21"/>
                    </w:rPr>
                  </w:pPr>
                  <w:r>
                    <w:rPr>
                      <w:rFonts w:ascii="Times New Roman" w:hAnsi="Times New Roman"/>
                      <w:sz w:val="21"/>
                      <w:szCs w:val="21"/>
                      <w:u w:val="single"/>
                      <w:lang w:eastAsia="zh-CN"/>
                    </w:rPr>
                    <w:t xml:space="preserve">    </w:t>
                  </w:r>
                  <w:r>
                    <w:rPr>
                      <w:rFonts w:hint="eastAsia" w:ascii="Times New Roman" w:hAnsi="Times New Roman"/>
                      <w:sz w:val="21"/>
                      <w:szCs w:val="21"/>
                      <w:u w:val="single"/>
                      <w:lang w:eastAsia="zh-CN"/>
                    </w:rPr>
                    <w:t xml:space="preserve"> </w:t>
                  </w:r>
                  <w:r>
                    <w:rPr>
                      <w:rFonts w:ascii="Times New Roman" w:hAnsi="Times New Roman"/>
                      <w:sz w:val="21"/>
                      <w:szCs w:val="21"/>
                      <w:u w:val="single"/>
                      <w:lang w:eastAsia="zh-CN"/>
                    </w:rPr>
                    <w:t xml:space="preserve">  </w:t>
                  </w:r>
                  <w:r>
                    <w:rPr>
                      <w:rFonts w:ascii="Times New Roman" w:hAnsi="Times New Roman"/>
                      <w:sz w:val="21"/>
                      <w:szCs w:val="21"/>
                    </w:rPr>
                    <w:t>人</w:t>
                  </w:r>
                </w:p>
              </w:tc>
            </w:tr>
            <w:tr w14:paraId="1799D30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1A2AB3D1">
                  <w:pPr>
                    <w:pStyle w:val="58"/>
                    <w:spacing w:before="28"/>
                    <w:jc w:val="center"/>
                    <w:rPr>
                      <w:rFonts w:ascii="Times New Roman" w:hAnsi="Times New Roman"/>
                      <w:sz w:val="21"/>
                      <w:szCs w:val="21"/>
                    </w:rPr>
                  </w:pPr>
                </w:p>
              </w:tc>
              <w:tc>
                <w:tcPr>
                  <w:tcW w:w="1110" w:type="dxa"/>
                  <w:vMerge w:val="continue"/>
                  <w:tcBorders>
                    <w:tl2br w:val="nil"/>
                    <w:tr2bl w:val="nil"/>
                  </w:tcBorders>
                  <w:vAlign w:val="center"/>
                </w:tcPr>
                <w:p w14:paraId="51EC4BB6">
                  <w:pPr>
                    <w:pStyle w:val="58"/>
                    <w:spacing w:before="28"/>
                    <w:jc w:val="center"/>
                    <w:rPr>
                      <w:rFonts w:ascii="Times New Roman" w:hAnsi="Times New Roman"/>
                      <w:sz w:val="21"/>
                      <w:szCs w:val="21"/>
                    </w:rPr>
                  </w:pPr>
                </w:p>
              </w:tc>
              <w:tc>
                <w:tcPr>
                  <w:tcW w:w="1005" w:type="dxa"/>
                  <w:vMerge w:val="restart"/>
                  <w:tcBorders>
                    <w:tl2br w:val="nil"/>
                    <w:tr2bl w:val="nil"/>
                  </w:tcBorders>
                  <w:vAlign w:val="center"/>
                </w:tcPr>
                <w:p w14:paraId="75121893">
                  <w:pPr>
                    <w:pStyle w:val="58"/>
                    <w:spacing w:before="28"/>
                    <w:jc w:val="center"/>
                    <w:rPr>
                      <w:rFonts w:ascii="Times New Roman" w:hAnsi="Times New Roman"/>
                      <w:sz w:val="21"/>
                      <w:szCs w:val="21"/>
                    </w:rPr>
                  </w:pPr>
                  <w:r>
                    <w:rPr>
                      <w:rFonts w:ascii="Times New Roman" w:hAnsi="Times New Roman"/>
                      <w:sz w:val="21"/>
                      <w:szCs w:val="21"/>
                    </w:rPr>
                    <w:t>地表水</w:t>
                  </w:r>
                </w:p>
              </w:tc>
              <w:tc>
                <w:tcPr>
                  <w:tcW w:w="2040" w:type="dxa"/>
                  <w:gridSpan w:val="4"/>
                  <w:tcBorders>
                    <w:tl2br w:val="nil"/>
                    <w:tr2bl w:val="nil"/>
                  </w:tcBorders>
                  <w:vAlign w:val="center"/>
                </w:tcPr>
                <w:p w14:paraId="545E2FB8">
                  <w:pPr>
                    <w:pStyle w:val="58"/>
                    <w:spacing w:before="28"/>
                    <w:jc w:val="center"/>
                    <w:rPr>
                      <w:rFonts w:ascii="Times New Roman" w:hAnsi="Times New Roman"/>
                      <w:sz w:val="21"/>
                      <w:szCs w:val="21"/>
                    </w:rPr>
                  </w:pPr>
                  <w:r>
                    <w:rPr>
                      <w:rFonts w:ascii="Times New Roman" w:hAnsi="Times New Roman"/>
                      <w:sz w:val="21"/>
                      <w:szCs w:val="21"/>
                    </w:rPr>
                    <w:t>地表水功能敏感性</w:t>
                  </w:r>
                </w:p>
              </w:tc>
              <w:tc>
                <w:tcPr>
                  <w:tcW w:w="1206" w:type="dxa"/>
                  <w:gridSpan w:val="4"/>
                  <w:tcBorders>
                    <w:tl2br w:val="nil"/>
                    <w:tr2bl w:val="nil"/>
                  </w:tcBorders>
                  <w:vAlign w:val="center"/>
                </w:tcPr>
                <w:p w14:paraId="16E332A6">
                  <w:pPr>
                    <w:pStyle w:val="58"/>
                    <w:spacing w:before="28"/>
                    <w:jc w:val="center"/>
                    <w:rPr>
                      <w:rFonts w:ascii="Times New Roman" w:hAnsi="Times New Roman"/>
                      <w:sz w:val="21"/>
                      <w:szCs w:val="21"/>
                    </w:rPr>
                  </w:pPr>
                  <w:r>
                    <w:rPr>
                      <w:rFonts w:ascii="Times New Roman" w:hAnsi="Times New Roman"/>
                      <w:sz w:val="21"/>
                      <w:szCs w:val="21"/>
                    </w:rPr>
                    <w:t xml:space="preserve">F1 </w:t>
                  </w:r>
                  <w:r>
                    <w:rPr>
                      <w:rFonts w:ascii="Times New Roman" w:hAnsi="Times New Roman"/>
                      <w:sz w:val="21"/>
                      <w:szCs w:val="21"/>
                    </w:rPr>
                    <w:sym w:font="Wingdings" w:char="00A8"/>
                  </w:r>
                </w:p>
              </w:tc>
              <w:tc>
                <w:tcPr>
                  <w:tcW w:w="1326" w:type="dxa"/>
                  <w:gridSpan w:val="5"/>
                  <w:tcBorders>
                    <w:tl2br w:val="nil"/>
                    <w:tr2bl w:val="nil"/>
                  </w:tcBorders>
                  <w:vAlign w:val="center"/>
                </w:tcPr>
                <w:p w14:paraId="1A953F4F">
                  <w:pPr>
                    <w:pStyle w:val="58"/>
                    <w:spacing w:before="28"/>
                    <w:jc w:val="center"/>
                    <w:rPr>
                      <w:rFonts w:ascii="Times New Roman" w:hAnsi="Times New Roman"/>
                      <w:sz w:val="21"/>
                      <w:szCs w:val="21"/>
                    </w:rPr>
                  </w:pPr>
                  <w:r>
                    <w:rPr>
                      <w:rFonts w:ascii="Times New Roman" w:hAnsi="Times New Roman"/>
                      <w:sz w:val="21"/>
                      <w:szCs w:val="21"/>
                    </w:rPr>
                    <w:t xml:space="preserve">F2 </w:t>
                  </w:r>
                  <w:r>
                    <w:rPr>
                      <w:rFonts w:ascii="Times New Roman" w:hAnsi="Times New Roman"/>
                      <w:sz w:val="21"/>
                      <w:szCs w:val="21"/>
                    </w:rPr>
                    <w:sym w:font="Wingdings" w:char="00A8"/>
                  </w:r>
                </w:p>
              </w:tc>
              <w:tc>
                <w:tcPr>
                  <w:tcW w:w="1338" w:type="dxa"/>
                  <w:gridSpan w:val="4"/>
                  <w:tcBorders>
                    <w:tl2br w:val="nil"/>
                    <w:tr2bl w:val="nil"/>
                  </w:tcBorders>
                  <w:vAlign w:val="center"/>
                </w:tcPr>
                <w:p w14:paraId="42FE0686">
                  <w:pPr>
                    <w:pStyle w:val="58"/>
                    <w:spacing w:before="28"/>
                    <w:jc w:val="center"/>
                    <w:rPr>
                      <w:rFonts w:ascii="Times New Roman" w:hAnsi="Times New Roman"/>
                      <w:sz w:val="21"/>
                      <w:szCs w:val="21"/>
                    </w:rPr>
                  </w:pPr>
                  <w:r>
                    <w:rPr>
                      <w:rFonts w:ascii="Times New Roman" w:hAnsi="Times New Roman"/>
                      <w:sz w:val="21"/>
                      <w:szCs w:val="21"/>
                    </w:rPr>
                    <w:t xml:space="preserve">F3 </w:t>
                  </w:r>
                  <w:r>
                    <w:rPr>
                      <w:rFonts w:ascii="Times New Roman" w:hAnsi="Times New Roman"/>
                      <w:sz w:val="21"/>
                      <w:szCs w:val="21"/>
                    </w:rPr>
                    <w:sym w:font="Wingdings" w:char="00FE"/>
                  </w:r>
                </w:p>
              </w:tc>
            </w:tr>
            <w:tr w14:paraId="0FB67D4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71F21FED">
                  <w:pPr>
                    <w:pStyle w:val="58"/>
                    <w:spacing w:before="28"/>
                    <w:jc w:val="center"/>
                    <w:rPr>
                      <w:rFonts w:ascii="Times New Roman" w:hAnsi="Times New Roman"/>
                      <w:sz w:val="21"/>
                      <w:szCs w:val="21"/>
                    </w:rPr>
                  </w:pPr>
                </w:p>
              </w:tc>
              <w:tc>
                <w:tcPr>
                  <w:tcW w:w="1110" w:type="dxa"/>
                  <w:vMerge w:val="continue"/>
                  <w:tcBorders>
                    <w:tl2br w:val="nil"/>
                    <w:tr2bl w:val="nil"/>
                  </w:tcBorders>
                  <w:vAlign w:val="center"/>
                </w:tcPr>
                <w:p w14:paraId="4684509F">
                  <w:pPr>
                    <w:pStyle w:val="58"/>
                    <w:spacing w:before="28"/>
                    <w:jc w:val="center"/>
                    <w:rPr>
                      <w:rFonts w:ascii="Times New Roman" w:hAnsi="Times New Roman"/>
                      <w:sz w:val="21"/>
                      <w:szCs w:val="21"/>
                    </w:rPr>
                  </w:pPr>
                </w:p>
              </w:tc>
              <w:tc>
                <w:tcPr>
                  <w:tcW w:w="1005" w:type="dxa"/>
                  <w:vMerge w:val="continue"/>
                  <w:tcBorders>
                    <w:tl2br w:val="nil"/>
                    <w:tr2bl w:val="nil"/>
                  </w:tcBorders>
                  <w:vAlign w:val="center"/>
                </w:tcPr>
                <w:p w14:paraId="6CDD5269">
                  <w:pPr>
                    <w:pStyle w:val="58"/>
                    <w:spacing w:before="28"/>
                    <w:jc w:val="center"/>
                    <w:rPr>
                      <w:rFonts w:ascii="Times New Roman" w:hAnsi="Times New Roman"/>
                      <w:sz w:val="21"/>
                      <w:szCs w:val="21"/>
                    </w:rPr>
                  </w:pPr>
                </w:p>
              </w:tc>
              <w:tc>
                <w:tcPr>
                  <w:tcW w:w="2040" w:type="dxa"/>
                  <w:gridSpan w:val="4"/>
                  <w:tcBorders>
                    <w:tl2br w:val="nil"/>
                    <w:tr2bl w:val="nil"/>
                  </w:tcBorders>
                  <w:vAlign w:val="center"/>
                </w:tcPr>
                <w:p w14:paraId="457F8C2E">
                  <w:pPr>
                    <w:pStyle w:val="58"/>
                    <w:spacing w:before="28"/>
                    <w:jc w:val="center"/>
                    <w:rPr>
                      <w:rFonts w:ascii="Times New Roman" w:hAnsi="Times New Roman"/>
                      <w:sz w:val="21"/>
                      <w:szCs w:val="21"/>
                    </w:rPr>
                  </w:pPr>
                  <w:r>
                    <w:rPr>
                      <w:rFonts w:ascii="Times New Roman" w:hAnsi="Times New Roman"/>
                      <w:sz w:val="21"/>
                      <w:szCs w:val="21"/>
                    </w:rPr>
                    <w:t>环境敏感目标分级</w:t>
                  </w:r>
                </w:p>
              </w:tc>
              <w:tc>
                <w:tcPr>
                  <w:tcW w:w="1206" w:type="dxa"/>
                  <w:gridSpan w:val="4"/>
                  <w:tcBorders>
                    <w:tl2br w:val="nil"/>
                    <w:tr2bl w:val="nil"/>
                  </w:tcBorders>
                  <w:vAlign w:val="center"/>
                </w:tcPr>
                <w:p w14:paraId="670FB82F">
                  <w:pPr>
                    <w:pStyle w:val="58"/>
                    <w:spacing w:before="28"/>
                    <w:jc w:val="center"/>
                    <w:rPr>
                      <w:rFonts w:ascii="Times New Roman" w:hAnsi="Times New Roman"/>
                      <w:sz w:val="21"/>
                      <w:szCs w:val="21"/>
                    </w:rPr>
                  </w:pPr>
                  <w:r>
                    <w:rPr>
                      <w:rFonts w:ascii="Times New Roman" w:hAnsi="Times New Roman"/>
                      <w:sz w:val="21"/>
                      <w:szCs w:val="21"/>
                    </w:rPr>
                    <w:t xml:space="preserve">S1 </w:t>
                  </w:r>
                  <w:r>
                    <w:rPr>
                      <w:rFonts w:ascii="Times New Roman" w:hAnsi="Times New Roman"/>
                      <w:sz w:val="21"/>
                      <w:szCs w:val="21"/>
                    </w:rPr>
                    <w:sym w:font="Wingdings" w:char="00A8"/>
                  </w:r>
                </w:p>
              </w:tc>
              <w:tc>
                <w:tcPr>
                  <w:tcW w:w="1326" w:type="dxa"/>
                  <w:gridSpan w:val="5"/>
                  <w:tcBorders>
                    <w:tl2br w:val="nil"/>
                    <w:tr2bl w:val="nil"/>
                  </w:tcBorders>
                  <w:vAlign w:val="center"/>
                </w:tcPr>
                <w:p w14:paraId="4C670967">
                  <w:pPr>
                    <w:pStyle w:val="58"/>
                    <w:spacing w:before="28"/>
                    <w:jc w:val="center"/>
                    <w:rPr>
                      <w:rFonts w:ascii="Times New Roman" w:hAnsi="Times New Roman"/>
                      <w:sz w:val="21"/>
                      <w:szCs w:val="21"/>
                    </w:rPr>
                  </w:pPr>
                  <w:r>
                    <w:rPr>
                      <w:rFonts w:ascii="Times New Roman" w:hAnsi="Times New Roman"/>
                      <w:sz w:val="21"/>
                      <w:szCs w:val="21"/>
                    </w:rPr>
                    <w:t xml:space="preserve">S2 </w:t>
                  </w:r>
                  <w:r>
                    <w:rPr>
                      <w:rFonts w:ascii="Times New Roman" w:hAnsi="Times New Roman"/>
                      <w:sz w:val="21"/>
                      <w:szCs w:val="21"/>
                    </w:rPr>
                    <w:sym w:font="Wingdings" w:char="00A8"/>
                  </w:r>
                </w:p>
              </w:tc>
              <w:tc>
                <w:tcPr>
                  <w:tcW w:w="1338" w:type="dxa"/>
                  <w:gridSpan w:val="4"/>
                  <w:tcBorders>
                    <w:tl2br w:val="nil"/>
                    <w:tr2bl w:val="nil"/>
                  </w:tcBorders>
                  <w:vAlign w:val="center"/>
                </w:tcPr>
                <w:p w14:paraId="565EE094">
                  <w:pPr>
                    <w:pStyle w:val="58"/>
                    <w:spacing w:before="28"/>
                    <w:jc w:val="center"/>
                    <w:rPr>
                      <w:rFonts w:ascii="Times New Roman" w:hAnsi="Times New Roman"/>
                      <w:sz w:val="21"/>
                      <w:szCs w:val="21"/>
                    </w:rPr>
                  </w:pPr>
                  <w:r>
                    <w:rPr>
                      <w:rFonts w:ascii="Times New Roman" w:hAnsi="Times New Roman"/>
                      <w:sz w:val="21"/>
                      <w:szCs w:val="21"/>
                    </w:rPr>
                    <w:t>S3</w:t>
                  </w:r>
                  <w:r>
                    <w:rPr>
                      <w:rFonts w:hint="eastAsia" w:ascii="Times New Roman" w:hAnsi="Times New Roman"/>
                      <w:sz w:val="21"/>
                      <w:szCs w:val="21"/>
                      <w:lang w:eastAsia="zh-CN"/>
                    </w:rPr>
                    <w:t xml:space="preserve"> </w:t>
                  </w:r>
                  <w:r>
                    <w:rPr>
                      <w:rFonts w:ascii="Times New Roman" w:hAnsi="Times New Roman"/>
                      <w:sz w:val="21"/>
                      <w:szCs w:val="21"/>
                    </w:rPr>
                    <w:sym w:font="Wingdings" w:char="00FE"/>
                  </w:r>
                </w:p>
              </w:tc>
            </w:tr>
            <w:tr w14:paraId="5DF5F0B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2BC3DB1D">
                  <w:pPr>
                    <w:pStyle w:val="58"/>
                    <w:spacing w:before="28"/>
                    <w:jc w:val="center"/>
                    <w:rPr>
                      <w:rFonts w:ascii="Times New Roman" w:hAnsi="Times New Roman"/>
                      <w:sz w:val="21"/>
                      <w:szCs w:val="21"/>
                    </w:rPr>
                  </w:pPr>
                </w:p>
              </w:tc>
              <w:tc>
                <w:tcPr>
                  <w:tcW w:w="1110" w:type="dxa"/>
                  <w:vMerge w:val="continue"/>
                  <w:tcBorders>
                    <w:tl2br w:val="nil"/>
                    <w:tr2bl w:val="nil"/>
                  </w:tcBorders>
                  <w:vAlign w:val="center"/>
                </w:tcPr>
                <w:p w14:paraId="295013B9">
                  <w:pPr>
                    <w:pStyle w:val="58"/>
                    <w:spacing w:before="28"/>
                    <w:jc w:val="center"/>
                    <w:rPr>
                      <w:rFonts w:ascii="Times New Roman" w:hAnsi="Times New Roman"/>
                      <w:sz w:val="21"/>
                      <w:szCs w:val="21"/>
                    </w:rPr>
                  </w:pPr>
                </w:p>
              </w:tc>
              <w:tc>
                <w:tcPr>
                  <w:tcW w:w="1005" w:type="dxa"/>
                  <w:vMerge w:val="restart"/>
                  <w:tcBorders>
                    <w:tl2br w:val="nil"/>
                    <w:tr2bl w:val="nil"/>
                  </w:tcBorders>
                  <w:vAlign w:val="center"/>
                </w:tcPr>
                <w:p w14:paraId="5CF657BE">
                  <w:pPr>
                    <w:pStyle w:val="58"/>
                    <w:spacing w:before="28"/>
                    <w:jc w:val="center"/>
                    <w:rPr>
                      <w:rFonts w:ascii="Times New Roman" w:hAnsi="Times New Roman"/>
                      <w:sz w:val="21"/>
                      <w:szCs w:val="21"/>
                    </w:rPr>
                  </w:pPr>
                  <w:r>
                    <w:rPr>
                      <w:rFonts w:ascii="Times New Roman" w:hAnsi="Times New Roman"/>
                      <w:sz w:val="21"/>
                      <w:szCs w:val="21"/>
                    </w:rPr>
                    <w:t>地下水</w:t>
                  </w:r>
                </w:p>
              </w:tc>
              <w:tc>
                <w:tcPr>
                  <w:tcW w:w="2040" w:type="dxa"/>
                  <w:gridSpan w:val="4"/>
                  <w:tcBorders>
                    <w:tl2br w:val="nil"/>
                    <w:tr2bl w:val="nil"/>
                  </w:tcBorders>
                  <w:vAlign w:val="center"/>
                </w:tcPr>
                <w:p w14:paraId="1EC491B4">
                  <w:pPr>
                    <w:pStyle w:val="58"/>
                    <w:spacing w:before="28"/>
                    <w:jc w:val="center"/>
                    <w:rPr>
                      <w:rFonts w:ascii="Times New Roman" w:hAnsi="Times New Roman"/>
                      <w:sz w:val="21"/>
                      <w:szCs w:val="21"/>
                    </w:rPr>
                  </w:pPr>
                  <w:r>
                    <w:rPr>
                      <w:rFonts w:ascii="Times New Roman" w:hAnsi="Times New Roman"/>
                      <w:sz w:val="21"/>
                      <w:szCs w:val="21"/>
                    </w:rPr>
                    <w:t>地下水功能敏感性</w:t>
                  </w:r>
                </w:p>
              </w:tc>
              <w:tc>
                <w:tcPr>
                  <w:tcW w:w="1206" w:type="dxa"/>
                  <w:gridSpan w:val="4"/>
                  <w:tcBorders>
                    <w:tl2br w:val="nil"/>
                    <w:tr2bl w:val="nil"/>
                  </w:tcBorders>
                  <w:vAlign w:val="center"/>
                </w:tcPr>
                <w:p w14:paraId="59A2585E">
                  <w:pPr>
                    <w:pStyle w:val="58"/>
                    <w:spacing w:before="28"/>
                    <w:jc w:val="center"/>
                    <w:rPr>
                      <w:rFonts w:ascii="Times New Roman" w:hAnsi="Times New Roman"/>
                      <w:sz w:val="21"/>
                      <w:szCs w:val="21"/>
                    </w:rPr>
                  </w:pPr>
                  <w:r>
                    <w:rPr>
                      <w:rFonts w:ascii="Times New Roman" w:hAnsi="Times New Roman"/>
                      <w:sz w:val="21"/>
                      <w:szCs w:val="21"/>
                    </w:rPr>
                    <w:t xml:space="preserve">G1 </w:t>
                  </w:r>
                  <w:r>
                    <w:rPr>
                      <w:rFonts w:ascii="Times New Roman" w:hAnsi="Times New Roman"/>
                      <w:sz w:val="21"/>
                      <w:szCs w:val="21"/>
                    </w:rPr>
                    <w:sym w:font="Wingdings" w:char="00A8"/>
                  </w:r>
                </w:p>
              </w:tc>
              <w:tc>
                <w:tcPr>
                  <w:tcW w:w="1326" w:type="dxa"/>
                  <w:gridSpan w:val="5"/>
                  <w:tcBorders>
                    <w:tl2br w:val="nil"/>
                    <w:tr2bl w:val="nil"/>
                  </w:tcBorders>
                  <w:vAlign w:val="center"/>
                </w:tcPr>
                <w:p w14:paraId="08E3A2B8">
                  <w:pPr>
                    <w:pStyle w:val="58"/>
                    <w:spacing w:before="28"/>
                    <w:jc w:val="center"/>
                    <w:rPr>
                      <w:rFonts w:ascii="Times New Roman" w:hAnsi="Times New Roman"/>
                      <w:sz w:val="21"/>
                      <w:szCs w:val="21"/>
                    </w:rPr>
                  </w:pPr>
                  <w:r>
                    <w:rPr>
                      <w:rFonts w:ascii="Times New Roman" w:hAnsi="Times New Roman"/>
                      <w:sz w:val="21"/>
                      <w:szCs w:val="21"/>
                    </w:rPr>
                    <w:t xml:space="preserve">G2 </w:t>
                  </w:r>
                  <w:r>
                    <w:rPr>
                      <w:rFonts w:ascii="Times New Roman" w:hAnsi="Times New Roman"/>
                      <w:sz w:val="21"/>
                      <w:szCs w:val="21"/>
                    </w:rPr>
                    <w:sym w:font="Wingdings" w:char="00A8"/>
                  </w:r>
                </w:p>
              </w:tc>
              <w:tc>
                <w:tcPr>
                  <w:tcW w:w="1338" w:type="dxa"/>
                  <w:gridSpan w:val="4"/>
                  <w:tcBorders>
                    <w:tl2br w:val="nil"/>
                    <w:tr2bl w:val="nil"/>
                  </w:tcBorders>
                  <w:vAlign w:val="center"/>
                </w:tcPr>
                <w:p w14:paraId="2271CAD1">
                  <w:pPr>
                    <w:pStyle w:val="58"/>
                    <w:spacing w:before="28"/>
                    <w:jc w:val="center"/>
                    <w:rPr>
                      <w:rFonts w:ascii="Times New Roman" w:hAnsi="Times New Roman"/>
                      <w:sz w:val="21"/>
                      <w:szCs w:val="21"/>
                    </w:rPr>
                  </w:pPr>
                  <w:r>
                    <w:rPr>
                      <w:rFonts w:ascii="Times New Roman" w:hAnsi="Times New Roman"/>
                      <w:sz w:val="21"/>
                      <w:szCs w:val="21"/>
                    </w:rPr>
                    <w:t xml:space="preserve">G3 </w:t>
                  </w:r>
                  <w:r>
                    <w:rPr>
                      <w:rFonts w:ascii="Times New Roman" w:hAnsi="Times New Roman"/>
                      <w:sz w:val="21"/>
                      <w:szCs w:val="21"/>
                    </w:rPr>
                    <w:sym w:font="Wingdings" w:char="00FE"/>
                  </w:r>
                </w:p>
              </w:tc>
            </w:tr>
            <w:tr w14:paraId="4514935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0A2D490C">
                  <w:pPr>
                    <w:pStyle w:val="58"/>
                    <w:spacing w:before="28"/>
                    <w:jc w:val="center"/>
                    <w:rPr>
                      <w:rFonts w:ascii="Times New Roman" w:hAnsi="Times New Roman"/>
                      <w:sz w:val="21"/>
                      <w:szCs w:val="21"/>
                    </w:rPr>
                  </w:pPr>
                </w:p>
              </w:tc>
              <w:tc>
                <w:tcPr>
                  <w:tcW w:w="1110" w:type="dxa"/>
                  <w:vMerge w:val="continue"/>
                  <w:tcBorders>
                    <w:tl2br w:val="nil"/>
                    <w:tr2bl w:val="nil"/>
                  </w:tcBorders>
                  <w:vAlign w:val="center"/>
                </w:tcPr>
                <w:p w14:paraId="0D4B44D9">
                  <w:pPr>
                    <w:pStyle w:val="58"/>
                    <w:spacing w:before="28"/>
                    <w:jc w:val="center"/>
                    <w:rPr>
                      <w:rFonts w:ascii="Times New Roman" w:hAnsi="Times New Roman"/>
                      <w:sz w:val="21"/>
                      <w:szCs w:val="21"/>
                    </w:rPr>
                  </w:pPr>
                </w:p>
              </w:tc>
              <w:tc>
                <w:tcPr>
                  <w:tcW w:w="1005" w:type="dxa"/>
                  <w:vMerge w:val="continue"/>
                  <w:tcBorders>
                    <w:tl2br w:val="nil"/>
                    <w:tr2bl w:val="nil"/>
                  </w:tcBorders>
                  <w:vAlign w:val="center"/>
                </w:tcPr>
                <w:p w14:paraId="1783AB8E">
                  <w:pPr>
                    <w:pStyle w:val="58"/>
                    <w:spacing w:before="28"/>
                    <w:jc w:val="center"/>
                    <w:rPr>
                      <w:rFonts w:ascii="Times New Roman" w:hAnsi="Times New Roman"/>
                      <w:sz w:val="21"/>
                      <w:szCs w:val="21"/>
                    </w:rPr>
                  </w:pPr>
                </w:p>
              </w:tc>
              <w:tc>
                <w:tcPr>
                  <w:tcW w:w="2040" w:type="dxa"/>
                  <w:gridSpan w:val="4"/>
                  <w:tcBorders>
                    <w:tl2br w:val="nil"/>
                    <w:tr2bl w:val="nil"/>
                  </w:tcBorders>
                  <w:vAlign w:val="center"/>
                </w:tcPr>
                <w:p w14:paraId="6A33395F">
                  <w:pPr>
                    <w:pStyle w:val="58"/>
                    <w:spacing w:before="28"/>
                    <w:jc w:val="center"/>
                    <w:rPr>
                      <w:rFonts w:ascii="Times New Roman" w:hAnsi="Times New Roman"/>
                      <w:sz w:val="21"/>
                      <w:szCs w:val="21"/>
                    </w:rPr>
                  </w:pPr>
                  <w:r>
                    <w:rPr>
                      <w:rFonts w:ascii="Times New Roman" w:hAnsi="Times New Roman"/>
                      <w:sz w:val="21"/>
                      <w:szCs w:val="21"/>
                    </w:rPr>
                    <w:t>包气带防污性能</w:t>
                  </w:r>
                </w:p>
              </w:tc>
              <w:tc>
                <w:tcPr>
                  <w:tcW w:w="1206" w:type="dxa"/>
                  <w:gridSpan w:val="4"/>
                  <w:tcBorders>
                    <w:tl2br w:val="nil"/>
                    <w:tr2bl w:val="nil"/>
                  </w:tcBorders>
                  <w:vAlign w:val="center"/>
                </w:tcPr>
                <w:p w14:paraId="5BCA6B56">
                  <w:pPr>
                    <w:pStyle w:val="58"/>
                    <w:spacing w:before="28"/>
                    <w:jc w:val="center"/>
                    <w:rPr>
                      <w:rFonts w:ascii="Times New Roman" w:hAnsi="Times New Roman"/>
                      <w:sz w:val="21"/>
                      <w:szCs w:val="21"/>
                    </w:rPr>
                  </w:pPr>
                  <w:r>
                    <w:rPr>
                      <w:rFonts w:ascii="Times New Roman" w:hAnsi="Times New Roman"/>
                      <w:sz w:val="21"/>
                      <w:szCs w:val="21"/>
                    </w:rPr>
                    <w:t xml:space="preserve">D1 </w:t>
                  </w:r>
                  <w:r>
                    <w:rPr>
                      <w:rFonts w:ascii="Times New Roman" w:hAnsi="Times New Roman"/>
                      <w:sz w:val="21"/>
                      <w:szCs w:val="21"/>
                    </w:rPr>
                    <w:sym w:font="Wingdings" w:char="00A8"/>
                  </w:r>
                </w:p>
              </w:tc>
              <w:tc>
                <w:tcPr>
                  <w:tcW w:w="1326" w:type="dxa"/>
                  <w:gridSpan w:val="5"/>
                  <w:tcBorders>
                    <w:tl2br w:val="nil"/>
                    <w:tr2bl w:val="nil"/>
                  </w:tcBorders>
                  <w:vAlign w:val="center"/>
                </w:tcPr>
                <w:p w14:paraId="2A7E824D">
                  <w:pPr>
                    <w:pStyle w:val="58"/>
                    <w:spacing w:before="28"/>
                    <w:jc w:val="center"/>
                    <w:rPr>
                      <w:rFonts w:ascii="Times New Roman" w:hAnsi="Times New Roman"/>
                      <w:sz w:val="21"/>
                      <w:szCs w:val="21"/>
                    </w:rPr>
                  </w:pPr>
                  <w:r>
                    <w:rPr>
                      <w:rFonts w:ascii="Times New Roman" w:hAnsi="Times New Roman"/>
                      <w:sz w:val="21"/>
                      <w:szCs w:val="21"/>
                    </w:rPr>
                    <w:t xml:space="preserve">D2 </w:t>
                  </w:r>
                  <w:r>
                    <w:rPr>
                      <w:rFonts w:ascii="Times New Roman" w:hAnsi="Times New Roman"/>
                      <w:sz w:val="21"/>
                      <w:szCs w:val="21"/>
                    </w:rPr>
                    <w:sym w:font="Wingdings" w:char="00A8"/>
                  </w:r>
                </w:p>
              </w:tc>
              <w:tc>
                <w:tcPr>
                  <w:tcW w:w="1338" w:type="dxa"/>
                  <w:gridSpan w:val="4"/>
                  <w:tcBorders>
                    <w:tl2br w:val="nil"/>
                    <w:tr2bl w:val="nil"/>
                  </w:tcBorders>
                  <w:vAlign w:val="center"/>
                </w:tcPr>
                <w:p w14:paraId="00836354">
                  <w:pPr>
                    <w:pStyle w:val="58"/>
                    <w:spacing w:before="28"/>
                    <w:jc w:val="center"/>
                    <w:rPr>
                      <w:rFonts w:ascii="Times New Roman" w:hAnsi="Times New Roman"/>
                      <w:sz w:val="21"/>
                      <w:szCs w:val="21"/>
                    </w:rPr>
                  </w:pPr>
                  <w:r>
                    <w:rPr>
                      <w:rFonts w:ascii="Times New Roman" w:hAnsi="Times New Roman"/>
                      <w:sz w:val="21"/>
                      <w:szCs w:val="21"/>
                    </w:rPr>
                    <w:t>D3</w:t>
                  </w:r>
                  <w:r>
                    <w:rPr>
                      <w:rFonts w:ascii="Times New Roman" w:hAnsi="Times New Roman"/>
                      <w:sz w:val="21"/>
                      <w:szCs w:val="21"/>
                    </w:rPr>
                    <w:sym w:font="Wingdings" w:char="00FE"/>
                  </w:r>
                </w:p>
              </w:tc>
            </w:tr>
            <w:tr w14:paraId="7B0694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restart"/>
                  <w:tcBorders>
                    <w:tl2br w:val="nil"/>
                    <w:tr2bl w:val="nil"/>
                  </w:tcBorders>
                  <w:vAlign w:val="center"/>
                </w:tcPr>
                <w:p w14:paraId="655C3C66">
                  <w:pPr>
                    <w:pStyle w:val="58"/>
                    <w:spacing w:before="28"/>
                    <w:jc w:val="center"/>
                    <w:rPr>
                      <w:rFonts w:ascii="Times New Roman" w:hAnsi="Times New Roman"/>
                      <w:sz w:val="21"/>
                      <w:szCs w:val="21"/>
                      <w:lang w:eastAsia="zh-CN"/>
                    </w:rPr>
                  </w:pPr>
                  <w:r>
                    <w:rPr>
                      <w:rFonts w:ascii="Times New Roman" w:hAnsi="Times New Roman"/>
                      <w:sz w:val="21"/>
                      <w:szCs w:val="21"/>
                      <w:lang w:eastAsia="zh-CN"/>
                    </w:rPr>
                    <w:t>物质及工艺系统危险性</w:t>
                  </w:r>
                </w:p>
              </w:tc>
              <w:tc>
                <w:tcPr>
                  <w:tcW w:w="1005" w:type="dxa"/>
                  <w:tcBorders>
                    <w:tl2br w:val="nil"/>
                    <w:tr2bl w:val="nil"/>
                  </w:tcBorders>
                  <w:vAlign w:val="center"/>
                </w:tcPr>
                <w:p w14:paraId="48A9455F">
                  <w:pPr>
                    <w:pStyle w:val="58"/>
                    <w:spacing w:before="28"/>
                    <w:jc w:val="center"/>
                    <w:rPr>
                      <w:rFonts w:ascii="Times New Roman" w:hAnsi="Times New Roman"/>
                      <w:sz w:val="21"/>
                      <w:szCs w:val="21"/>
                    </w:rPr>
                  </w:pPr>
                  <w:r>
                    <w:rPr>
                      <w:rFonts w:ascii="Times New Roman" w:hAnsi="Times New Roman"/>
                      <w:sz w:val="21"/>
                      <w:szCs w:val="21"/>
                    </w:rPr>
                    <w:t>Q值</w:t>
                  </w:r>
                </w:p>
              </w:tc>
              <w:tc>
                <w:tcPr>
                  <w:tcW w:w="2040" w:type="dxa"/>
                  <w:gridSpan w:val="4"/>
                  <w:tcBorders>
                    <w:tl2br w:val="nil"/>
                    <w:tr2bl w:val="nil"/>
                  </w:tcBorders>
                  <w:vAlign w:val="center"/>
                </w:tcPr>
                <w:p w14:paraId="6D3CA444">
                  <w:pPr>
                    <w:pStyle w:val="58"/>
                    <w:spacing w:before="28"/>
                    <w:jc w:val="center"/>
                    <w:rPr>
                      <w:rFonts w:ascii="Times New Roman" w:hAnsi="Times New Roman"/>
                      <w:sz w:val="21"/>
                      <w:szCs w:val="21"/>
                    </w:rPr>
                  </w:pPr>
                  <w:r>
                    <w:rPr>
                      <w:rFonts w:ascii="Times New Roman" w:hAnsi="Times New Roman"/>
                      <w:sz w:val="21"/>
                      <w:szCs w:val="21"/>
                    </w:rPr>
                    <w:t xml:space="preserve">Q＜1 </w:t>
                  </w:r>
                  <w:r>
                    <w:rPr>
                      <w:rFonts w:ascii="Times New Roman" w:hAnsi="Times New Roman"/>
                      <w:sz w:val="21"/>
                      <w:szCs w:val="21"/>
                    </w:rPr>
                    <w:sym w:font="Wingdings" w:char="00FE"/>
                  </w:r>
                </w:p>
              </w:tc>
              <w:tc>
                <w:tcPr>
                  <w:tcW w:w="1206" w:type="dxa"/>
                  <w:gridSpan w:val="4"/>
                  <w:tcBorders>
                    <w:tl2br w:val="nil"/>
                    <w:tr2bl w:val="nil"/>
                  </w:tcBorders>
                  <w:vAlign w:val="center"/>
                </w:tcPr>
                <w:p w14:paraId="2AB6548F">
                  <w:pPr>
                    <w:pStyle w:val="58"/>
                    <w:spacing w:before="28"/>
                    <w:jc w:val="center"/>
                    <w:rPr>
                      <w:rFonts w:ascii="Times New Roman" w:hAnsi="Times New Roman"/>
                      <w:sz w:val="21"/>
                      <w:szCs w:val="21"/>
                    </w:rPr>
                  </w:pPr>
                  <w:r>
                    <w:rPr>
                      <w:rFonts w:ascii="Times New Roman" w:hAnsi="Times New Roman"/>
                      <w:sz w:val="21"/>
                      <w:szCs w:val="21"/>
                    </w:rPr>
                    <w:t xml:space="preserve">1≤Q＜10 </w:t>
                  </w:r>
                  <w:r>
                    <w:rPr>
                      <w:rFonts w:ascii="Times New Roman" w:hAnsi="Times New Roman"/>
                      <w:sz w:val="21"/>
                      <w:szCs w:val="21"/>
                    </w:rPr>
                    <w:sym w:font="Wingdings" w:char="00A8"/>
                  </w:r>
                </w:p>
              </w:tc>
              <w:tc>
                <w:tcPr>
                  <w:tcW w:w="1326" w:type="dxa"/>
                  <w:gridSpan w:val="5"/>
                  <w:tcBorders>
                    <w:tl2br w:val="nil"/>
                    <w:tr2bl w:val="nil"/>
                  </w:tcBorders>
                  <w:vAlign w:val="center"/>
                </w:tcPr>
                <w:p w14:paraId="62486A3D">
                  <w:pPr>
                    <w:pStyle w:val="58"/>
                    <w:spacing w:before="28"/>
                    <w:jc w:val="center"/>
                    <w:rPr>
                      <w:rFonts w:ascii="Times New Roman" w:hAnsi="Times New Roman"/>
                      <w:sz w:val="21"/>
                      <w:szCs w:val="21"/>
                    </w:rPr>
                  </w:pPr>
                  <w:r>
                    <w:rPr>
                      <w:rFonts w:ascii="Times New Roman" w:hAnsi="Times New Roman"/>
                      <w:sz w:val="21"/>
                      <w:szCs w:val="21"/>
                    </w:rPr>
                    <w:t xml:space="preserve">10≤Q＜100 </w:t>
                  </w:r>
                  <w:r>
                    <w:rPr>
                      <w:rFonts w:ascii="Times New Roman" w:hAnsi="Times New Roman"/>
                      <w:sz w:val="21"/>
                      <w:szCs w:val="21"/>
                    </w:rPr>
                    <w:sym w:font="Wingdings" w:char="00A8"/>
                  </w:r>
                </w:p>
              </w:tc>
              <w:tc>
                <w:tcPr>
                  <w:tcW w:w="1338" w:type="dxa"/>
                  <w:gridSpan w:val="4"/>
                  <w:tcBorders>
                    <w:tl2br w:val="nil"/>
                    <w:tr2bl w:val="nil"/>
                  </w:tcBorders>
                  <w:vAlign w:val="center"/>
                </w:tcPr>
                <w:p w14:paraId="23512D99">
                  <w:pPr>
                    <w:pStyle w:val="58"/>
                    <w:spacing w:before="28"/>
                    <w:jc w:val="center"/>
                    <w:rPr>
                      <w:rFonts w:ascii="Times New Roman" w:hAnsi="Times New Roman"/>
                      <w:sz w:val="21"/>
                      <w:szCs w:val="21"/>
                    </w:rPr>
                  </w:pPr>
                  <w:r>
                    <w:rPr>
                      <w:rFonts w:ascii="Times New Roman" w:hAnsi="Times New Roman"/>
                      <w:sz w:val="21"/>
                      <w:szCs w:val="21"/>
                    </w:rPr>
                    <w:t xml:space="preserve">Q＞100 </w:t>
                  </w:r>
                  <w:r>
                    <w:rPr>
                      <w:rFonts w:ascii="Times New Roman" w:hAnsi="Times New Roman"/>
                      <w:sz w:val="21"/>
                      <w:szCs w:val="21"/>
                    </w:rPr>
                    <w:sym w:font="Wingdings" w:char="00A8"/>
                  </w:r>
                </w:p>
              </w:tc>
            </w:tr>
            <w:tr w14:paraId="61FA0CD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vAlign w:val="center"/>
                </w:tcPr>
                <w:p w14:paraId="79763E94">
                  <w:pPr>
                    <w:pStyle w:val="58"/>
                    <w:spacing w:before="28"/>
                    <w:jc w:val="center"/>
                    <w:rPr>
                      <w:rFonts w:ascii="Times New Roman" w:hAnsi="Times New Roman"/>
                      <w:sz w:val="21"/>
                      <w:szCs w:val="21"/>
                    </w:rPr>
                  </w:pPr>
                </w:p>
              </w:tc>
              <w:tc>
                <w:tcPr>
                  <w:tcW w:w="1005" w:type="dxa"/>
                  <w:tcBorders>
                    <w:tl2br w:val="nil"/>
                    <w:tr2bl w:val="nil"/>
                  </w:tcBorders>
                  <w:vAlign w:val="center"/>
                </w:tcPr>
                <w:p w14:paraId="5F555CE3">
                  <w:pPr>
                    <w:pStyle w:val="58"/>
                    <w:spacing w:before="28"/>
                    <w:jc w:val="center"/>
                    <w:rPr>
                      <w:rFonts w:ascii="Times New Roman" w:hAnsi="Times New Roman"/>
                      <w:sz w:val="21"/>
                      <w:szCs w:val="21"/>
                    </w:rPr>
                  </w:pPr>
                  <w:r>
                    <w:rPr>
                      <w:rFonts w:ascii="Times New Roman" w:hAnsi="Times New Roman"/>
                      <w:sz w:val="21"/>
                      <w:szCs w:val="21"/>
                    </w:rPr>
                    <w:t>M值</w:t>
                  </w:r>
                </w:p>
              </w:tc>
              <w:tc>
                <w:tcPr>
                  <w:tcW w:w="2040" w:type="dxa"/>
                  <w:gridSpan w:val="4"/>
                  <w:tcBorders>
                    <w:tl2br w:val="nil"/>
                    <w:tr2bl w:val="nil"/>
                  </w:tcBorders>
                  <w:vAlign w:val="center"/>
                </w:tcPr>
                <w:p w14:paraId="0C6A8279">
                  <w:pPr>
                    <w:pStyle w:val="58"/>
                    <w:spacing w:before="28"/>
                    <w:jc w:val="center"/>
                    <w:rPr>
                      <w:rFonts w:ascii="Times New Roman" w:hAnsi="Times New Roman"/>
                      <w:sz w:val="21"/>
                      <w:szCs w:val="21"/>
                    </w:rPr>
                  </w:pPr>
                  <w:r>
                    <w:rPr>
                      <w:rFonts w:ascii="Times New Roman" w:hAnsi="Times New Roman"/>
                      <w:sz w:val="21"/>
                      <w:szCs w:val="21"/>
                    </w:rPr>
                    <w:t xml:space="preserve">M1 </w:t>
                  </w:r>
                  <w:r>
                    <w:rPr>
                      <w:rFonts w:ascii="Times New Roman" w:hAnsi="Times New Roman"/>
                      <w:sz w:val="21"/>
                      <w:szCs w:val="21"/>
                    </w:rPr>
                    <w:sym w:font="Wingdings" w:char="00A8"/>
                  </w:r>
                </w:p>
              </w:tc>
              <w:tc>
                <w:tcPr>
                  <w:tcW w:w="1206" w:type="dxa"/>
                  <w:gridSpan w:val="4"/>
                  <w:tcBorders>
                    <w:tl2br w:val="nil"/>
                    <w:tr2bl w:val="nil"/>
                  </w:tcBorders>
                  <w:vAlign w:val="center"/>
                </w:tcPr>
                <w:p w14:paraId="7F7BFCD0">
                  <w:pPr>
                    <w:pStyle w:val="58"/>
                    <w:spacing w:before="28"/>
                    <w:jc w:val="center"/>
                    <w:rPr>
                      <w:rFonts w:ascii="Times New Roman" w:hAnsi="Times New Roman"/>
                      <w:sz w:val="21"/>
                      <w:szCs w:val="21"/>
                    </w:rPr>
                  </w:pPr>
                  <w:r>
                    <w:rPr>
                      <w:rFonts w:ascii="Times New Roman" w:hAnsi="Times New Roman"/>
                      <w:sz w:val="21"/>
                      <w:szCs w:val="21"/>
                    </w:rPr>
                    <w:t>M2</w:t>
                  </w:r>
                  <w:r>
                    <w:rPr>
                      <w:rFonts w:ascii="Times New Roman" w:hAnsi="Times New Roman"/>
                      <w:sz w:val="21"/>
                      <w:szCs w:val="21"/>
                    </w:rPr>
                    <w:sym w:font="Wingdings" w:char="00A8"/>
                  </w:r>
                </w:p>
              </w:tc>
              <w:tc>
                <w:tcPr>
                  <w:tcW w:w="1326" w:type="dxa"/>
                  <w:gridSpan w:val="5"/>
                  <w:tcBorders>
                    <w:tl2br w:val="nil"/>
                    <w:tr2bl w:val="nil"/>
                  </w:tcBorders>
                  <w:vAlign w:val="center"/>
                </w:tcPr>
                <w:p w14:paraId="61AB49E4">
                  <w:pPr>
                    <w:pStyle w:val="58"/>
                    <w:spacing w:before="28"/>
                    <w:jc w:val="center"/>
                    <w:rPr>
                      <w:rFonts w:ascii="Times New Roman" w:hAnsi="Times New Roman"/>
                      <w:sz w:val="21"/>
                      <w:szCs w:val="21"/>
                    </w:rPr>
                  </w:pPr>
                  <w:r>
                    <w:rPr>
                      <w:rFonts w:ascii="Times New Roman" w:hAnsi="Times New Roman"/>
                      <w:sz w:val="21"/>
                      <w:szCs w:val="21"/>
                    </w:rPr>
                    <w:t>M3</w:t>
                  </w:r>
                  <w:r>
                    <w:rPr>
                      <w:rFonts w:ascii="Times New Roman" w:hAnsi="Times New Roman"/>
                      <w:sz w:val="21"/>
                      <w:szCs w:val="21"/>
                    </w:rPr>
                    <w:sym w:font="Wingdings" w:char="00A8"/>
                  </w:r>
                </w:p>
              </w:tc>
              <w:tc>
                <w:tcPr>
                  <w:tcW w:w="1338" w:type="dxa"/>
                  <w:gridSpan w:val="4"/>
                  <w:tcBorders>
                    <w:tl2br w:val="nil"/>
                    <w:tr2bl w:val="nil"/>
                  </w:tcBorders>
                  <w:vAlign w:val="center"/>
                </w:tcPr>
                <w:p w14:paraId="2E7C51C1">
                  <w:pPr>
                    <w:pStyle w:val="58"/>
                    <w:spacing w:before="28"/>
                    <w:jc w:val="center"/>
                    <w:rPr>
                      <w:rFonts w:ascii="Times New Roman" w:hAnsi="Times New Roman"/>
                      <w:sz w:val="21"/>
                      <w:szCs w:val="21"/>
                    </w:rPr>
                  </w:pPr>
                  <w:r>
                    <w:rPr>
                      <w:rFonts w:ascii="Times New Roman" w:hAnsi="Times New Roman"/>
                      <w:sz w:val="21"/>
                      <w:szCs w:val="21"/>
                    </w:rPr>
                    <w:t>M4</w:t>
                  </w:r>
                  <w:r>
                    <w:rPr>
                      <w:rFonts w:ascii="Times New Roman" w:hAnsi="Times New Roman"/>
                      <w:sz w:val="21"/>
                      <w:szCs w:val="21"/>
                    </w:rPr>
                    <w:sym w:font="Wingdings" w:char="00A8"/>
                  </w:r>
                </w:p>
              </w:tc>
            </w:tr>
            <w:tr w14:paraId="0B71ACB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vAlign w:val="center"/>
                </w:tcPr>
                <w:p w14:paraId="091E5F60">
                  <w:pPr>
                    <w:pStyle w:val="58"/>
                    <w:spacing w:before="28"/>
                    <w:jc w:val="center"/>
                    <w:rPr>
                      <w:rFonts w:ascii="Times New Roman" w:hAnsi="Times New Roman"/>
                      <w:sz w:val="21"/>
                      <w:szCs w:val="21"/>
                    </w:rPr>
                  </w:pPr>
                </w:p>
              </w:tc>
              <w:tc>
                <w:tcPr>
                  <w:tcW w:w="1005" w:type="dxa"/>
                  <w:tcBorders>
                    <w:tl2br w:val="nil"/>
                    <w:tr2bl w:val="nil"/>
                  </w:tcBorders>
                  <w:vAlign w:val="center"/>
                </w:tcPr>
                <w:p w14:paraId="4576B333">
                  <w:pPr>
                    <w:pStyle w:val="58"/>
                    <w:spacing w:before="28"/>
                    <w:jc w:val="center"/>
                    <w:rPr>
                      <w:rFonts w:ascii="Times New Roman" w:hAnsi="Times New Roman"/>
                      <w:sz w:val="21"/>
                      <w:szCs w:val="21"/>
                    </w:rPr>
                  </w:pPr>
                  <w:r>
                    <w:rPr>
                      <w:rFonts w:ascii="Times New Roman" w:hAnsi="Times New Roman"/>
                      <w:sz w:val="21"/>
                      <w:szCs w:val="21"/>
                    </w:rPr>
                    <w:t>P值</w:t>
                  </w:r>
                </w:p>
              </w:tc>
              <w:tc>
                <w:tcPr>
                  <w:tcW w:w="2040" w:type="dxa"/>
                  <w:gridSpan w:val="4"/>
                  <w:tcBorders>
                    <w:tl2br w:val="nil"/>
                    <w:tr2bl w:val="nil"/>
                  </w:tcBorders>
                  <w:vAlign w:val="center"/>
                </w:tcPr>
                <w:p w14:paraId="28BF9315">
                  <w:pPr>
                    <w:pStyle w:val="58"/>
                    <w:spacing w:before="28"/>
                    <w:jc w:val="center"/>
                    <w:rPr>
                      <w:rFonts w:ascii="Times New Roman" w:hAnsi="Times New Roman"/>
                      <w:sz w:val="21"/>
                      <w:szCs w:val="21"/>
                    </w:rPr>
                  </w:pPr>
                  <w:r>
                    <w:rPr>
                      <w:rFonts w:ascii="Times New Roman" w:hAnsi="Times New Roman"/>
                      <w:sz w:val="21"/>
                      <w:szCs w:val="21"/>
                    </w:rPr>
                    <w:t xml:space="preserve">P1 </w:t>
                  </w:r>
                  <w:r>
                    <w:rPr>
                      <w:rFonts w:ascii="Times New Roman" w:hAnsi="Times New Roman"/>
                      <w:sz w:val="21"/>
                      <w:szCs w:val="21"/>
                    </w:rPr>
                    <w:sym w:font="Wingdings" w:char="00A8"/>
                  </w:r>
                </w:p>
              </w:tc>
              <w:tc>
                <w:tcPr>
                  <w:tcW w:w="1206" w:type="dxa"/>
                  <w:gridSpan w:val="4"/>
                  <w:tcBorders>
                    <w:tl2br w:val="nil"/>
                    <w:tr2bl w:val="nil"/>
                  </w:tcBorders>
                  <w:vAlign w:val="center"/>
                </w:tcPr>
                <w:p w14:paraId="0FECC05E">
                  <w:pPr>
                    <w:pStyle w:val="58"/>
                    <w:spacing w:before="28"/>
                    <w:jc w:val="center"/>
                    <w:rPr>
                      <w:rFonts w:ascii="Times New Roman" w:hAnsi="Times New Roman"/>
                      <w:sz w:val="21"/>
                      <w:szCs w:val="21"/>
                    </w:rPr>
                  </w:pPr>
                  <w:r>
                    <w:rPr>
                      <w:rFonts w:ascii="Times New Roman" w:hAnsi="Times New Roman"/>
                      <w:sz w:val="21"/>
                      <w:szCs w:val="21"/>
                    </w:rPr>
                    <w:t xml:space="preserve">P2 </w:t>
                  </w:r>
                  <w:r>
                    <w:rPr>
                      <w:rFonts w:ascii="Times New Roman" w:hAnsi="Times New Roman"/>
                      <w:sz w:val="21"/>
                      <w:szCs w:val="21"/>
                    </w:rPr>
                    <w:sym w:font="Wingdings" w:char="00A8"/>
                  </w:r>
                </w:p>
              </w:tc>
              <w:tc>
                <w:tcPr>
                  <w:tcW w:w="1326" w:type="dxa"/>
                  <w:gridSpan w:val="5"/>
                  <w:tcBorders>
                    <w:tl2br w:val="nil"/>
                    <w:tr2bl w:val="nil"/>
                  </w:tcBorders>
                  <w:vAlign w:val="center"/>
                </w:tcPr>
                <w:p w14:paraId="577C7C45">
                  <w:pPr>
                    <w:pStyle w:val="58"/>
                    <w:spacing w:before="28"/>
                    <w:jc w:val="center"/>
                    <w:rPr>
                      <w:rFonts w:ascii="Times New Roman" w:hAnsi="Times New Roman"/>
                      <w:sz w:val="21"/>
                      <w:szCs w:val="21"/>
                    </w:rPr>
                  </w:pPr>
                  <w:r>
                    <w:rPr>
                      <w:rFonts w:ascii="Times New Roman" w:hAnsi="Times New Roman"/>
                      <w:sz w:val="21"/>
                      <w:szCs w:val="21"/>
                    </w:rPr>
                    <w:t xml:space="preserve">P3 </w:t>
                  </w:r>
                  <w:r>
                    <w:rPr>
                      <w:rFonts w:ascii="Times New Roman" w:hAnsi="Times New Roman"/>
                      <w:sz w:val="21"/>
                      <w:szCs w:val="21"/>
                    </w:rPr>
                    <w:sym w:font="Wingdings" w:char="00A8"/>
                  </w:r>
                </w:p>
              </w:tc>
              <w:tc>
                <w:tcPr>
                  <w:tcW w:w="1338" w:type="dxa"/>
                  <w:gridSpan w:val="4"/>
                  <w:tcBorders>
                    <w:tl2br w:val="nil"/>
                    <w:tr2bl w:val="nil"/>
                  </w:tcBorders>
                  <w:vAlign w:val="center"/>
                </w:tcPr>
                <w:p w14:paraId="4F7064CA">
                  <w:pPr>
                    <w:pStyle w:val="58"/>
                    <w:spacing w:before="28"/>
                    <w:jc w:val="center"/>
                    <w:rPr>
                      <w:rFonts w:ascii="Times New Roman" w:hAnsi="Times New Roman"/>
                      <w:sz w:val="21"/>
                      <w:szCs w:val="21"/>
                    </w:rPr>
                  </w:pPr>
                  <w:r>
                    <w:rPr>
                      <w:rFonts w:ascii="Times New Roman" w:hAnsi="Times New Roman"/>
                      <w:sz w:val="21"/>
                      <w:szCs w:val="21"/>
                    </w:rPr>
                    <w:t xml:space="preserve">P4 </w:t>
                  </w:r>
                  <w:r>
                    <w:rPr>
                      <w:rFonts w:ascii="Times New Roman" w:hAnsi="Times New Roman"/>
                      <w:sz w:val="21"/>
                      <w:szCs w:val="21"/>
                    </w:rPr>
                    <w:sym w:font="Wingdings" w:char="00A8"/>
                  </w:r>
                </w:p>
              </w:tc>
            </w:tr>
            <w:tr w14:paraId="42AB1F2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restart"/>
                  <w:tcBorders>
                    <w:tl2br w:val="nil"/>
                    <w:tr2bl w:val="nil"/>
                  </w:tcBorders>
                  <w:vAlign w:val="center"/>
                </w:tcPr>
                <w:p w14:paraId="717E89AD">
                  <w:pPr>
                    <w:pStyle w:val="58"/>
                    <w:spacing w:before="28"/>
                    <w:jc w:val="center"/>
                    <w:rPr>
                      <w:rFonts w:ascii="Times New Roman" w:hAnsi="Times New Roman"/>
                      <w:sz w:val="21"/>
                      <w:szCs w:val="21"/>
                    </w:rPr>
                  </w:pPr>
                  <w:r>
                    <w:rPr>
                      <w:rFonts w:ascii="Times New Roman" w:hAnsi="Times New Roman"/>
                      <w:sz w:val="21"/>
                      <w:szCs w:val="21"/>
                    </w:rPr>
                    <w:t>环境敏感</w:t>
                  </w:r>
                </w:p>
                <w:p w14:paraId="37F08FD2">
                  <w:pPr>
                    <w:pStyle w:val="58"/>
                    <w:spacing w:before="28"/>
                    <w:jc w:val="center"/>
                    <w:rPr>
                      <w:rFonts w:ascii="Times New Roman" w:hAnsi="Times New Roman"/>
                      <w:sz w:val="21"/>
                      <w:szCs w:val="21"/>
                    </w:rPr>
                  </w:pPr>
                  <w:r>
                    <w:rPr>
                      <w:rFonts w:ascii="Times New Roman" w:hAnsi="Times New Roman"/>
                      <w:sz w:val="21"/>
                      <w:szCs w:val="21"/>
                    </w:rPr>
                    <w:t>程度</w:t>
                  </w:r>
                </w:p>
              </w:tc>
              <w:tc>
                <w:tcPr>
                  <w:tcW w:w="1005" w:type="dxa"/>
                  <w:tcBorders>
                    <w:tl2br w:val="nil"/>
                    <w:tr2bl w:val="nil"/>
                  </w:tcBorders>
                  <w:vAlign w:val="center"/>
                </w:tcPr>
                <w:p w14:paraId="1A5E7BC0">
                  <w:pPr>
                    <w:pStyle w:val="58"/>
                    <w:spacing w:before="28"/>
                    <w:jc w:val="center"/>
                    <w:rPr>
                      <w:rFonts w:ascii="Times New Roman" w:hAnsi="Times New Roman"/>
                      <w:sz w:val="21"/>
                      <w:szCs w:val="21"/>
                    </w:rPr>
                  </w:pPr>
                  <w:r>
                    <w:rPr>
                      <w:rFonts w:ascii="Times New Roman" w:hAnsi="Times New Roman"/>
                      <w:sz w:val="21"/>
                      <w:szCs w:val="21"/>
                    </w:rPr>
                    <w:t>大气</w:t>
                  </w:r>
                </w:p>
              </w:tc>
              <w:tc>
                <w:tcPr>
                  <w:tcW w:w="2363" w:type="dxa"/>
                  <w:gridSpan w:val="6"/>
                  <w:tcBorders>
                    <w:tl2br w:val="nil"/>
                    <w:tr2bl w:val="nil"/>
                  </w:tcBorders>
                  <w:vAlign w:val="center"/>
                </w:tcPr>
                <w:p w14:paraId="54CCFB5F">
                  <w:pPr>
                    <w:pStyle w:val="58"/>
                    <w:spacing w:before="28"/>
                    <w:jc w:val="center"/>
                    <w:rPr>
                      <w:rFonts w:ascii="Times New Roman" w:hAnsi="Times New Roman"/>
                      <w:sz w:val="21"/>
                      <w:szCs w:val="21"/>
                      <w:lang w:eastAsia="zh-CN"/>
                    </w:rPr>
                  </w:pPr>
                  <w:r>
                    <w:rPr>
                      <w:rFonts w:ascii="Times New Roman" w:hAnsi="Times New Roman"/>
                      <w:sz w:val="21"/>
                      <w:szCs w:val="21"/>
                    </w:rPr>
                    <w:t>E1</w:t>
                  </w:r>
                  <w:r>
                    <w:rPr>
                      <w:rFonts w:hint="eastAsia" w:ascii="Times New Roman" w:hAnsi="Times New Roman"/>
                      <w:sz w:val="21"/>
                      <w:szCs w:val="21"/>
                      <w:lang w:eastAsia="zh-CN"/>
                    </w:rPr>
                    <w:t xml:space="preserve"> </w:t>
                  </w:r>
                  <w:r>
                    <w:rPr>
                      <w:rFonts w:ascii="Times New Roman" w:hAnsi="Times New Roman"/>
                      <w:sz w:val="21"/>
                      <w:szCs w:val="21"/>
                    </w:rPr>
                    <w:sym w:font="Wingdings" w:char="00A8"/>
                  </w:r>
                </w:p>
              </w:tc>
              <w:tc>
                <w:tcPr>
                  <w:tcW w:w="1768" w:type="dxa"/>
                  <w:gridSpan w:val="5"/>
                  <w:tcBorders>
                    <w:tl2br w:val="nil"/>
                    <w:tr2bl w:val="nil"/>
                  </w:tcBorders>
                  <w:vAlign w:val="center"/>
                </w:tcPr>
                <w:p w14:paraId="2AC7F01C">
                  <w:pPr>
                    <w:pStyle w:val="58"/>
                    <w:spacing w:before="28"/>
                    <w:jc w:val="center"/>
                    <w:rPr>
                      <w:rFonts w:ascii="Times New Roman" w:hAnsi="Times New Roman"/>
                      <w:sz w:val="21"/>
                      <w:szCs w:val="21"/>
                    </w:rPr>
                  </w:pPr>
                  <w:r>
                    <w:rPr>
                      <w:rFonts w:ascii="Times New Roman" w:hAnsi="Times New Roman"/>
                      <w:sz w:val="21"/>
                      <w:szCs w:val="21"/>
                    </w:rPr>
                    <w:t xml:space="preserve">E2 </w:t>
                  </w:r>
                  <w:r>
                    <w:rPr>
                      <w:rFonts w:ascii="Times New Roman" w:hAnsi="Times New Roman"/>
                      <w:sz w:val="21"/>
                      <w:szCs w:val="21"/>
                    </w:rPr>
                    <w:sym w:font="Wingdings" w:char="00A8"/>
                  </w:r>
                </w:p>
              </w:tc>
              <w:tc>
                <w:tcPr>
                  <w:tcW w:w="1779" w:type="dxa"/>
                  <w:gridSpan w:val="6"/>
                  <w:tcBorders>
                    <w:tl2br w:val="nil"/>
                    <w:tr2bl w:val="nil"/>
                  </w:tcBorders>
                  <w:vAlign w:val="center"/>
                </w:tcPr>
                <w:p w14:paraId="5B1E9CDB">
                  <w:pPr>
                    <w:pStyle w:val="58"/>
                    <w:spacing w:before="28"/>
                    <w:jc w:val="center"/>
                    <w:rPr>
                      <w:rFonts w:ascii="Times New Roman" w:hAnsi="Times New Roman"/>
                      <w:sz w:val="21"/>
                      <w:szCs w:val="21"/>
                    </w:rPr>
                  </w:pPr>
                  <w:r>
                    <w:rPr>
                      <w:rFonts w:ascii="Times New Roman" w:hAnsi="Times New Roman"/>
                      <w:sz w:val="21"/>
                      <w:szCs w:val="21"/>
                    </w:rPr>
                    <w:t xml:space="preserve">E3 </w:t>
                  </w:r>
                  <w:r>
                    <w:rPr>
                      <w:rFonts w:ascii="Times New Roman" w:hAnsi="Times New Roman"/>
                      <w:sz w:val="21"/>
                      <w:szCs w:val="21"/>
                    </w:rPr>
                    <w:sym w:font="Wingdings" w:char="00FE"/>
                  </w:r>
                </w:p>
              </w:tc>
            </w:tr>
            <w:tr w14:paraId="3EC3D46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vAlign w:val="center"/>
                </w:tcPr>
                <w:p w14:paraId="2C45F894">
                  <w:pPr>
                    <w:jc w:val="center"/>
                    <w:rPr>
                      <w:szCs w:val="21"/>
                    </w:rPr>
                  </w:pPr>
                </w:p>
              </w:tc>
              <w:tc>
                <w:tcPr>
                  <w:tcW w:w="1005" w:type="dxa"/>
                  <w:tcBorders>
                    <w:tl2br w:val="nil"/>
                    <w:tr2bl w:val="nil"/>
                  </w:tcBorders>
                  <w:vAlign w:val="center"/>
                </w:tcPr>
                <w:p w14:paraId="276A8075">
                  <w:pPr>
                    <w:pStyle w:val="58"/>
                    <w:spacing w:before="28"/>
                    <w:jc w:val="center"/>
                    <w:rPr>
                      <w:rFonts w:ascii="Times New Roman" w:hAnsi="Times New Roman"/>
                      <w:sz w:val="21"/>
                      <w:szCs w:val="21"/>
                    </w:rPr>
                  </w:pPr>
                  <w:r>
                    <w:rPr>
                      <w:rFonts w:ascii="Times New Roman" w:hAnsi="Times New Roman"/>
                      <w:sz w:val="21"/>
                      <w:szCs w:val="21"/>
                    </w:rPr>
                    <w:t>地表水</w:t>
                  </w:r>
                </w:p>
              </w:tc>
              <w:tc>
                <w:tcPr>
                  <w:tcW w:w="2363" w:type="dxa"/>
                  <w:gridSpan w:val="6"/>
                  <w:tcBorders>
                    <w:tl2br w:val="nil"/>
                    <w:tr2bl w:val="nil"/>
                  </w:tcBorders>
                  <w:vAlign w:val="center"/>
                </w:tcPr>
                <w:p w14:paraId="4E54D5A1">
                  <w:pPr>
                    <w:pStyle w:val="58"/>
                    <w:spacing w:before="28"/>
                    <w:jc w:val="center"/>
                    <w:rPr>
                      <w:rFonts w:ascii="Times New Roman" w:hAnsi="Times New Roman"/>
                      <w:sz w:val="21"/>
                      <w:szCs w:val="21"/>
                    </w:rPr>
                  </w:pPr>
                  <w:r>
                    <w:rPr>
                      <w:rFonts w:ascii="Times New Roman" w:hAnsi="Times New Roman"/>
                      <w:sz w:val="21"/>
                      <w:szCs w:val="21"/>
                    </w:rPr>
                    <w:t xml:space="preserve">E1 </w:t>
                  </w:r>
                  <w:r>
                    <w:rPr>
                      <w:rFonts w:ascii="Times New Roman" w:hAnsi="Times New Roman"/>
                      <w:sz w:val="21"/>
                      <w:szCs w:val="21"/>
                    </w:rPr>
                    <w:sym w:font="Wingdings" w:char="00A8"/>
                  </w:r>
                </w:p>
              </w:tc>
              <w:tc>
                <w:tcPr>
                  <w:tcW w:w="1768" w:type="dxa"/>
                  <w:gridSpan w:val="5"/>
                  <w:tcBorders>
                    <w:tl2br w:val="nil"/>
                    <w:tr2bl w:val="nil"/>
                  </w:tcBorders>
                  <w:vAlign w:val="center"/>
                </w:tcPr>
                <w:p w14:paraId="112A6751">
                  <w:pPr>
                    <w:pStyle w:val="58"/>
                    <w:spacing w:before="28"/>
                    <w:jc w:val="center"/>
                    <w:rPr>
                      <w:rFonts w:ascii="Times New Roman" w:hAnsi="Times New Roman"/>
                      <w:sz w:val="21"/>
                      <w:szCs w:val="21"/>
                    </w:rPr>
                  </w:pPr>
                  <w:r>
                    <w:rPr>
                      <w:rFonts w:ascii="Times New Roman" w:hAnsi="Times New Roman"/>
                      <w:sz w:val="21"/>
                      <w:szCs w:val="21"/>
                    </w:rPr>
                    <w:t>E2</w:t>
                  </w:r>
                  <w:r>
                    <w:rPr>
                      <w:rFonts w:hint="eastAsia" w:ascii="Times New Roman" w:hAnsi="Times New Roman"/>
                      <w:sz w:val="21"/>
                      <w:szCs w:val="21"/>
                      <w:lang w:eastAsia="zh-CN"/>
                    </w:rPr>
                    <w:t xml:space="preserve"> </w:t>
                  </w:r>
                  <w:r>
                    <w:rPr>
                      <w:rFonts w:ascii="Times New Roman" w:hAnsi="Times New Roman"/>
                      <w:sz w:val="21"/>
                      <w:szCs w:val="21"/>
                    </w:rPr>
                    <w:sym w:font="Wingdings" w:char="00A8"/>
                  </w:r>
                </w:p>
              </w:tc>
              <w:tc>
                <w:tcPr>
                  <w:tcW w:w="1779" w:type="dxa"/>
                  <w:gridSpan w:val="6"/>
                  <w:tcBorders>
                    <w:tl2br w:val="nil"/>
                    <w:tr2bl w:val="nil"/>
                  </w:tcBorders>
                  <w:vAlign w:val="center"/>
                </w:tcPr>
                <w:p w14:paraId="1368C3DE">
                  <w:pPr>
                    <w:pStyle w:val="58"/>
                    <w:spacing w:before="28"/>
                    <w:jc w:val="center"/>
                    <w:rPr>
                      <w:rFonts w:ascii="Times New Roman" w:hAnsi="Times New Roman"/>
                      <w:sz w:val="21"/>
                      <w:szCs w:val="21"/>
                    </w:rPr>
                  </w:pPr>
                  <w:r>
                    <w:rPr>
                      <w:rFonts w:ascii="Times New Roman" w:hAnsi="Times New Roman"/>
                      <w:sz w:val="21"/>
                      <w:szCs w:val="21"/>
                    </w:rPr>
                    <w:t>E3</w:t>
                  </w:r>
                  <w:r>
                    <w:rPr>
                      <w:rFonts w:hint="eastAsia" w:ascii="Times New Roman" w:hAnsi="Times New Roman"/>
                      <w:sz w:val="21"/>
                      <w:szCs w:val="21"/>
                      <w:lang w:eastAsia="zh-CN"/>
                    </w:rPr>
                    <w:t xml:space="preserve"> </w:t>
                  </w:r>
                  <w:r>
                    <w:rPr>
                      <w:rFonts w:ascii="Times New Roman" w:hAnsi="Times New Roman"/>
                      <w:sz w:val="21"/>
                      <w:szCs w:val="21"/>
                    </w:rPr>
                    <w:sym w:font="Wingdings" w:char="00FE"/>
                  </w:r>
                </w:p>
              </w:tc>
            </w:tr>
            <w:tr w14:paraId="60D2987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vAlign w:val="center"/>
                </w:tcPr>
                <w:p w14:paraId="495FC7F2">
                  <w:pPr>
                    <w:jc w:val="center"/>
                    <w:rPr>
                      <w:szCs w:val="21"/>
                    </w:rPr>
                  </w:pPr>
                </w:p>
              </w:tc>
              <w:tc>
                <w:tcPr>
                  <w:tcW w:w="1005" w:type="dxa"/>
                  <w:tcBorders>
                    <w:tl2br w:val="nil"/>
                    <w:tr2bl w:val="nil"/>
                  </w:tcBorders>
                  <w:vAlign w:val="center"/>
                </w:tcPr>
                <w:p w14:paraId="69C57D59">
                  <w:pPr>
                    <w:pStyle w:val="58"/>
                    <w:spacing w:before="28"/>
                    <w:jc w:val="center"/>
                    <w:rPr>
                      <w:rFonts w:ascii="Times New Roman" w:hAnsi="Times New Roman"/>
                      <w:sz w:val="21"/>
                      <w:szCs w:val="21"/>
                    </w:rPr>
                  </w:pPr>
                  <w:r>
                    <w:rPr>
                      <w:rFonts w:ascii="Times New Roman" w:hAnsi="Times New Roman"/>
                      <w:sz w:val="21"/>
                      <w:szCs w:val="21"/>
                    </w:rPr>
                    <w:t>地下水</w:t>
                  </w:r>
                </w:p>
              </w:tc>
              <w:tc>
                <w:tcPr>
                  <w:tcW w:w="2363" w:type="dxa"/>
                  <w:gridSpan w:val="6"/>
                  <w:tcBorders>
                    <w:tl2br w:val="nil"/>
                    <w:tr2bl w:val="nil"/>
                  </w:tcBorders>
                  <w:vAlign w:val="center"/>
                </w:tcPr>
                <w:p w14:paraId="093F8ED0">
                  <w:pPr>
                    <w:pStyle w:val="58"/>
                    <w:spacing w:before="28"/>
                    <w:jc w:val="center"/>
                    <w:rPr>
                      <w:rFonts w:ascii="Times New Roman" w:hAnsi="Times New Roman"/>
                      <w:sz w:val="21"/>
                      <w:szCs w:val="21"/>
                    </w:rPr>
                  </w:pPr>
                  <w:r>
                    <w:rPr>
                      <w:rFonts w:ascii="Times New Roman" w:hAnsi="Times New Roman"/>
                      <w:sz w:val="21"/>
                      <w:szCs w:val="21"/>
                    </w:rPr>
                    <w:t>E1</w:t>
                  </w:r>
                  <w:r>
                    <w:rPr>
                      <w:rFonts w:hint="eastAsia" w:ascii="Times New Roman" w:hAnsi="Times New Roman"/>
                      <w:sz w:val="21"/>
                      <w:szCs w:val="21"/>
                      <w:lang w:eastAsia="zh-CN"/>
                    </w:rPr>
                    <w:t xml:space="preserve"> </w:t>
                  </w:r>
                  <w:r>
                    <w:rPr>
                      <w:rFonts w:ascii="Times New Roman" w:hAnsi="Times New Roman"/>
                      <w:sz w:val="21"/>
                      <w:szCs w:val="21"/>
                    </w:rPr>
                    <w:sym w:font="Wingdings" w:char="00A8"/>
                  </w:r>
                </w:p>
              </w:tc>
              <w:tc>
                <w:tcPr>
                  <w:tcW w:w="1768" w:type="dxa"/>
                  <w:gridSpan w:val="5"/>
                  <w:tcBorders>
                    <w:tl2br w:val="nil"/>
                    <w:tr2bl w:val="nil"/>
                  </w:tcBorders>
                  <w:vAlign w:val="center"/>
                </w:tcPr>
                <w:p w14:paraId="1B7A483A">
                  <w:pPr>
                    <w:pStyle w:val="58"/>
                    <w:spacing w:before="28"/>
                    <w:jc w:val="center"/>
                    <w:rPr>
                      <w:rFonts w:ascii="Times New Roman" w:hAnsi="Times New Roman"/>
                      <w:sz w:val="21"/>
                      <w:szCs w:val="21"/>
                    </w:rPr>
                  </w:pPr>
                  <w:r>
                    <w:rPr>
                      <w:rFonts w:ascii="Times New Roman" w:hAnsi="Times New Roman"/>
                      <w:sz w:val="21"/>
                      <w:szCs w:val="21"/>
                    </w:rPr>
                    <w:t xml:space="preserve">E2 </w:t>
                  </w:r>
                  <w:r>
                    <w:rPr>
                      <w:rFonts w:ascii="Times New Roman" w:hAnsi="Times New Roman"/>
                      <w:sz w:val="21"/>
                      <w:szCs w:val="21"/>
                    </w:rPr>
                    <w:sym w:font="Wingdings" w:char="00A8"/>
                  </w:r>
                </w:p>
              </w:tc>
              <w:tc>
                <w:tcPr>
                  <w:tcW w:w="1779" w:type="dxa"/>
                  <w:gridSpan w:val="6"/>
                  <w:tcBorders>
                    <w:tl2br w:val="nil"/>
                    <w:tr2bl w:val="nil"/>
                  </w:tcBorders>
                  <w:vAlign w:val="center"/>
                </w:tcPr>
                <w:p w14:paraId="7FBDEC51">
                  <w:pPr>
                    <w:pStyle w:val="58"/>
                    <w:spacing w:before="28"/>
                    <w:jc w:val="center"/>
                    <w:rPr>
                      <w:rFonts w:ascii="Times New Roman" w:hAnsi="Times New Roman"/>
                      <w:sz w:val="21"/>
                      <w:szCs w:val="21"/>
                    </w:rPr>
                  </w:pPr>
                  <w:r>
                    <w:rPr>
                      <w:rFonts w:ascii="Times New Roman" w:hAnsi="Times New Roman"/>
                      <w:sz w:val="21"/>
                      <w:szCs w:val="21"/>
                    </w:rPr>
                    <w:t>E3</w:t>
                  </w:r>
                  <w:r>
                    <w:rPr>
                      <w:rFonts w:hint="eastAsia" w:ascii="Times New Roman" w:hAnsi="Times New Roman"/>
                      <w:sz w:val="21"/>
                      <w:szCs w:val="21"/>
                      <w:lang w:eastAsia="zh-CN"/>
                    </w:rPr>
                    <w:t xml:space="preserve"> </w:t>
                  </w:r>
                  <w:r>
                    <w:rPr>
                      <w:rFonts w:ascii="Times New Roman" w:hAnsi="Times New Roman"/>
                      <w:sz w:val="21"/>
                      <w:szCs w:val="21"/>
                    </w:rPr>
                    <w:sym w:font="Wingdings" w:char="00FE"/>
                  </w:r>
                </w:p>
              </w:tc>
            </w:tr>
            <w:tr w14:paraId="670E577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vAlign w:val="center"/>
                </w:tcPr>
                <w:p w14:paraId="22A70FA9">
                  <w:pPr>
                    <w:pStyle w:val="58"/>
                    <w:spacing w:before="28"/>
                    <w:jc w:val="center"/>
                    <w:rPr>
                      <w:rFonts w:ascii="Times New Roman" w:hAnsi="Times New Roman"/>
                      <w:sz w:val="21"/>
                      <w:szCs w:val="21"/>
                    </w:rPr>
                  </w:pPr>
                  <w:r>
                    <w:rPr>
                      <w:rFonts w:ascii="Times New Roman" w:hAnsi="Times New Roman"/>
                      <w:sz w:val="21"/>
                      <w:szCs w:val="21"/>
                    </w:rPr>
                    <w:t>环境风险潜势</w:t>
                  </w:r>
                </w:p>
              </w:tc>
              <w:tc>
                <w:tcPr>
                  <w:tcW w:w="1890" w:type="dxa"/>
                  <w:gridSpan w:val="2"/>
                  <w:tcBorders>
                    <w:tl2br w:val="nil"/>
                    <w:tr2bl w:val="nil"/>
                  </w:tcBorders>
                  <w:vAlign w:val="center"/>
                </w:tcPr>
                <w:p w14:paraId="1D8CA84B">
                  <w:pPr>
                    <w:pStyle w:val="58"/>
                    <w:spacing w:before="28"/>
                    <w:jc w:val="center"/>
                    <w:rPr>
                      <w:rFonts w:ascii="Times New Roman" w:hAnsi="Times New Roman"/>
                      <w:sz w:val="21"/>
                      <w:szCs w:val="21"/>
                    </w:rPr>
                  </w:pPr>
                  <w:r>
                    <w:rPr>
                      <w:rFonts w:ascii="Times New Roman" w:hAnsi="Times New Roman"/>
                      <w:sz w:val="21"/>
                      <w:szCs w:val="21"/>
                    </w:rPr>
                    <w:t>Ⅳ+</w:t>
                  </w:r>
                  <w:r>
                    <w:rPr>
                      <w:rFonts w:ascii="Times New Roman" w:hAnsi="Times New Roman"/>
                      <w:sz w:val="21"/>
                      <w:szCs w:val="21"/>
                    </w:rPr>
                    <w:sym w:font="Wingdings" w:char="00A8"/>
                  </w:r>
                </w:p>
              </w:tc>
              <w:tc>
                <w:tcPr>
                  <w:tcW w:w="1253" w:type="dxa"/>
                  <w:gridSpan w:val="4"/>
                  <w:tcBorders>
                    <w:tl2br w:val="nil"/>
                    <w:tr2bl w:val="nil"/>
                  </w:tcBorders>
                  <w:vAlign w:val="center"/>
                </w:tcPr>
                <w:p w14:paraId="480249EB">
                  <w:pPr>
                    <w:pStyle w:val="58"/>
                    <w:spacing w:before="28"/>
                    <w:jc w:val="center"/>
                    <w:rPr>
                      <w:rFonts w:ascii="Times New Roman" w:hAnsi="Times New Roman"/>
                      <w:sz w:val="21"/>
                      <w:szCs w:val="21"/>
                    </w:rPr>
                  </w:pPr>
                  <w:r>
                    <w:rPr>
                      <w:rFonts w:ascii="Times New Roman" w:hAnsi="Times New Roman"/>
                      <w:sz w:val="21"/>
                      <w:szCs w:val="21"/>
                    </w:rPr>
                    <w:t xml:space="preserve">Ⅳ </w:t>
                  </w:r>
                  <w:r>
                    <w:rPr>
                      <w:rFonts w:ascii="Times New Roman" w:hAnsi="Times New Roman"/>
                      <w:sz w:val="21"/>
                      <w:szCs w:val="21"/>
                    </w:rPr>
                    <w:sym w:font="Wingdings" w:char="00A8"/>
                  </w:r>
                </w:p>
              </w:tc>
              <w:tc>
                <w:tcPr>
                  <w:tcW w:w="1254" w:type="dxa"/>
                  <w:gridSpan w:val="4"/>
                  <w:tcBorders>
                    <w:tl2br w:val="nil"/>
                    <w:tr2bl w:val="nil"/>
                  </w:tcBorders>
                  <w:vAlign w:val="center"/>
                </w:tcPr>
                <w:p w14:paraId="385279AB">
                  <w:pPr>
                    <w:pStyle w:val="58"/>
                    <w:spacing w:before="28"/>
                    <w:jc w:val="center"/>
                    <w:rPr>
                      <w:rFonts w:ascii="Times New Roman" w:hAnsi="Times New Roman"/>
                      <w:sz w:val="21"/>
                      <w:szCs w:val="21"/>
                    </w:rPr>
                  </w:pPr>
                  <w:r>
                    <w:rPr>
                      <w:rFonts w:ascii="Times New Roman" w:hAnsi="Times New Roman"/>
                      <w:sz w:val="21"/>
                      <w:szCs w:val="21"/>
                    </w:rPr>
                    <w:t xml:space="preserve">Ⅲ </w:t>
                  </w:r>
                  <w:r>
                    <w:rPr>
                      <w:rFonts w:ascii="Times New Roman" w:hAnsi="Times New Roman"/>
                      <w:sz w:val="21"/>
                      <w:szCs w:val="21"/>
                    </w:rPr>
                    <w:sym w:font="Wingdings" w:char="00A8"/>
                  </w:r>
                </w:p>
              </w:tc>
              <w:tc>
                <w:tcPr>
                  <w:tcW w:w="1254" w:type="dxa"/>
                  <w:gridSpan w:val="6"/>
                  <w:tcBorders>
                    <w:tl2br w:val="nil"/>
                    <w:tr2bl w:val="nil"/>
                  </w:tcBorders>
                  <w:vAlign w:val="center"/>
                </w:tcPr>
                <w:p w14:paraId="265C3055">
                  <w:pPr>
                    <w:pStyle w:val="58"/>
                    <w:spacing w:before="28"/>
                    <w:jc w:val="center"/>
                    <w:rPr>
                      <w:rFonts w:ascii="Times New Roman" w:hAnsi="Times New Roman"/>
                      <w:sz w:val="21"/>
                      <w:szCs w:val="21"/>
                    </w:rPr>
                  </w:pPr>
                  <w:r>
                    <w:rPr>
                      <w:rFonts w:ascii="Times New Roman" w:hAnsi="Times New Roman"/>
                      <w:sz w:val="21"/>
                      <w:szCs w:val="21"/>
                    </w:rPr>
                    <w:t>Ⅱ</w:t>
                  </w:r>
                  <w:r>
                    <w:rPr>
                      <w:rFonts w:ascii="Times New Roman" w:hAnsi="Times New Roman"/>
                      <w:sz w:val="21"/>
                      <w:szCs w:val="21"/>
                    </w:rPr>
                    <w:sym w:font="Wingdings" w:char="00A8"/>
                  </w:r>
                </w:p>
              </w:tc>
              <w:tc>
                <w:tcPr>
                  <w:tcW w:w="1264" w:type="dxa"/>
                  <w:gridSpan w:val="2"/>
                  <w:tcBorders>
                    <w:tl2br w:val="nil"/>
                    <w:tr2bl w:val="nil"/>
                  </w:tcBorders>
                  <w:vAlign w:val="center"/>
                </w:tcPr>
                <w:p w14:paraId="25E47AB3">
                  <w:pPr>
                    <w:pStyle w:val="58"/>
                    <w:spacing w:before="28"/>
                    <w:jc w:val="center"/>
                    <w:rPr>
                      <w:rFonts w:ascii="Times New Roman" w:hAnsi="Times New Roman"/>
                      <w:sz w:val="21"/>
                      <w:szCs w:val="21"/>
                    </w:rPr>
                  </w:pPr>
                  <w:r>
                    <w:rPr>
                      <w:rFonts w:ascii="Times New Roman" w:hAnsi="Times New Roman"/>
                      <w:sz w:val="21"/>
                      <w:szCs w:val="21"/>
                    </w:rPr>
                    <w:t xml:space="preserve">I </w:t>
                  </w:r>
                  <w:r>
                    <w:rPr>
                      <w:rFonts w:ascii="Times New Roman" w:hAnsi="Times New Roman"/>
                      <w:sz w:val="21"/>
                      <w:szCs w:val="21"/>
                    </w:rPr>
                    <w:sym w:font="Wingdings" w:char="00FE"/>
                  </w:r>
                </w:p>
              </w:tc>
            </w:tr>
            <w:tr w14:paraId="5F319C0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vAlign w:val="center"/>
                </w:tcPr>
                <w:p w14:paraId="435261A4">
                  <w:pPr>
                    <w:pStyle w:val="58"/>
                    <w:spacing w:before="28"/>
                    <w:jc w:val="center"/>
                    <w:rPr>
                      <w:rFonts w:ascii="Times New Roman" w:hAnsi="Times New Roman"/>
                      <w:sz w:val="21"/>
                      <w:szCs w:val="21"/>
                    </w:rPr>
                  </w:pPr>
                  <w:r>
                    <w:rPr>
                      <w:rFonts w:ascii="Times New Roman" w:hAnsi="Times New Roman"/>
                      <w:sz w:val="21"/>
                      <w:szCs w:val="21"/>
                    </w:rPr>
                    <w:t>评价等级</w:t>
                  </w:r>
                </w:p>
              </w:tc>
              <w:tc>
                <w:tcPr>
                  <w:tcW w:w="2206" w:type="dxa"/>
                  <w:gridSpan w:val="3"/>
                  <w:tcBorders>
                    <w:tl2br w:val="nil"/>
                    <w:tr2bl w:val="nil"/>
                  </w:tcBorders>
                  <w:vAlign w:val="center"/>
                </w:tcPr>
                <w:p w14:paraId="68A4EF7E">
                  <w:pPr>
                    <w:pStyle w:val="58"/>
                    <w:spacing w:before="28"/>
                    <w:jc w:val="center"/>
                    <w:rPr>
                      <w:rFonts w:ascii="Times New Roman" w:hAnsi="Times New Roman"/>
                      <w:sz w:val="21"/>
                      <w:szCs w:val="21"/>
                    </w:rPr>
                  </w:pPr>
                  <w:r>
                    <w:rPr>
                      <w:rFonts w:ascii="Times New Roman" w:hAnsi="Times New Roman"/>
                      <w:sz w:val="21"/>
                      <w:szCs w:val="21"/>
                    </w:rPr>
                    <w:t xml:space="preserve">一级 </w:t>
                  </w:r>
                  <w:r>
                    <w:rPr>
                      <w:rFonts w:ascii="Times New Roman" w:hAnsi="Times New Roman"/>
                      <w:sz w:val="21"/>
                      <w:szCs w:val="21"/>
                    </w:rPr>
                    <w:sym w:font="Wingdings" w:char="00A8"/>
                  </w:r>
                </w:p>
              </w:tc>
              <w:tc>
                <w:tcPr>
                  <w:tcW w:w="1308" w:type="dxa"/>
                  <w:gridSpan w:val="5"/>
                  <w:tcBorders>
                    <w:tl2br w:val="nil"/>
                    <w:tr2bl w:val="nil"/>
                  </w:tcBorders>
                  <w:vAlign w:val="center"/>
                </w:tcPr>
                <w:p w14:paraId="315D1FAD">
                  <w:pPr>
                    <w:pStyle w:val="58"/>
                    <w:spacing w:before="28"/>
                    <w:jc w:val="center"/>
                    <w:rPr>
                      <w:rFonts w:ascii="Times New Roman" w:hAnsi="Times New Roman"/>
                      <w:sz w:val="21"/>
                      <w:szCs w:val="21"/>
                    </w:rPr>
                  </w:pPr>
                  <w:r>
                    <w:rPr>
                      <w:rFonts w:ascii="Times New Roman" w:hAnsi="Times New Roman"/>
                      <w:sz w:val="21"/>
                      <w:szCs w:val="21"/>
                    </w:rPr>
                    <w:t xml:space="preserve">二级 </w:t>
                  </w:r>
                  <w:r>
                    <w:rPr>
                      <w:rFonts w:ascii="Times New Roman" w:hAnsi="Times New Roman"/>
                      <w:sz w:val="21"/>
                      <w:szCs w:val="21"/>
                    </w:rPr>
                    <w:sym w:font="Wingdings" w:char="00A8"/>
                  </w:r>
                </w:p>
              </w:tc>
              <w:tc>
                <w:tcPr>
                  <w:tcW w:w="1829" w:type="dxa"/>
                  <w:gridSpan w:val="5"/>
                  <w:tcBorders>
                    <w:tl2br w:val="nil"/>
                    <w:tr2bl w:val="nil"/>
                  </w:tcBorders>
                  <w:vAlign w:val="center"/>
                </w:tcPr>
                <w:p w14:paraId="21432C17">
                  <w:pPr>
                    <w:pStyle w:val="58"/>
                    <w:spacing w:before="28"/>
                    <w:jc w:val="center"/>
                    <w:rPr>
                      <w:rFonts w:ascii="Times New Roman" w:hAnsi="Times New Roman"/>
                      <w:sz w:val="21"/>
                      <w:szCs w:val="21"/>
                    </w:rPr>
                  </w:pPr>
                  <w:r>
                    <w:rPr>
                      <w:rFonts w:ascii="Times New Roman" w:hAnsi="Times New Roman"/>
                      <w:sz w:val="21"/>
                      <w:szCs w:val="21"/>
                    </w:rPr>
                    <w:t xml:space="preserve">三级 </w:t>
                  </w:r>
                  <w:r>
                    <w:rPr>
                      <w:rFonts w:ascii="Times New Roman" w:hAnsi="Times New Roman"/>
                      <w:sz w:val="21"/>
                      <w:szCs w:val="21"/>
                    </w:rPr>
                    <w:sym w:font="Wingdings" w:char="00A8"/>
                  </w:r>
                </w:p>
              </w:tc>
              <w:tc>
                <w:tcPr>
                  <w:tcW w:w="1572" w:type="dxa"/>
                  <w:gridSpan w:val="5"/>
                  <w:tcBorders>
                    <w:tl2br w:val="nil"/>
                    <w:tr2bl w:val="nil"/>
                  </w:tcBorders>
                  <w:vAlign w:val="center"/>
                </w:tcPr>
                <w:p w14:paraId="191C9BDC">
                  <w:pPr>
                    <w:pStyle w:val="58"/>
                    <w:spacing w:before="28"/>
                    <w:jc w:val="center"/>
                    <w:rPr>
                      <w:rFonts w:ascii="Times New Roman" w:hAnsi="Times New Roman"/>
                      <w:sz w:val="21"/>
                      <w:szCs w:val="21"/>
                    </w:rPr>
                  </w:pPr>
                  <w:r>
                    <w:rPr>
                      <w:rFonts w:ascii="Times New Roman" w:hAnsi="Times New Roman"/>
                      <w:sz w:val="21"/>
                      <w:szCs w:val="21"/>
                    </w:rPr>
                    <w:t xml:space="preserve">简单分析 </w:t>
                  </w:r>
                  <w:r>
                    <w:rPr>
                      <w:rFonts w:ascii="Times New Roman" w:hAnsi="Times New Roman"/>
                      <w:sz w:val="21"/>
                      <w:szCs w:val="21"/>
                    </w:rPr>
                    <w:sym w:font="Wingdings" w:char="00FE"/>
                  </w:r>
                </w:p>
              </w:tc>
            </w:tr>
            <w:tr w14:paraId="00C8A54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restart"/>
                  <w:tcBorders>
                    <w:tl2br w:val="nil"/>
                    <w:tr2bl w:val="nil"/>
                  </w:tcBorders>
                  <w:vAlign w:val="center"/>
                </w:tcPr>
                <w:p w14:paraId="325A2A52">
                  <w:pPr>
                    <w:pStyle w:val="58"/>
                    <w:spacing w:before="28"/>
                    <w:jc w:val="center"/>
                    <w:rPr>
                      <w:rFonts w:ascii="Times New Roman" w:hAnsi="Times New Roman"/>
                      <w:sz w:val="21"/>
                      <w:szCs w:val="21"/>
                    </w:rPr>
                  </w:pPr>
                  <w:r>
                    <w:rPr>
                      <w:rFonts w:ascii="Times New Roman" w:hAnsi="Times New Roman"/>
                      <w:sz w:val="21"/>
                      <w:szCs w:val="21"/>
                    </w:rPr>
                    <w:t>风</w:t>
                  </w:r>
                </w:p>
                <w:p w14:paraId="7841FB59">
                  <w:pPr>
                    <w:pStyle w:val="58"/>
                    <w:spacing w:before="28"/>
                    <w:jc w:val="center"/>
                    <w:rPr>
                      <w:rFonts w:ascii="Times New Roman" w:hAnsi="Times New Roman"/>
                      <w:sz w:val="21"/>
                      <w:szCs w:val="21"/>
                    </w:rPr>
                  </w:pPr>
                  <w:r>
                    <w:rPr>
                      <w:rFonts w:ascii="Times New Roman" w:hAnsi="Times New Roman"/>
                      <w:sz w:val="21"/>
                      <w:szCs w:val="21"/>
                    </w:rPr>
                    <w:t>险</w:t>
                  </w:r>
                </w:p>
                <w:p w14:paraId="1118045F">
                  <w:pPr>
                    <w:pStyle w:val="58"/>
                    <w:spacing w:before="28"/>
                    <w:jc w:val="center"/>
                    <w:rPr>
                      <w:rFonts w:ascii="Times New Roman" w:hAnsi="Times New Roman"/>
                      <w:sz w:val="21"/>
                      <w:szCs w:val="21"/>
                    </w:rPr>
                  </w:pPr>
                  <w:r>
                    <w:rPr>
                      <w:rFonts w:ascii="Times New Roman" w:hAnsi="Times New Roman"/>
                      <w:sz w:val="21"/>
                      <w:szCs w:val="21"/>
                    </w:rPr>
                    <w:t>识</w:t>
                  </w:r>
                </w:p>
                <w:p w14:paraId="5B39E62A">
                  <w:pPr>
                    <w:pStyle w:val="58"/>
                    <w:spacing w:before="28"/>
                    <w:jc w:val="center"/>
                    <w:rPr>
                      <w:rFonts w:ascii="Times New Roman" w:hAnsi="Times New Roman"/>
                      <w:sz w:val="21"/>
                      <w:szCs w:val="21"/>
                    </w:rPr>
                  </w:pPr>
                  <w:r>
                    <w:rPr>
                      <w:rFonts w:ascii="Times New Roman" w:hAnsi="Times New Roman"/>
                      <w:sz w:val="21"/>
                      <w:szCs w:val="21"/>
                    </w:rPr>
                    <w:t>别</w:t>
                  </w:r>
                </w:p>
              </w:tc>
              <w:tc>
                <w:tcPr>
                  <w:tcW w:w="1110" w:type="dxa"/>
                  <w:tcBorders>
                    <w:tl2br w:val="nil"/>
                    <w:tr2bl w:val="nil"/>
                  </w:tcBorders>
                  <w:vAlign w:val="center"/>
                </w:tcPr>
                <w:p w14:paraId="04C170D2">
                  <w:pPr>
                    <w:pStyle w:val="58"/>
                    <w:spacing w:before="28"/>
                    <w:jc w:val="center"/>
                    <w:rPr>
                      <w:rFonts w:ascii="Times New Roman" w:hAnsi="Times New Roman"/>
                      <w:sz w:val="21"/>
                      <w:szCs w:val="21"/>
                    </w:rPr>
                  </w:pPr>
                  <w:r>
                    <w:rPr>
                      <w:rFonts w:ascii="Times New Roman" w:hAnsi="Times New Roman"/>
                      <w:sz w:val="21"/>
                      <w:szCs w:val="21"/>
                    </w:rPr>
                    <w:t>物质危险性</w:t>
                  </w:r>
                </w:p>
              </w:tc>
              <w:tc>
                <w:tcPr>
                  <w:tcW w:w="3514" w:type="dxa"/>
                  <w:gridSpan w:val="8"/>
                  <w:tcBorders>
                    <w:tl2br w:val="nil"/>
                    <w:tr2bl w:val="nil"/>
                  </w:tcBorders>
                  <w:vAlign w:val="center"/>
                </w:tcPr>
                <w:p w14:paraId="77A5AE56">
                  <w:pPr>
                    <w:pStyle w:val="58"/>
                    <w:spacing w:before="28"/>
                    <w:jc w:val="center"/>
                    <w:rPr>
                      <w:rFonts w:ascii="Times New Roman" w:hAnsi="Times New Roman"/>
                      <w:sz w:val="21"/>
                      <w:szCs w:val="21"/>
                    </w:rPr>
                  </w:pPr>
                  <w:r>
                    <w:rPr>
                      <w:rFonts w:ascii="Times New Roman" w:hAnsi="Times New Roman"/>
                      <w:sz w:val="21"/>
                      <w:szCs w:val="21"/>
                    </w:rPr>
                    <w:t xml:space="preserve">有毒有害 </w:t>
                  </w:r>
                  <w:r>
                    <w:rPr>
                      <w:rFonts w:ascii="Times New Roman" w:hAnsi="Times New Roman"/>
                      <w:sz w:val="21"/>
                      <w:szCs w:val="21"/>
                    </w:rPr>
                    <w:sym w:font="Wingdings" w:char="00FE"/>
                  </w:r>
                </w:p>
              </w:tc>
              <w:tc>
                <w:tcPr>
                  <w:tcW w:w="3401" w:type="dxa"/>
                  <w:gridSpan w:val="10"/>
                  <w:tcBorders>
                    <w:tl2br w:val="nil"/>
                    <w:tr2bl w:val="nil"/>
                  </w:tcBorders>
                  <w:vAlign w:val="center"/>
                </w:tcPr>
                <w:p w14:paraId="597D1ADA">
                  <w:pPr>
                    <w:pStyle w:val="58"/>
                    <w:spacing w:before="28"/>
                    <w:jc w:val="center"/>
                    <w:rPr>
                      <w:rFonts w:ascii="Times New Roman" w:hAnsi="Times New Roman"/>
                      <w:sz w:val="21"/>
                      <w:szCs w:val="21"/>
                    </w:rPr>
                  </w:pPr>
                  <w:r>
                    <w:rPr>
                      <w:rFonts w:ascii="Times New Roman" w:hAnsi="Times New Roman"/>
                      <w:sz w:val="21"/>
                      <w:szCs w:val="21"/>
                    </w:rPr>
                    <w:t xml:space="preserve">易燃易爆 </w:t>
                  </w:r>
                  <w:r>
                    <w:rPr>
                      <w:rFonts w:ascii="Times New Roman" w:hAnsi="Times New Roman"/>
                      <w:sz w:val="21"/>
                      <w:szCs w:val="21"/>
                    </w:rPr>
                    <w:sym w:font="Wingdings" w:char="00FE"/>
                  </w:r>
                </w:p>
              </w:tc>
            </w:tr>
            <w:tr w14:paraId="29DF113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7DC12A9F">
                  <w:pPr>
                    <w:jc w:val="center"/>
                    <w:rPr>
                      <w:szCs w:val="21"/>
                    </w:rPr>
                  </w:pPr>
                </w:p>
              </w:tc>
              <w:tc>
                <w:tcPr>
                  <w:tcW w:w="1110" w:type="dxa"/>
                  <w:tcBorders>
                    <w:tl2br w:val="nil"/>
                    <w:tr2bl w:val="nil"/>
                  </w:tcBorders>
                  <w:vAlign w:val="center"/>
                </w:tcPr>
                <w:p w14:paraId="17CDE8F3">
                  <w:pPr>
                    <w:pStyle w:val="58"/>
                    <w:spacing w:before="28"/>
                    <w:jc w:val="center"/>
                    <w:rPr>
                      <w:rFonts w:ascii="Times New Roman" w:hAnsi="Times New Roman"/>
                      <w:sz w:val="21"/>
                      <w:szCs w:val="21"/>
                    </w:rPr>
                  </w:pPr>
                  <w:r>
                    <w:rPr>
                      <w:rFonts w:ascii="Times New Roman" w:hAnsi="Times New Roman"/>
                      <w:sz w:val="21"/>
                      <w:szCs w:val="21"/>
                    </w:rPr>
                    <w:t>环境风险类型</w:t>
                  </w:r>
                </w:p>
              </w:tc>
              <w:tc>
                <w:tcPr>
                  <w:tcW w:w="3514" w:type="dxa"/>
                  <w:gridSpan w:val="8"/>
                  <w:tcBorders>
                    <w:tl2br w:val="nil"/>
                    <w:tr2bl w:val="nil"/>
                  </w:tcBorders>
                  <w:vAlign w:val="center"/>
                </w:tcPr>
                <w:p w14:paraId="2FD907C1">
                  <w:pPr>
                    <w:pStyle w:val="58"/>
                    <w:spacing w:before="28"/>
                    <w:jc w:val="center"/>
                    <w:rPr>
                      <w:rFonts w:ascii="Times New Roman" w:hAnsi="Times New Roman"/>
                      <w:sz w:val="21"/>
                      <w:szCs w:val="21"/>
                    </w:rPr>
                  </w:pPr>
                  <w:r>
                    <w:rPr>
                      <w:rFonts w:ascii="Times New Roman" w:hAnsi="Times New Roman"/>
                      <w:sz w:val="21"/>
                      <w:szCs w:val="21"/>
                    </w:rPr>
                    <w:t>泄漏</w:t>
                  </w:r>
                  <w:r>
                    <w:rPr>
                      <w:rFonts w:ascii="Times New Roman" w:hAnsi="Times New Roman"/>
                      <w:sz w:val="21"/>
                      <w:szCs w:val="21"/>
                    </w:rPr>
                    <w:sym w:font="Wingdings" w:char="00FE"/>
                  </w:r>
                </w:p>
              </w:tc>
              <w:tc>
                <w:tcPr>
                  <w:tcW w:w="3401" w:type="dxa"/>
                  <w:gridSpan w:val="10"/>
                  <w:tcBorders>
                    <w:tl2br w:val="nil"/>
                    <w:tr2bl w:val="nil"/>
                  </w:tcBorders>
                  <w:vAlign w:val="center"/>
                </w:tcPr>
                <w:p w14:paraId="711F146B">
                  <w:pPr>
                    <w:pStyle w:val="58"/>
                    <w:spacing w:before="28"/>
                    <w:jc w:val="center"/>
                    <w:rPr>
                      <w:rFonts w:ascii="Times New Roman" w:hAnsi="Times New Roman"/>
                      <w:sz w:val="21"/>
                      <w:szCs w:val="21"/>
                      <w:lang w:eastAsia="zh-CN"/>
                    </w:rPr>
                  </w:pPr>
                  <w:r>
                    <w:rPr>
                      <w:rFonts w:ascii="Times New Roman" w:hAnsi="Times New Roman"/>
                      <w:sz w:val="21"/>
                      <w:szCs w:val="21"/>
                      <w:lang w:eastAsia="zh-CN"/>
                    </w:rPr>
                    <w:t>火灾、爆炸引发伴生/次生污染物排放</w:t>
                  </w:r>
                  <w:r>
                    <w:rPr>
                      <w:rFonts w:ascii="Times New Roman" w:hAnsi="Times New Roman"/>
                      <w:sz w:val="21"/>
                      <w:szCs w:val="21"/>
                    </w:rPr>
                    <w:sym w:font="Wingdings" w:char="00FE"/>
                  </w:r>
                </w:p>
              </w:tc>
            </w:tr>
            <w:tr w14:paraId="3DFB19F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vAlign w:val="center"/>
                </w:tcPr>
                <w:p w14:paraId="1D9A3AC2">
                  <w:pPr>
                    <w:jc w:val="center"/>
                    <w:rPr>
                      <w:szCs w:val="21"/>
                    </w:rPr>
                  </w:pPr>
                </w:p>
              </w:tc>
              <w:tc>
                <w:tcPr>
                  <w:tcW w:w="1110" w:type="dxa"/>
                  <w:tcBorders>
                    <w:tl2br w:val="nil"/>
                    <w:tr2bl w:val="nil"/>
                  </w:tcBorders>
                  <w:vAlign w:val="center"/>
                </w:tcPr>
                <w:p w14:paraId="53CDCDC1">
                  <w:pPr>
                    <w:pStyle w:val="58"/>
                    <w:spacing w:before="28"/>
                    <w:jc w:val="center"/>
                    <w:rPr>
                      <w:rFonts w:ascii="Times New Roman" w:hAnsi="Times New Roman"/>
                      <w:sz w:val="21"/>
                      <w:szCs w:val="21"/>
                    </w:rPr>
                  </w:pPr>
                  <w:r>
                    <w:rPr>
                      <w:rFonts w:ascii="Times New Roman" w:hAnsi="Times New Roman"/>
                      <w:sz w:val="21"/>
                      <w:szCs w:val="21"/>
                    </w:rPr>
                    <w:t>影响途径</w:t>
                  </w:r>
                </w:p>
              </w:tc>
              <w:tc>
                <w:tcPr>
                  <w:tcW w:w="2726" w:type="dxa"/>
                  <w:gridSpan w:val="4"/>
                  <w:tcBorders>
                    <w:tl2br w:val="nil"/>
                    <w:tr2bl w:val="nil"/>
                  </w:tcBorders>
                  <w:vAlign w:val="center"/>
                </w:tcPr>
                <w:p w14:paraId="1970D08A">
                  <w:pPr>
                    <w:pStyle w:val="58"/>
                    <w:spacing w:before="28"/>
                    <w:jc w:val="center"/>
                    <w:rPr>
                      <w:rFonts w:ascii="Times New Roman" w:hAnsi="Times New Roman"/>
                      <w:sz w:val="21"/>
                      <w:szCs w:val="21"/>
                    </w:rPr>
                  </w:pPr>
                  <w:r>
                    <w:rPr>
                      <w:rFonts w:ascii="Times New Roman" w:hAnsi="Times New Roman"/>
                      <w:sz w:val="21"/>
                      <w:szCs w:val="21"/>
                    </w:rPr>
                    <w:t xml:space="preserve">大气 </w:t>
                  </w:r>
                  <w:r>
                    <w:rPr>
                      <w:rFonts w:ascii="Times New Roman" w:hAnsi="Times New Roman"/>
                      <w:sz w:val="21"/>
                      <w:szCs w:val="21"/>
                    </w:rPr>
                    <w:sym w:font="Wingdings" w:char="00FE"/>
                  </w:r>
                </w:p>
              </w:tc>
              <w:tc>
                <w:tcPr>
                  <w:tcW w:w="2089" w:type="dxa"/>
                  <w:gridSpan w:val="7"/>
                  <w:tcBorders>
                    <w:tl2br w:val="nil"/>
                    <w:tr2bl w:val="nil"/>
                  </w:tcBorders>
                  <w:vAlign w:val="center"/>
                </w:tcPr>
                <w:p w14:paraId="52BDF6EE">
                  <w:pPr>
                    <w:pStyle w:val="58"/>
                    <w:spacing w:before="28"/>
                    <w:jc w:val="center"/>
                    <w:rPr>
                      <w:rFonts w:ascii="Times New Roman" w:hAnsi="Times New Roman"/>
                      <w:sz w:val="21"/>
                      <w:szCs w:val="21"/>
                    </w:rPr>
                  </w:pPr>
                  <w:r>
                    <w:rPr>
                      <w:rFonts w:ascii="Times New Roman" w:hAnsi="Times New Roman"/>
                      <w:sz w:val="21"/>
                      <w:szCs w:val="21"/>
                    </w:rPr>
                    <w:t xml:space="preserve">地表水 </w:t>
                  </w:r>
                  <w:r>
                    <w:rPr>
                      <w:rFonts w:ascii="Times New Roman" w:hAnsi="Times New Roman"/>
                      <w:sz w:val="21"/>
                      <w:szCs w:val="21"/>
                    </w:rPr>
                    <w:sym w:font="Wingdings" w:char="00FE"/>
                  </w:r>
                </w:p>
              </w:tc>
              <w:tc>
                <w:tcPr>
                  <w:tcW w:w="2100" w:type="dxa"/>
                  <w:gridSpan w:val="7"/>
                  <w:tcBorders>
                    <w:tl2br w:val="nil"/>
                    <w:tr2bl w:val="nil"/>
                  </w:tcBorders>
                  <w:vAlign w:val="center"/>
                </w:tcPr>
                <w:p w14:paraId="2568F44D">
                  <w:pPr>
                    <w:pStyle w:val="58"/>
                    <w:spacing w:before="28"/>
                    <w:jc w:val="center"/>
                    <w:rPr>
                      <w:rFonts w:ascii="Times New Roman" w:hAnsi="Times New Roman"/>
                      <w:sz w:val="21"/>
                      <w:szCs w:val="21"/>
                    </w:rPr>
                  </w:pPr>
                  <w:r>
                    <w:rPr>
                      <w:rFonts w:ascii="Times New Roman" w:hAnsi="Times New Roman"/>
                      <w:sz w:val="21"/>
                      <w:szCs w:val="21"/>
                    </w:rPr>
                    <w:t>地下水</w:t>
                  </w:r>
                  <w:r>
                    <w:rPr>
                      <w:rFonts w:ascii="Times New Roman" w:hAnsi="Times New Roman"/>
                      <w:sz w:val="21"/>
                      <w:szCs w:val="21"/>
                    </w:rPr>
                    <w:sym w:font="Wingdings" w:char="00FE"/>
                  </w:r>
                </w:p>
              </w:tc>
            </w:tr>
            <w:tr w14:paraId="1BD906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vAlign w:val="center"/>
                </w:tcPr>
                <w:p w14:paraId="7168A08A">
                  <w:pPr>
                    <w:pStyle w:val="58"/>
                    <w:spacing w:before="28"/>
                    <w:jc w:val="center"/>
                    <w:rPr>
                      <w:rFonts w:ascii="Times New Roman" w:hAnsi="Times New Roman"/>
                      <w:sz w:val="21"/>
                      <w:szCs w:val="21"/>
                    </w:rPr>
                  </w:pPr>
                  <w:r>
                    <w:rPr>
                      <w:rFonts w:ascii="Times New Roman" w:hAnsi="Times New Roman"/>
                      <w:sz w:val="21"/>
                      <w:szCs w:val="21"/>
                    </w:rPr>
                    <w:t>重点风险防范措施</w:t>
                  </w:r>
                </w:p>
              </w:tc>
              <w:tc>
                <w:tcPr>
                  <w:tcW w:w="6915" w:type="dxa"/>
                  <w:gridSpan w:val="18"/>
                  <w:tcBorders>
                    <w:tl2br w:val="nil"/>
                    <w:tr2bl w:val="nil"/>
                  </w:tcBorders>
                  <w:vAlign w:val="center"/>
                </w:tcPr>
                <w:p w14:paraId="653FDEB8">
                  <w:pPr>
                    <w:pStyle w:val="58"/>
                    <w:spacing w:before="28"/>
                    <w:rPr>
                      <w:rFonts w:ascii="Times New Roman" w:hAnsi="Times New Roman"/>
                      <w:sz w:val="21"/>
                      <w:szCs w:val="21"/>
                      <w:lang w:eastAsia="zh-CN"/>
                    </w:rPr>
                  </w:pPr>
                  <w:r>
                    <w:rPr>
                      <w:rFonts w:ascii="Times New Roman" w:hAnsi="Times New Roman"/>
                      <w:sz w:val="21"/>
                      <w:szCs w:val="21"/>
                      <w:lang w:eastAsia="zh-CN"/>
                    </w:rPr>
                    <w:t>①制定严格的生产操作规程，加强作业工人的安全教育，杜绝工作失误造成的事故。</w:t>
                  </w:r>
                </w:p>
                <w:p w14:paraId="29176C47">
                  <w:pPr>
                    <w:pStyle w:val="58"/>
                    <w:spacing w:before="28"/>
                    <w:rPr>
                      <w:rFonts w:ascii="Times New Roman" w:hAnsi="Times New Roman"/>
                      <w:sz w:val="21"/>
                      <w:szCs w:val="21"/>
                      <w:lang w:eastAsia="zh-CN"/>
                    </w:rPr>
                  </w:pPr>
                  <w:r>
                    <w:rPr>
                      <w:rFonts w:ascii="Times New Roman" w:hAnsi="Times New Roman"/>
                      <w:sz w:val="21"/>
                      <w:szCs w:val="21"/>
                      <w:lang w:eastAsia="zh-CN"/>
                    </w:rPr>
                    <w:t>②在厂房及项目进入口的明显位置张贴禁用明火的告示，车间内合理配置移动式式泡沫灭火器。</w:t>
                  </w:r>
                </w:p>
                <w:p w14:paraId="4535921E">
                  <w:pPr>
                    <w:pStyle w:val="58"/>
                    <w:spacing w:before="28"/>
                    <w:rPr>
                      <w:rFonts w:ascii="Times New Roman" w:hAnsi="Times New Roman"/>
                      <w:sz w:val="21"/>
                      <w:szCs w:val="21"/>
                      <w:lang w:eastAsia="zh-CN"/>
                    </w:rPr>
                  </w:pPr>
                  <w:r>
                    <w:rPr>
                      <w:rFonts w:ascii="Times New Roman" w:hAnsi="Times New Roman"/>
                      <w:sz w:val="21"/>
                      <w:szCs w:val="21"/>
                      <w:lang w:eastAsia="zh-CN"/>
                    </w:rPr>
                    <w:t>③加强对废气治理装置的日常运行维护。若废气治理措施因故不能运行，则必须停产。</w:t>
                  </w:r>
                </w:p>
              </w:tc>
            </w:tr>
            <w:tr w14:paraId="3F8F9B7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vAlign w:val="center"/>
                </w:tcPr>
                <w:p w14:paraId="78CEC48C">
                  <w:pPr>
                    <w:pStyle w:val="58"/>
                    <w:spacing w:before="28"/>
                    <w:jc w:val="center"/>
                    <w:rPr>
                      <w:rFonts w:ascii="Times New Roman" w:hAnsi="Times New Roman"/>
                      <w:sz w:val="21"/>
                      <w:szCs w:val="21"/>
                    </w:rPr>
                  </w:pPr>
                  <w:r>
                    <w:rPr>
                      <w:rFonts w:ascii="Times New Roman" w:hAnsi="Times New Roman"/>
                      <w:sz w:val="21"/>
                      <w:szCs w:val="21"/>
                    </w:rPr>
                    <w:t>评价结论</w:t>
                  </w:r>
                </w:p>
                <w:p w14:paraId="2030E8F8">
                  <w:pPr>
                    <w:pStyle w:val="58"/>
                    <w:spacing w:before="28"/>
                    <w:jc w:val="center"/>
                    <w:rPr>
                      <w:rFonts w:ascii="Times New Roman" w:hAnsi="Times New Roman"/>
                      <w:sz w:val="21"/>
                      <w:szCs w:val="21"/>
                    </w:rPr>
                  </w:pPr>
                  <w:r>
                    <w:rPr>
                      <w:rFonts w:ascii="Times New Roman" w:hAnsi="Times New Roman"/>
                      <w:sz w:val="21"/>
                      <w:szCs w:val="21"/>
                    </w:rPr>
                    <w:t>与建议</w:t>
                  </w:r>
                </w:p>
              </w:tc>
              <w:tc>
                <w:tcPr>
                  <w:tcW w:w="6915" w:type="dxa"/>
                  <w:gridSpan w:val="18"/>
                  <w:tcBorders>
                    <w:tl2br w:val="nil"/>
                    <w:tr2bl w:val="nil"/>
                  </w:tcBorders>
                  <w:vAlign w:val="center"/>
                </w:tcPr>
                <w:p w14:paraId="59B171C1">
                  <w:pPr>
                    <w:pStyle w:val="58"/>
                    <w:spacing w:before="28"/>
                    <w:rPr>
                      <w:rFonts w:ascii="Times New Roman" w:hAnsi="Times New Roman"/>
                      <w:sz w:val="21"/>
                      <w:szCs w:val="21"/>
                      <w:lang w:eastAsia="zh-CN"/>
                    </w:rPr>
                  </w:pPr>
                  <w:r>
                    <w:rPr>
                      <w:rFonts w:ascii="Times New Roman" w:hAnsi="Times New Roman"/>
                      <w:sz w:val="21"/>
                      <w:szCs w:val="21"/>
                      <w:lang w:eastAsia="zh-CN"/>
                    </w:rPr>
                    <w:t>通过采取相应的风险防范措施，项目的环境风险可控。一旦发生事故，建设单位应立即执行事故应急预案，采取合理的事故应急处理措施，将事故影响降到最低限度。</w:t>
                  </w:r>
                </w:p>
              </w:tc>
            </w:tr>
          </w:tbl>
          <w:p w14:paraId="115ECA0B">
            <w:pPr>
              <w:spacing w:line="360" w:lineRule="auto"/>
              <w:ind w:firstLine="482" w:firstLineChars="200"/>
              <w:rPr>
                <w:sz w:val="24"/>
              </w:rPr>
            </w:pPr>
            <w:r>
              <w:rPr>
                <w:b/>
                <w:sz w:val="24"/>
              </w:rPr>
              <w:t>六、清洁生产分析</w:t>
            </w:r>
          </w:p>
          <w:p w14:paraId="6F7207B4">
            <w:pPr>
              <w:spacing w:line="360" w:lineRule="auto"/>
              <w:ind w:firstLine="480" w:firstLineChars="200"/>
              <w:rPr>
                <w:sz w:val="24"/>
              </w:rPr>
            </w:pPr>
            <w:r>
              <w:rPr>
                <w:sz w:val="24"/>
              </w:rPr>
              <w:t>清洁生产是指不断采取改进设计、使用清洁的能源和原料、采取先进的工艺技术与设备、改善管理、综合利用等措施，从源头削减污染，提高资源利用率，减少或者避免生产、服务和产品使用过程中污染物的产生和排放，以减轻或者消除对人类健康和环境的危害。</w:t>
            </w:r>
          </w:p>
          <w:p w14:paraId="3AAC9E8C">
            <w:pPr>
              <w:spacing w:line="360" w:lineRule="auto"/>
              <w:ind w:firstLine="480" w:firstLineChars="200"/>
              <w:rPr>
                <w:sz w:val="24"/>
              </w:rPr>
            </w:pPr>
            <w:r>
              <w:rPr>
                <w:sz w:val="24"/>
              </w:rPr>
              <w:t>根据国发[1996] 31号文件《国务院关于环境保护若干问题的决定》，所有建设项目要提高技术起点，采用能耗物耗小、污染物产生量小的清洁生产工艺，严禁采用国家明令禁止的设备和工艺。该项目产品在生产及销售过程中对环境影响轻微，在正常的生产过程中，其单位产品耗电量、物耗居平均水平。</w:t>
            </w:r>
          </w:p>
          <w:p w14:paraId="6BCCB3C9">
            <w:pPr>
              <w:spacing w:line="360" w:lineRule="auto"/>
              <w:ind w:firstLine="480" w:firstLineChars="200"/>
              <w:rPr>
                <w:sz w:val="24"/>
                <w:szCs w:val="24"/>
              </w:rPr>
            </w:pPr>
            <w:r>
              <w:rPr>
                <w:sz w:val="24"/>
                <w:szCs w:val="24"/>
              </w:rPr>
              <w:t>1、原辅材料和产品：本项目生产所需要的原辅材料主要是</w:t>
            </w:r>
            <w:r>
              <w:rPr>
                <w:rFonts w:hint="eastAsia"/>
                <w:sz w:val="24"/>
                <w:szCs w:val="24"/>
              </w:rPr>
              <w:t>碳素布、BOPP</w:t>
            </w:r>
            <w:r>
              <w:rPr>
                <w:rFonts w:eastAsiaTheme="minorEastAsia"/>
                <w:sz w:val="24"/>
                <w:szCs w:val="24"/>
              </w:rPr>
              <w:t>、</w:t>
            </w:r>
            <w:r>
              <w:rPr>
                <w:rFonts w:hint="eastAsia" w:eastAsiaTheme="minorEastAsia"/>
                <w:sz w:val="24"/>
                <w:szCs w:val="24"/>
              </w:rPr>
              <w:t>聚氨酯漆、稀料</w:t>
            </w:r>
            <w:r>
              <w:rPr>
                <w:sz w:val="24"/>
                <w:szCs w:val="24"/>
              </w:rPr>
              <w:t>，生产原料供应有可靠保障。项目的原辅材料资源、供应条件好，品质功能优良，能够满足清洁生产要求。产品品质功能优良，能够满足清洁生产要求。</w:t>
            </w:r>
          </w:p>
          <w:p w14:paraId="4313EA12">
            <w:pPr>
              <w:spacing w:line="360" w:lineRule="auto"/>
              <w:ind w:firstLine="480" w:firstLineChars="200"/>
              <w:rPr>
                <w:sz w:val="24"/>
                <w:szCs w:val="24"/>
              </w:rPr>
            </w:pPr>
            <w:r>
              <w:rPr>
                <w:sz w:val="24"/>
                <w:szCs w:val="24"/>
              </w:rPr>
              <w:t>2、生产设备：本项目生产设备主要为</w:t>
            </w:r>
            <w:r>
              <w:rPr>
                <w:rFonts w:hint="eastAsia"/>
                <w:sz w:val="24"/>
                <w:szCs w:val="24"/>
              </w:rPr>
              <w:t>裁布机、缠带机、水磨机、风机</w:t>
            </w:r>
            <w:r>
              <w:rPr>
                <w:sz w:val="24"/>
                <w:szCs w:val="24"/>
              </w:rPr>
              <w:t>等，在生产设备选择上，在满足生产工艺前提下，优先选用先进、高效性能的设备，技术成熟、实用耐用、噪声小，便于管理和维护。项目所用机械设备中没有《产业机构调整指导目录》（2019年本）第三类“淘汰类”第一条“落后生产工艺装备”中所列淘汰设备。</w:t>
            </w:r>
          </w:p>
          <w:p w14:paraId="56E7E89B">
            <w:pPr>
              <w:spacing w:line="360" w:lineRule="auto"/>
              <w:ind w:firstLine="480" w:firstLineChars="200"/>
              <w:rPr>
                <w:sz w:val="24"/>
                <w:szCs w:val="24"/>
              </w:rPr>
            </w:pPr>
            <w:r>
              <w:rPr>
                <w:sz w:val="24"/>
                <w:szCs w:val="24"/>
              </w:rPr>
              <w:t>3、节能：本项</w:t>
            </w:r>
            <w:r>
              <w:rPr>
                <w:kern w:val="28"/>
                <w:sz w:val="24"/>
                <w:szCs w:val="24"/>
              </w:rPr>
              <w:t>目生产工艺是在比较分析目前国际国内先进生产工艺基础上，综合原辅料供应、工艺操作条件和三废情况等各种因素而制定的，工艺过程先进，提高生产效率，达到节能目的。其次，合理选用节能设备，使能源消耗在设备源头上就得到有效控制。</w:t>
            </w:r>
            <w:r>
              <w:rPr>
                <w:sz w:val="24"/>
                <w:szCs w:val="24"/>
              </w:rPr>
              <w:t>在电器的选择上，将统一选用节能型电器，降低电能损耗，</w:t>
            </w:r>
            <w:r>
              <w:rPr>
                <w:bCs/>
                <w:sz w:val="24"/>
                <w:szCs w:val="24"/>
              </w:rPr>
              <w:t>采用节水型卫生洁具</w:t>
            </w:r>
            <w:r>
              <w:rPr>
                <w:sz w:val="24"/>
                <w:szCs w:val="24"/>
              </w:rPr>
              <w:t>。</w:t>
            </w:r>
          </w:p>
          <w:p w14:paraId="40DBF535">
            <w:pPr>
              <w:spacing w:line="360" w:lineRule="auto"/>
              <w:ind w:firstLine="480" w:firstLineChars="200"/>
              <w:rPr>
                <w:sz w:val="24"/>
                <w:szCs w:val="24"/>
              </w:rPr>
            </w:pPr>
            <w:r>
              <w:rPr>
                <w:sz w:val="24"/>
                <w:szCs w:val="24"/>
              </w:rPr>
              <w:t>4、污染防治：项目产生的主要污染物为废水、废气、噪声和少量固体废物。生活污水经</w:t>
            </w:r>
            <w:r>
              <w:rPr>
                <w:rFonts w:hint="eastAsia"/>
                <w:sz w:val="24"/>
                <w:szCs w:val="24"/>
                <w:lang w:val="en-US" w:eastAsia="zh-CN"/>
              </w:rPr>
              <w:t>沉淀</w:t>
            </w:r>
            <w:r>
              <w:rPr>
                <w:sz w:val="24"/>
                <w:szCs w:val="24"/>
              </w:rPr>
              <w:t>池预处理后，</w:t>
            </w:r>
            <w:r>
              <w:rPr>
                <w:rFonts w:hint="eastAsia"/>
                <w:sz w:val="24"/>
                <w:szCs w:val="24"/>
                <w:lang w:val="en-US" w:eastAsia="zh-CN"/>
              </w:rPr>
              <w:t>定期由罐车抽送至</w:t>
            </w:r>
            <w:r>
              <w:rPr>
                <w:rFonts w:hint="eastAsia"/>
                <w:sz w:val="24"/>
                <w:szCs w:val="24"/>
                <w:lang w:val="zh-CN"/>
              </w:rPr>
              <w:t>威海经区污水处理厂</w:t>
            </w:r>
            <w:r>
              <w:rPr>
                <w:sz w:val="24"/>
                <w:szCs w:val="24"/>
              </w:rPr>
              <w:t>集中处理达标</w:t>
            </w:r>
            <w:r>
              <w:rPr>
                <w:rFonts w:hint="eastAsia"/>
                <w:sz w:val="24"/>
                <w:szCs w:val="24"/>
              </w:rPr>
              <w:t>放</w:t>
            </w:r>
            <w:r>
              <w:rPr>
                <w:sz w:val="24"/>
                <w:szCs w:val="24"/>
              </w:rPr>
              <w:t>。</w:t>
            </w:r>
            <w:r>
              <w:rPr>
                <w:rFonts w:hint="eastAsia"/>
                <w:sz w:val="24"/>
                <w:szCs w:val="24"/>
              </w:rPr>
              <w:t>生产</w:t>
            </w:r>
            <w:r>
              <w:rPr>
                <w:sz w:val="24"/>
                <w:szCs w:val="24"/>
              </w:rPr>
              <w:t>过程产生的有机废气</w:t>
            </w:r>
            <w:r>
              <w:rPr>
                <w:rFonts w:hint="eastAsia"/>
                <w:sz w:val="24"/>
                <w:szCs w:val="24"/>
              </w:rPr>
              <w:t>、粉尘</w:t>
            </w:r>
            <w:r>
              <w:rPr>
                <w:sz w:val="24"/>
                <w:szCs w:val="24"/>
              </w:rPr>
              <w:t>经催化燃烧废气处理</w:t>
            </w:r>
            <w:r>
              <w:rPr>
                <w:rFonts w:eastAsiaTheme="minorEastAsia"/>
                <w:sz w:val="24"/>
                <w:szCs w:val="24"/>
              </w:rPr>
              <w:t>装置</w:t>
            </w:r>
            <w:r>
              <w:rPr>
                <w:sz w:val="24"/>
                <w:szCs w:val="24"/>
              </w:rPr>
              <w:t>处理后由15m排气筒达标排放。项目所选用的设备均为高效、低噪声设备，采取消声、隔声、减震、合理布局等措施后，厂界噪声能够达到相应标准的要求。生活垃圾由环卫部门运送至威海市垃圾处理场合理处置，</w:t>
            </w:r>
            <w:r>
              <w:rPr>
                <w:rFonts w:hint="eastAsia"/>
                <w:sz w:val="24"/>
                <w:szCs w:val="24"/>
              </w:rPr>
              <w:t>下脚料、</w:t>
            </w:r>
            <w:r>
              <w:rPr>
                <w:rFonts w:hint="eastAsia"/>
                <w:sz w:val="24"/>
              </w:rPr>
              <w:t>不合格品、废包装</w:t>
            </w:r>
            <w:r>
              <w:rPr>
                <w:sz w:val="24"/>
                <w:szCs w:val="24"/>
              </w:rPr>
              <w:t>由</w:t>
            </w:r>
            <w:r>
              <w:rPr>
                <w:rFonts w:hint="eastAsia"/>
                <w:sz w:val="24"/>
                <w:szCs w:val="24"/>
              </w:rPr>
              <w:t>物资</w:t>
            </w:r>
            <w:r>
              <w:rPr>
                <w:sz w:val="24"/>
                <w:szCs w:val="24"/>
              </w:rPr>
              <w:t>回收</w:t>
            </w:r>
            <w:r>
              <w:rPr>
                <w:rFonts w:hint="eastAsia"/>
                <w:sz w:val="24"/>
                <w:szCs w:val="24"/>
              </w:rPr>
              <w:t>部门</w:t>
            </w:r>
            <w:r>
              <w:rPr>
                <w:sz w:val="24"/>
                <w:szCs w:val="24"/>
              </w:rPr>
              <w:t>回收利用，漆渣、废</w:t>
            </w:r>
            <w:r>
              <w:rPr>
                <w:rFonts w:hint="eastAsia"/>
                <w:sz w:val="24"/>
                <w:szCs w:val="24"/>
              </w:rPr>
              <w:t>包装桶、</w:t>
            </w:r>
            <w:r>
              <w:rPr>
                <w:sz w:val="24"/>
                <w:szCs w:val="24"/>
              </w:rPr>
              <w:t>废过滤材料、废催化剂</w:t>
            </w:r>
            <w:r>
              <w:rPr>
                <w:rFonts w:hint="eastAsia"/>
                <w:sz w:val="24"/>
                <w:szCs w:val="24"/>
              </w:rPr>
              <w:t>、</w:t>
            </w:r>
            <w:r>
              <w:rPr>
                <w:rFonts w:hint="eastAsia" w:eastAsia="新宋体"/>
                <w:sz w:val="24"/>
                <w:szCs w:val="24"/>
              </w:rPr>
              <w:t>水喷淋装置</w:t>
            </w:r>
            <w:r>
              <w:rPr>
                <w:rFonts w:hint="eastAsia"/>
                <w:sz w:val="24"/>
                <w:szCs w:val="24"/>
              </w:rPr>
              <w:t>废液等危险废物委托</w:t>
            </w:r>
            <w:r>
              <w:rPr>
                <w:sz w:val="24"/>
                <w:szCs w:val="24"/>
              </w:rPr>
              <w:t>有</w:t>
            </w:r>
            <w:r>
              <w:rPr>
                <w:rFonts w:hint="eastAsia"/>
                <w:sz w:val="24"/>
                <w:szCs w:val="24"/>
              </w:rPr>
              <w:t>危废处置</w:t>
            </w:r>
            <w:r>
              <w:rPr>
                <w:sz w:val="24"/>
                <w:szCs w:val="24"/>
              </w:rPr>
              <w:t>资质的单位进行</w:t>
            </w:r>
            <w:r>
              <w:rPr>
                <w:rFonts w:hint="eastAsia"/>
                <w:sz w:val="24"/>
                <w:szCs w:val="24"/>
              </w:rPr>
              <w:t>回收</w:t>
            </w:r>
            <w:r>
              <w:rPr>
                <w:sz w:val="24"/>
                <w:szCs w:val="24"/>
              </w:rPr>
              <w:t>处置，固体废物处置方式可行，对周围环境影响很小。</w:t>
            </w:r>
          </w:p>
          <w:p w14:paraId="0D0F7323">
            <w:pPr>
              <w:spacing w:line="360" w:lineRule="auto"/>
              <w:ind w:firstLine="480" w:firstLineChars="200"/>
              <w:rPr>
                <w:sz w:val="24"/>
              </w:rPr>
            </w:pPr>
            <w:r>
              <w:rPr>
                <w:sz w:val="24"/>
              </w:rPr>
              <w:t>综上所述，本项目将清洁生产的原则贯穿于生产的全过程，符合清洁生产政策的要求。</w:t>
            </w:r>
          </w:p>
          <w:p w14:paraId="281958A6">
            <w:pPr>
              <w:spacing w:line="360" w:lineRule="auto"/>
              <w:ind w:firstLine="482" w:firstLineChars="200"/>
              <w:rPr>
                <w:rFonts w:eastAsia="Calibri"/>
                <w:b/>
                <w:bCs/>
                <w:sz w:val="24"/>
              </w:rPr>
            </w:pPr>
            <w:r>
              <w:rPr>
                <w:b/>
                <w:bCs/>
                <w:sz w:val="24"/>
              </w:rPr>
              <w:t>七、土壤环境影响分析</w:t>
            </w:r>
          </w:p>
          <w:p w14:paraId="3DED81DF">
            <w:pPr>
              <w:spacing w:line="360" w:lineRule="auto"/>
              <w:ind w:firstLine="480" w:firstLineChars="200"/>
              <w:rPr>
                <w:b/>
                <w:bCs/>
                <w:sz w:val="24"/>
              </w:rPr>
            </w:pPr>
            <w:r>
              <w:rPr>
                <w:sz w:val="24"/>
                <w:szCs w:val="24"/>
              </w:rPr>
              <w:t>该项目为</w:t>
            </w:r>
            <w:r>
              <w:rPr>
                <w:rFonts w:hint="eastAsia"/>
                <w:bCs/>
                <w:sz w:val="24"/>
                <w:szCs w:val="24"/>
                <w:lang w:eastAsia="zh-CN"/>
              </w:rPr>
              <w:t>鱼竿及鱼竿配件生产加工项目</w:t>
            </w:r>
            <w:r>
              <w:rPr>
                <w:sz w:val="24"/>
                <w:szCs w:val="24"/>
              </w:rPr>
              <w:t>，位于</w:t>
            </w:r>
            <w:r>
              <w:rPr>
                <w:rFonts w:hint="eastAsia"/>
                <w:sz w:val="24"/>
              </w:rPr>
              <w:t>威海市环翠区温泉镇刘家台村南</w:t>
            </w:r>
            <w:r>
              <w:rPr>
                <w:sz w:val="24"/>
                <w:szCs w:val="24"/>
              </w:rPr>
              <w:t>，对照《环境影响评价技术导则土壤环境》（HJ 964-2018）附录A 中的项目类别，该项目属于</w:t>
            </w:r>
            <w:r>
              <w:rPr>
                <w:rFonts w:hint="eastAsia" w:ascii="宋体" w:hAnsi="宋体" w:cs="宋体"/>
                <w:sz w:val="24"/>
                <w:szCs w:val="24"/>
              </w:rPr>
              <w:t>Ⅲ</w:t>
            </w:r>
            <w:r>
              <w:rPr>
                <w:sz w:val="24"/>
                <w:szCs w:val="24"/>
              </w:rPr>
              <w:t>类项目，</w:t>
            </w:r>
            <w:r>
              <w:rPr>
                <w:rFonts w:hint="eastAsia"/>
                <w:sz w:val="24"/>
                <w:szCs w:val="24"/>
              </w:rPr>
              <w:t>本项目占地面积</w:t>
            </w:r>
            <w:r>
              <w:rPr>
                <w:rFonts w:hint="eastAsia" w:ascii="宋体" w:hAnsi="宋体" w:cs="宋体"/>
                <w:sz w:val="24"/>
                <w:szCs w:val="24"/>
              </w:rPr>
              <w:t>≦</w:t>
            </w:r>
            <w:r>
              <w:rPr>
                <w:rFonts w:hint="eastAsia"/>
                <w:sz w:val="24"/>
                <w:szCs w:val="24"/>
              </w:rPr>
              <w:t>5hm</w:t>
            </w:r>
            <w:r>
              <w:rPr>
                <w:rFonts w:hint="eastAsia"/>
                <w:sz w:val="24"/>
                <w:szCs w:val="24"/>
                <w:vertAlign w:val="superscript"/>
              </w:rPr>
              <w:t>2</w:t>
            </w:r>
            <w:r>
              <w:rPr>
                <w:rFonts w:hint="eastAsia"/>
                <w:sz w:val="24"/>
                <w:szCs w:val="24"/>
              </w:rPr>
              <w:t>，为小型占地规模，周边无土壤环境敏感目标，根据</w:t>
            </w:r>
            <w:r>
              <w:rPr>
                <w:sz w:val="24"/>
                <w:szCs w:val="24"/>
              </w:rPr>
              <w:t>《环境影响评价技术导则土壤环境》（HJ 964-2018）</w:t>
            </w:r>
            <w:r>
              <w:rPr>
                <w:rFonts w:hint="eastAsia"/>
                <w:sz w:val="24"/>
                <w:szCs w:val="24"/>
              </w:rPr>
              <w:t>6.2.2.3中表4污染影响型评价工作登记表，本项目评价工作等级为“-”，不开展土壤环境影响评价</w:t>
            </w:r>
            <w:r>
              <w:rPr>
                <w:sz w:val="24"/>
                <w:szCs w:val="24"/>
              </w:rPr>
              <w:t>。</w:t>
            </w:r>
          </w:p>
          <w:p w14:paraId="1AE80AB9">
            <w:pPr>
              <w:spacing w:line="360" w:lineRule="auto"/>
              <w:ind w:firstLine="480" w:firstLineChars="200"/>
              <w:rPr>
                <w:b/>
                <w:bCs/>
                <w:sz w:val="24"/>
              </w:rPr>
            </w:pPr>
            <w:r>
              <w:rPr>
                <w:rFonts w:hint="eastAsia"/>
                <w:sz w:val="24"/>
              </w:rPr>
              <w:t>本项目一般固废库严格遵照国家</w:t>
            </w:r>
            <w:r>
              <w:rPr>
                <w:rFonts w:hint="eastAsia"/>
                <w:bCs/>
                <w:sz w:val="24"/>
              </w:rPr>
              <w:t>《一般工业固体废物贮存、处置污染控制标准》（GB18599-2001）及修改单的要求进行建设，</w:t>
            </w:r>
            <w:r>
              <w:rPr>
                <w:rFonts w:hint="eastAsia"/>
                <w:sz w:val="24"/>
              </w:rPr>
              <w:t>地面采用混凝土硬化</w:t>
            </w:r>
            <w:r>
              <w:rPr>
                <w:rFonts w:hint="eastAsia"/>
                <w:sz w:val="24"/>
                <w:szCs w:val="24"/>
              </w:rPr>
              <w:t>，可有效降低固体废物对土壤的污染影响；危废库严格遵照国家</w:t>
            </w:r>
            <w:r>
              <w:rPr>
                <w:sz w:val="24"/>
                <w:szCs w:val="24"/>
              </w:rPr>
              <w:t>《危险废物贮存污染控制标准》（GB18597－2001）及其修改单</w:t>
            </w:r>
            <w:r>
              <w:rPr>
                <w:rFonts w:hint="eastAsia"/>
                <w:sz w:val="24"/>
                <w:szCs w:val="24"/>
              </w:rPr>
              <w:t>的要求进行建设，采取“四防”措施，</w:t>
            </w:r>
            <w:r>
              <w:rPr>
                <w:sz w:val="24"/>
                <w:szCs w:val="24"/>
              </w:rPr>
              <w:t>危废库内设置围堰或托盘，围堰或托盘的容积大于储存物料量，</w:t>
            </w:r>
            <w:r>
              <w:rPr>
                <w:rFonts w:hint="eastAsia"/>
                <w:sz w:val="24"/>
                <w:szCs w:val="24"/>
              </w:rPr>
              <w:t>确保</w:t>
            </w:r>
            <w:r>
              <w:rPr>
                <w:sz w:val="24"/>
                <w:szCs w:val="24"/>
              </w:rPr>
              <w:t>事故发生时泄漏的物料控制在围堰或托盘内</w:t>
            </w:r>
            <w:r>
              <w:rPr>
                <w:rFonts w:hint="eastAsia"/>
                <w:sz w:val="24"/>
                <w:szCs w:val="24"/>
              </w:rPr>
              <w:t>，</w:t>
            </w:r>
            <w:r>
              <w:rPr>
                <w:sz w:val="24"/>
                <w:szCs w:val="24"/>
              </w:rPr>
              <w:t>危险废物收集和运输采用密闭容器和密闭专用货车，废物收集后立即运走，尽量缩短停滞时间</w:t>
            </w:r>
            <w:r>
              <w:rPr>
                <w:rFonts w:hint="eastAsia"/>
                <w:sz w:val="24"/>
                <w:szCs w:val="24"/>
              </w:rPr>
              <w:t>，可有效降低危险废物对土壤的污染影响；</w:t>
            </w:r>
            <w:r>
              <w:rPr>
                <w:rFonts w:hint="eastAsia"/>
                <w:sz w:val="24"/>
              </w:rPr>
              <w:t>项目设置有完善的废水、雨水收集系统，</w:t>
            </w:r>
            <w:r>
              <w:rPr>
                <w:sz w:val="24"/>
                <w:szCs w:val="24"/>
              </w:rPr>
              <w:t>管道敷设时</w:t>
            </w:r>
            <w:r>
              <w:rPr>
                <w:rFonts w:hint="eastAsia"/>
                <w:sz w:val="24"/>
                <w:szCs w:val="24"/>
              </w:rPr>
              <w:t>已</w:t>
            </w:r>
            <w:r>
              <w:rPr>
                <w:sz w:val="24"/>
                <w:szCs w:val="24"/>
              </w:rPr>
              <w:t>对管道坑进行回填粘土夯实，并进行防渗处理</w:t>
            </w:r>
            <w:r>
              <w:rPr>
                <w:rFonts w:hint="eastAsia"/>
                <w:sz w:val="24"/>
                <w:szCs w:val="24"/>
              </w:rPr>
              <w:t>，化粪池</w:t>
            </w:r>
            <w:r>
              <w:rPr>
                <w:sz w:val="24"/>
                <w:szCs w:val="24"/>
              </w:rPr>
              <w:t>等均采用水泥硬化、并作防渗处理</w:t>
            </w:r>
            <w:r>
              <w:rPr>
                <w:rFonts w:hint="eastAsia"/>
                <w:sz w:val="24"/>
                <w:szCs w:val="24"/>
              </w:rPr>
              <w:t>，废水</w:t>
            </w:r>
            <w:r>
              <w:rPr>
                <w:sz w:val="24"/>
                <w:szCs w:val="24"/>
              </w:rPr>
              <w:t>输送、贮存</w:t>
            </w:r>
            <w:r>
              <w:rPr>
                <w:rFonts w:hint="eastAsia"/>
                <w:sz w:val="24"/>
                <w:szCs w:val="24"/>
              </w:rPr>
              <w:t>等</w:t>
            </w:r>
            <w:r>
              <w:rPr>
                <w:sz w:val="24"/>
                <w:szCs w:val="24"/>
              </w:rPr>
              <w:t>环节发生泄漏的几率很小</w:t>
            </w:r>
            <w:r>
              <w:rPr>
                <w:rFonts w:hint="eastAsia"/>
                <w:sz w:val="24"/>
                <w:szCs w:val="24"/>
              </w:rPr>
              <w:t>，</w:t>
            </w:r>
            <w:r>
              <w:rPr>
                <w:color w:val="000000"/>
                <w:sz w:val="24"/>
                <w:szCs w:val="24"/>
              </w:rPr>
              <w:t>在确保排水系统与市政污水主管网对接的前提下，并有效防止污水管网“跑、冒、滴、漏”现象的发生</w:t>
            </w:r>
            <w:r>
              <w:rPr>
                <w:rFonts w:hint="eastAsia"/>
                <w:color w:val="000000"/>
                <w:sz w:val="24"/>
                <w:szCs w:val="24"/>
              </w:rPr>
              <w:t>，</w:t>
            </w:r>
            <w:r>
              <w:rPr>
                <w:rFonts w:hint="eastAsia"/>
                <w:sz w:val="24"/>
              </w:rPr>
              <w:t>不会对项目所在地的土壤环境造成不利影响。</w:t>
            </w:r>
          </w:p>
          <w:p w14:paraId="75A24412">
            <w:pPr>
              <w:spacing w:line="360" w:lineRule="auto"/>
              <w:ind w:firstLine="480" w:firstLineChars="200"/>
              <w:rPr>
                <w:b/>
                <w:bCs/>
                <w:sz w:val="24"/>
              </w:rPr>
            </w:pPr>
            <w:r>
              <w:rPr>
                <w:rFonts w:hint="eastAsia"/>
                <w:sz w:val="24"/>
                <w:szCs w:val="24"/>
              </w:rPr>
              <w:t>综上所述，本项目建设对土壤环境基本无影响。</w:t>
            </w:r>
          </w:p>
          <w:p w14:paraId="4CFE453F">
            <w:pPr>
              <w:spacing w:line="360" w:lineRule="auto"/>
              <w:ind w:firstLine="482" w:firstLineChars="200"/>
              <w:rPr>
                <w:b/>
                <w:bCs/>
                <w:kern w:val="0"/>
                <w:sz w:val="24"/>
              </w:rPr>
            </w:pPr>
            <w:r>
              <w:rPr>
                <w:b/>
                <w:bCs/>
                <w:sz w:val="24"/>
              </w:rPr>
              <w:t>八、</w:t>
            </w:r>
            <w:r>
              <w:rPr>
                <w:b/>
                <w:bCs/>
                <w:kern w:val="0"/>
                <w:sz w:val="24"/>
              </w:rPr>
              <w:t>环境管理与监测计划</w:t>
            </w:r>
          </w:p>
          <w:p w14:paraId="0696A505">
            <w:pPr>
              <w:snapToGrid w:val="0"/>
              <w:spacing w:line="360" w:lineRule="auto"/>
              <w:ind w:firstLine="480" w:firstLineChars="200"/>
              <w:rPr>
                <w:sz w:val="24"/>
              </w:rPr>
            </w:pPr>
            <w:r>
              <w:rPr>
                <w:sz w:val="24"/>
              </w:rPr>
              <w:t>为加强项目的环境管理，有效地保护区域环境，落实建设项目环境影响评价和“三同时”制度，实现建设项目的经济效益、社会效益和环境效益的统一，更好地监控工程环保设施的运行，及时掌握污染治理措施的效果，必须设置相应的环保机构，制定全厂环境管理和环境监测计划。</w:t>
            </w:r>
          </w:p>
          <w:p w14:paraId="36A44520">
            <w:pPr>
              <w:snapToGrid w:val="0"/>
              <w:spacing w:line="360" w:lineRule="auto"/>
              <w:ind w:firstLine="480" w:firstLineChars="200"/>
              <w:rPr>
                <w:sz w:val="24"/>
              </w:rPr>
            </w:pPr>
            <w:r>
              <w:rPr>
                <w:sz w:val="24"/>
              </w:rPr>
              <w:t>1、组织机构</w:t>
            </w:r>
          </w:p>
          <w:p w14:paraId="3CCCFA0B">
            <w:pPr>
              <w:snapToGrid w:val="0"/>
              <w:spacing w:line="360" w:lineRule="auto"/>
              <w:ind w:firstLine="480" w:firstLineChars="200"/>
              <w:rPr>
                <w:sz w:val="24"/>
              </w:rPr>
            </w:pPr>
            <w:r>
              <w:rPr>
                <w:sz w:val="24"/>
              </w:rPr>
              <w:t>工程应设置专门或兼职的环保管理部门，管理人员至少1人，负责环境管理工作。</w:t>
            </w:r>
          </w:p>
          <w:p w14:paraId="703B3B98">
            <w:pPr>
              <w:snapToGrid w:val="0"/>
              <w:spacing w:line="360" w:lineRule="auto"/>
              <w:ind w:firstLine="480" w:firstLineChars="200"/>
              <w:rPr>
                <w:sz w:val="24"/>
              </w:rPr>
            </w:pPr>
            <w:r>
              <w:rPr>
                <w:sz w:val="24"/>
              </w:rPr>
              <w:t>2、职责</w:t>
            </w:r>
          </w:p>
          <w:p w14:paraId="11D8488E">
            <w:pPr>
              <w:snapToGrid w:val="0"/>
              <w:spacing w:line="360" w:lineRule="auto"/>
              <w:ind w:firstLine="480" w:firstLineChars="200"/>
              <w:rPr>
                <w:sz w:val="24"/>
              </w:rPr>
            </w:pPr>
            <w:r>
              <w:rPr>
                <w:sz w:val="24"/>
              </w:rPr>
              <w:t>贯彻执行环境保护法规和标准；</w:t>
            </w:r>
          </w:p>
          <w:p w14:paraId="08FE9070">
            <w:pPr>
              <w:snapToGrid w:val="0"/>
              <w:spacing w:line="360" w:lineRule="auto"/>
              <w:ind w:firstLine="480" w:firstLineChars="200"/>
              <w:rPr>
                <w:sz w:val="24"/>
              </w:rPr>
            </w:pPr>
            <w:r>
              <w:rPr>
                <w:sz w:val="24"/>
              </w:rPr>
              <w:t>组织制定和修改本项目环境保护管理规章制度，监督各班组执行情况；</w:t>
            </w:r>
          </w:p>
          <w:p w14:paraId="3676F52B">
            <w:pPr>
              <w:snapToGrid w:val="0"/>
              <w:spacing w:line="360" w:lineRule="auto"/>
              <w:ind w:firstLine="480" w:firstLineChars="200"/>
              <w:rPr>
                <w:sz w:val="24"/>
              </w:rPr>
            </w:pPr>
            <w:r>
              <w:rPr>
                <w:sz w:val="24"/>
              </w:rPr>
              <w:t>编制并组织实施环境保护规划和计划；</w:t>
            </w:r>
          </w:p>
          <w:p w14:paraId="325AC603">
            <w:pPr>
              <w:snapToGrid w:val="0"/>
              <w:spacing w:line="360" w:lineRule="auto"/>
              <w:ind w:firstLine="480" w:firstLineChars="200"/>
              <w:rPr>
                <w:sz w:val="24"/>
              </w:rPr>
            </w:pPr>
            <w:r>
              <w:rPr>
                <w:sz w:val="24"/>
              </w:rPr>
              <w:t>定期检查项目环境保护设施，保证设备正常运行；</w:t>
            </w:r>
          </w:p>
          <w:p w14:paraId="2E0F49DA">
            <w:pPr>
              <w:spacing w:line="360" w:lineRule="auto"/>
              <w:ind w:firstLine="480" w:firstLineChars="200"/>
              <w:rPr>
                <w:sz w:val="24"/>
              </w:rPr>
            </w:pPr>
            <w:r>
              <w:rPr>
                <w:sz w:val="24"/>
              </w:rPr>
              <w:t>组织开展本企业的环境保护专业技术培训，搞好环境保护教育和宣传，提高职工的环境保护意识。</w:t>
            </w:r>
          </w:p>
          <w:p w14:paraId="46F722A1">
            <w:pPr>
              <w:spacing w:line="360" w:lineRule="auto"/>
              <w:ind w:firstLine="480" w:firstLineChars="200"/>
              <w:rPr>
                <w:sz w:val="24"/>
              </w:rPr>
            </w:pPr>
            <w:r>
              <w:rPr>
                <w:sz w:val="24"/>
              </w:rPr>
              <w:t>3、环境监测</w:t>
            </w:r>
          </w:p>
          <w:p w14:paraId="0431A610">
            <w:pPr>
              <w:snapToGrid w:val="0"/>
              <w:spacing w:line="360" w:lineRule="auto"/>
              <w:ind w:firstLine="480" w:firstLineChars="200"/>
              <w:rPr>
                <w:sz w:val="24"/>
              </w:rPr>
            </w:pPr>
            <w:r>
              <w:rPr>
                <w:sz w:val="24"/>
              </w:rPr>
              <w:t>公司没有环境监测实验室及专门工作人员，有监测需求时，委托有资质的环境监测单位对厂区污染源进行监测，把握公司生产过程中环境质量状况。</w:t>
            </w:r>
          </w:p>
          <w:p w14:paraId="7D38337E">
            <w:pPr>
              <w:spacing w:line="360" w:lineRule="auto"/>
              <w:ind w:firstLine="480" w:firstLineChars="200"/>
              <w:rPr>
                <w:sz w:val="24"/>
              </w:rPr>
            </w:pPr>
            <w:r>
              <w:rPr>
                <w:rFonts w:hint="eastAsia"/>
                <w:sz w:val="24"/>
              </w:rPr>
              <w:t>4、监测要求</w:t>
            </w:r>
          </w:p>
          <w:p w14:paraId="2977E6CA">
            <w:pPr>
              <w:pStyle w:val="107"/>
              <w:numPr>
                <w:ilvl w:val="2"/>
                <w:numId w:val="0"/>
              </w:numPr>
              <w:spacing w:beforeLines="0" w:afterLines="0" w:line="360" w:lineRule="auto"/>
              <w:ind w:firstLine="480" w:firstLineChars="200"/>
              <w:rPr>
                <w:rFonts w:ascii="Times New Roman" w:eastAsiaTheme="minorEastAsia"/>
                <w:sz w:val="24"/>
                <w:szCs w:val="24"/>
              </w:rPr>
            </w:pPr>
            <w:r>
              <w:rPr>
                <w:rFonts w:hint="eastAsia" w:ascii="Times New Roman" w:eastAsiaTheme="minorEastAsia"/>
                <w:sz w:val="24"/>
                <w:szCs w:val="24"/>
              </w:rPr>
              <w:t>（1）</w:t>
            </w:r>
            <w:r>
              <w:rPr>
                <w:rFonts w:ascii="Times New Roman" w:eastAsiaTheme="minorEastAsia"/>
                <w:sz w:val="24"/>
                <w:szCs w:val="24"/>
              </w:rPr>
              <w:t>排气筒应设置采样孔和永久监测平台，监测平台面积应不小于1.5 m</w:t>
            </w:r>
            <w:r>
              <w:rPr>
                <w:rFonts w:ascii="Times New Roman" w:eastAsiaTheme="minorEastAsia"/>
                <w:sz w:val="24"/>
                <w:szCs w:val="24"/>
                <w:vertAlign w:val="superscript"/>
              </w:rPr>
              <w:t>2</w:t>
            </w:r>
            <w:r>
              <w:rPr>
                <w:rFonts w:ascii="Times New Roman" w:eastAsiaTheme="minorEastAsia"/>
                <w:sz w:val="24"/>
                <w:szCs w:val="24"/>
              </w:rPr>
              <w:t>，并设有1.1 m高的护栏，采样孔距平台面约1.2 m～1.3 m</w:t>
            </w:r>
            <w:bookmarkStart w:id="3" w:name="OLE_LINK9"/>
            <w:r>
              <w:rPr>
                <w:rFonts w:ascii="Times New Roman" w:eastAsiaTheme="minorEastAsia"/>
                <w:sz w:val="24"/>
                <w:szCs w:val="24"/>
              </w:rPr>
              <w:t>，监测平台高度距地面大于5 m时需安装旋梯、“Z”字梯或升降电梯。</w:t>
            </w:r>
            <w:bookmarkEnd w:id="3"/>
            <w:r>
              <w:rPr>
                <w:rFonts w:ascii="Times New Roman" w:eastAsiaTheme="minorEastAsia"/>
                <w:sz w:val="24"/>
                <w:szCs w:val="24"/>
              </w:rPr>
              <w:t>同时设置规范的永久性排污口标志。</w:t>
            </w:r>
          </w:p>
          <w:p w14:paraId="1BB7D3FF">
            <w:pPr>
              <w:pStyle w:val="107"/>
              <w:numPr>
                <w:ilvl w:val="2"/>
                <w:numId w:val="0"/>
              </w:numPr>
              <w:spacing w:beforeLines="0" w:afterLines="0" w:line="360" w:lineRule="auto"/>
              <w:ind w:firstLine="480" w:firstLineChars="200"/>
              <w:rPr>
                <w:rFonts w:ascii="Times New Roman" w:eastAsiaTheme="minorEastAsia"/>
                <w:sz w:val="24"/>
                <w:szCs w:val="24"/>
              </w:rPr>
            </w:pPr>
            <w:r>
              <w:rPr>
                <w:rFonts w:hint="eastAsia" w:ascii="Times New Roman" w:eastAsiaTheme="minorEastAsia"/>
                <w:sz w:val="24"/>
                <w:szCs w:val="24"/>
              </w:rPr>
              <w:t>（2）</w:t>
            </w:r>
            <w:r>
              <w:rPr>
                <w:rFonts w:ascii="Times New Roman" w:eastAsiaTheme="minorEastAsia"/>
                <w:sz w:val="24"/>
                <w:szCs w:val="24"/>
              </w:rPr>
              <w:t>厂界监控点数量和位置的设置，</w:t>
            </w:r>
            <w:bookmarkStart w:id="4" w:name="OLE_LINK15"/>
            <w:r>
              <w:rPr>
                <w:rFonts w:ascii="Times New Roman" w:eastAsiaTheme="minorEastAsia"/>
                <w:sz w:val="24"/>
                <w:szCs w:val="24"/>
              </w:rPr>
              <w:t>应符合HJ/T 55的要求</w:t>
            </w:r>
            <w:bookmarkEnd w:id="4"/>
            <w:r>
              <w:rPr>
                <w:rFonts w:ascii="Times New Roman" w:eastAsiaTheme="minorEastAsia"/>
                <w:sz w:val="24"/>
                <w:szCs w:val="24"/>
              </w:rPr>
              <w:t>。</w:t>
            </w:r>
          </w:p>
          <w:p w14:paraId="426F6E6D">
            <w:pPr>
              <w:pStyle w:val="107"/>
              <w:numPr>
                <w:ilvl w:val="2"/>
                <w:numId w:val="0"/>
              </w:numPr>
              <w:spacing w:beforeLines="0" w:afterLines="0" w:line="360" w:lineRule="auto"/>
              <w:ind w:firstLine="480" w:firstLineChars="200"/>
              <w:rPr>
                <w:rFonts w:ascii="Times New Roman" w:eastAsiaTheme="minorEastAsia"/>
                <w:sz w:val="24"/>
                <w:szCs w:val="24"/>
              </w:rPr>
            </w:pPr>
            <w:bookmarkStart w:id="5" w:name="OLE_LINK17"/>
            <w:bookmarkStart w:id="6" w:name="OLE_LINK16"/>
            <w:r>
              <w:rPr>
                <w:rFonts w:hint="eastAsia" w:ascii="Times New Roman" w:eastAsiaTheme="minorEastAsia"/>
                <w:sz w:val="24"/>
                <w:szCs w:val="24"/>
              </w:rPr>
              <w:t>（3）</w:t>
            </w:r>
            <w:r>
              <w:rPr>
                <w:rFonts w:ascii="Times New Roman" w:eastAsiaTheme="minorEastAsia"/>
                <w:sz w:val="24"/>
                <w:szCs w:val="24"/>
              </w:rPr>
              <w:t>实施监督性监测期间的</w:t>
            </w:r>
            <w:bookmarkEnd w:id="5"/>
            <w:r>
              <w:rPr>
                <w:rFonts w:ascii="Times New Roman" w:eastAsiaTheme="minorEastAsia"/>
                <w:sz w:val="24"/>
                <w:szCs w:val="24"/>
              </w:rPr>
              <w:t>采样频次应符合GB/T 16157、HJ/T 397和HJ/T 55的要求</w:t>
            </w:r>
            <w:bookmarkEnd w:id="6"/>
            <w:r>
              <w:rPr>
                <w:rFonts w:ascii="Times New Roman" w:eastAsiaTheme="minorEastAsia"/>
                <w:sz w:val="24"/>
                <w:szCs w:val="24"/>
              </w:rPr>
              <w:t>。</w:t>
            </w:r>
          </w:p>
          <w:p w14:paraId="6951AD94">
            <w:pPr>
              <w:pStyle w:val="107"/>
              <w:numPr>
                <w:ilvl w:val="2"/>
                <w:numId w:val="0"/>
              </w:numPr>
              <w:spacing w:beforeLines="0" w:afterLines="0" w:line="360" w:lineRule="auto"/>
              <w:ind w:firstLine="480" w:firstLineChars="200"/>
              <w:rPr>
                <w:rFonts w:ascii="Times New Roman" w:eastAsiaTheme="minorEastAsia"/>
                <w:sz w:val="24"/>
                <w:szCs w:val="24"/>
              </w:rPr>
            </w:pPr>
            <w:r>
              <w:rPr>
                <w:rFonts w:hint="eastAsia" w:ascii="Times New Roman" w:eastAsiaTheme="minorEastAsia"/>
                <w:sz w:val="24"/>
                <w:szCs w:val="24"/>
              </w:rPr>
              <w:t>（4）</w:t>
            </w:r>
            <w:r>
              <w:rPr>
                <w:rFonts w:ascii="Times New Roman" w:eastAsiaTheme="minorEastAsia"/>
                <w:sz w:val="24"/>
                <w:szCs w:val="24"/>
              </w:rPr>
              <w:t>污染源采样方法应符合GB/T 16157、HJ/T 397、HJ 732和相关分析方法标准的要求；厂界监控点采样方法应符合HJ/T 55和相关分析方法标准的要求。</w:t>
            </w:r>
          </w:p>
          <w:p w14:paraId="120DAA00">
            <w:pPr>
              <w:pStyle w:val="107"/>
              <w:numPr>
                <w:ilvl w:val="2"/>
                <w:numId w:val="0"/>
              </w:numPr>
              <w:spacing w:beforeLines="0" w:afterLines="0" w:line="360" w:lineRule="auto"/>
              <w:ind w:firstLine="480" w:firstLineChars="200"/>
              <w:rPr>
                <w:rFonts w:ascii="Times New Roman" w:eastAsiaTheme="minorEastAsia"/>
                <w:sz w:val="24"/>
                <w:szCs w:val="24"/>
              </w:rPr>
            </w:pPr>
            <w:r>
              <w:rPr>
                <w:rFonts w:hint="eastAsia" w:ascii="Times New Roman" w:eastAsiaTheme="minorEastAsia"/>
                <w:sz w:val="24"/>
                <w:szCs w:val="24"/>
              </w:rPr>
              <w:t>（5）</w:t>
            </w:r>
            <w:r>
              <w:rPr>
                <w:rFonts w:ascii="Times New Roman" w:eastAsiaTheme="minorEastAsia"/>
                <w:sz w:val="24"/>
                <w:szCs w:val="24"/>
              </w:rPr>
              <w:t>污染源污染物排放连续监测系统的安装及运行维护，按污染源自动监控管理办法、HJ 75、HJ 76等相关要求及相关法律和规定执行。</w:t>
            </w:r>
          </w:p>
          <w:p w14:paraId="274F9008">
            <w:pPr>
              <w:spacing w:line="360" w:lineRule="auto"/>
              <w:ind w:firstLine="480" w:firstLineChars="200"/>
              <w:jc w:val="left"/>
              <w:rPr>
                <w:sz w:val="24"/>
              </w:rPr>
            </w:pPr>
            <w:r>
              <w:rPr>
                <w:rFonts w:hint="eastAsia" w:eastAsiaTheme="minorEastAsia"/>
                <w:sz w:val="24"/>
                <w:szCs w:val="24"/>
              </w:rPr>
              <w:t>（6）</w:t>
            </w:r>
            <w:r>
              <w:rPr>
                <w:rFonts w:eastAsiaTheme="minorEastAsia"/>
                <w:sz w:val="24"/>
                <w:szCs w:val="24"/>
              </w:rPr>
              <w:t>企业应按照有关法律和环境监测管理办法等规定，建立企业监测制度，制定监测方案，对污染物排放状况及其对周边环境质量的影响开展自行监测，保存原始监测记录，并公布监测结果。企业</w:t>
            </w:r>
            <w:r>
              <w:rPr>
                <w:rFonts w:eastAsiaTheme="minorEastAsia"/>
                <w:color w:val="000000"/>
                <w:sz w:val="24"/>
                <w:szCs w:val="24"/>
              </w:rPr>
              <w:t>自行监测方案制定、监测质量保证和质量控制等应符合HJ 819的要求</w:t>
            </w:r>
            <w:r>
              <w:rPr>
                <w:color w:val="000000"/>
                <w:sz w:val="24"/>
                <w:szCs w:val="24"/>
              </w:rPr>
              <w:t>。</w:t>
            </w:r>
          </w:p>
          <w:p w14:paraId="38AE264D">
            <w:pPr>
              <w:spacing w:line="360" w:lineRule="auto"/>
              <w:ind w:firstLine="480" w:firstLineChars="200"/>
              <w:rPr>
                <w:sz w:val="24"/>
              </w:rPr>
            </w:pPr>
            <w:r>
              <w:rPr>
                <w:sz w:val="24"/>
              </w:rPr>
              <w:t>根据本企业的排污特点及《环境监测工作的实施细则》，确定监测内容、监测项目及监测频率。监测计划见下表。</w:t>
            </w:r>
          </w:p>
          <w:p w14:paraId="6CCAB6D4">
            <w:pPr>
              <w:pStyle w:val="78"/>
              <w:spacing w:line="240" w:lineRule="auto"/>
              <w:ind w:firstLine="0" w:firstLineChars="0"/>
              <w:jc w:val="center"/>
              <w:rPr>
                <w:rFonts w:cs="Times New Roman"/>
                <w:b/>
                <w:kern w:val="0"/>
                <w:sz w:val="24"/>
                <w:szCs w:val="24"/>
              </w:rPr>
            </w:pPr>
            <w:r>
              <w:rPr>
                <w:rFonts w:cs="Times New Roman"/>
                <w:b/>
                <w:kern w:val="0"/>
                <w:sz w:val="24"/>
                <w:szCs w:val="24"/>
              </w:rPr>
              <w:t>表7-</w:t>
            </w:r>
            <w:r>
              <w:rPr>
                <w:rFonts w:hint="eastAsia" w:cs="Times New Roman"/>
                <w:b/>
                <w:kern w:val="0"/>
                <w:sz w:val="24"/>
                <w:szCs w:val="24"/>
              </w:rPr>
              <w:t>21</w:t>
            </w:r>
            <w:r>
              <w:rPr>
                <w:rFonts w:cs="Times New Roman"/>
                <w:b/>
                <w:kern w:val="0"/>
                <w:sz w:val="24"/>
                <w:szCs w:val="24"/>
              </w:rPr>
              <w:t xml:space="preserve"> 监测计划一览表</w:t>
            </w:r>
          </w:p>
          <w:tbl>
            <w:tblPr>
              <w:tblStyle w:val="27"/>
              <w:tblW w:w="906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2351"/>
              <w:gridCol w:w="2904"/>
              <w:gridCol w:w="2731"/>
            </w:tblGrid>
            <w:tr w14:paraId="3A9CA3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75" w:type="dxa"/>
                  <w:vAlign w:val="center"/>
                </w:tcPr>
                <w:p w14:paraId="5CFBD1DC">
                  <w:pPr>
                    <w:jc w:val="center"/>
                    <w:rPr>
                      <w:bCs/>
                      <w:szCs w:val="21"/>
                    </w:rPr>
                  </w:pPr>
                  <w:r>
                    <w:rPr>
                      <w:bCs/>
                      <w:szCs w:val="21"/>
                    </w:rPr>
                    <w:t>环境</w:t>
                  </w:r>
                </w:p>
                <w:p w14:paraId="0EE8A3DB">
                  <w:pPr>
                    <w:jc w:val="center"/>
                    <w:rPr>
                      <w:bCs/>
                      <w:szCs w:val="21"/>
                    </w:rPr>
                  </w:pPr>
                  <w:r>
                    <w:rPr>
                      <w:bCs/>
                      <w:szCs w:val="21"/>
                    </w:rPr>
                    <w:t>要素</w:t>
                  </w:r>
                </w:p>
              </w:tc>
              <w:tc>
                <w:tcPr>
                  <w:tcW w:w="2351" w:type="dxa"/>
                  <w:vAlign w:val="center"/>
                </w:tcPr>
                <w:p w14:paraId="721B4284">
                  <w:pPr>
                    <w:jc w:val="center"/>
                    <w:rPr>
                      <w:bCs/>
                      <w:szCs w:val="21"/>
                    </w:rPr>
                  </w:pPr>
                  <w:r>
                    <w:rPr>
                      <w:bCs/>
                      <w:szCs w:val="21"/>
                    </w:rPr>
                    <w:t>监测位置</w:t>
                  </w:r>
                </w:p>
              </w:tc>
              <w:tc>
                <w:tcPr>
                  <w:tcW w:w="2904" w:type="dxa"/>
                  <w:vAlign w:val="center"/>
                </w:tcPr>
                <w:p w14:paraId="0F20AFD0">
                  <w:pPr>
                    <w:jc w:val="center"/>
                    <w:rPr>
                      <w:bCs/>
                      <w:szCs w:val="21"/>
                    </w:rPr>
                  </w:pPr>
                  <w:r>
                    <w:rPr>
                      <w:bCs/>
                      <w:szCs w:val="21"/>
                    </w:rPr>
                    <w:t>监测项目</w:t>
                  </w:r>
                </w:p>
              </w:tc>
              <w:tc>
                <w:tcPr>
                  <w:tcW w:w="2731" w:type="dxa"/>
                  <w:vAlign w:val="center"/>
                </w:tcPr>
                <w:p w14:paraId="10057BF0">
                  <w:pPr>
                    <w:jc w:val="center"/>
                    <w:rPr>
                      <w:bCs/>
                      <w:szCs w:val="21"/>
                    </w:rPr>
                  </w:pPr>
                  <w:r>
                    <w:rPr>
                      <w:bCs/>
                      <w:szCs w:val="21"/>
                    </w:rPr>
                    <w:t>监测频次</w:t>
                  </w:r>
                </w:p>
              </w:tc>
            </w:tr>
            <w:tr w14:paraId="74A95FC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1075" w:type="dxa"/>
                  <w:vMerge w:val="restart"/>
                  <w:vAlign w:val="center"/>
                </w:tcPr>
                <w:p w14:paraId="6D211199">
                  <w:pPr>
                    <w:jc w:val="center"/>
                    <w:rPr>
                      <w:bCs/>
                      <w:szCs w:val="21"/>
                    </w:rPr>
                  </w:pPr>
                  <w:r>
                    <w:rPr>
                      <w:bCs/>
                      <w:szCs w:val="21"/>
                    </w:rPr>
                    <w:t>废气</w:t>
                  </w:r>
                </w:p>
              </w:tc>
              <w:tc>
                <w:tcPr>
                  <w:tcW w:w="2351" w:type="dxa"/>
                  <w:vAlign w:val="center"/>
                </w:tcPr>
                <w:p w14:paraId="7624021F">
                  <w:pPr>
                    <w:jc w:val="center"/>
                    <w:rPr>
                      <w:bCs/>
                      <w:szCs w:val="21"/>
                    </w:rPr>
                  </w:pPr>
                  <w:r>
                    <w:rPr>
                      <w:bCs/>
                      <w:szCs w:val="21"/>
                    </w:rPr>
                    <w:t>排气筒</w:t>
                  </w:r>
                  <w:r>
                    <w:rPr>
                      <w:rFonts w:hint="eastAsia"/>
                      <w:bCs/>
                      <w:szCs w:val="21"/>
                    </w:rPr>
                    <w:t>P1、P2</w:t>
                  </w:r>
                </w:p>
              </w:tc>
              <w:tc>
                <w:tcPr>
                  <w:tcW w:w="2904" w:type="dxa"/>
                  <w:vAlign w:val="center"/>
                </w:tcPr>
                <w:p w14:paraId="10B62B3D">
                  <w:pPr>
                    <w:jc w:val="center"/>
                    <w:rPr>
                      <w:bCs/>
                      <w:szCs w:val="21"/>
                    </w:rPr>
                  </w:pPr>
                  <w:r>
                    <w:rPr>
                      <w:bCs/>
                      <w:szCs w:val="21"/>
                    </w:rPr>
                    <w:t>VOCs</w:t>
                  </w:r>
                  <w:r>
                    <w:rPr>
                      <w:rFonts w:hint="eastAsia"/>
                      <w:bCs/>
                      <w:szCs w:val="21"/>
                    </w:rPr>
                    <w:t>、二甲苯、颗粒物</w:t>
                  </w:r>
                </w:p>
              </w:tc>
              <w:tc>
                <w:tcPr>
                  <w:tcW w:w="2731" w:type="dxa"/>
                  <w:vAlign w:val="center"/>
                </w:tcPr>
                <w:p w14:paraId="3CF1F777">
                  <w:pPr>
                    <w:jc w:val="center"/>
                    <w:rPr>
                      <w:bCs/>
                      <w:szCs w:val="21"/>
                    </w:rPr>
                  </w:pPr>
                  <w:r>
                    <w:rPr>
                      <w:bCs/>
                      <w:szCs w:val="21"/>
                    </w:rPr>
                    <w:t>每年监测一次，每次两天，每天监测4次</w:t>
                  </w:r>
                </w:p>
              </w:tc>
            </w:tr>
            <w:tr w14:paraId="7F7E26C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075" w:type="dxa"/>
                  <w:vMerge w:val="continue"/>
                  <w:vAlign w:val="center"/>
                </w:tcPr>
                <w:p w14:paraId="55674F0D">
                  <w:pPr>
                    <w:jc w:val="center"/>
                    <w:rPr>
                      <w:bCs/>
                      <w:szCs w:val="21"/>
                    </w:rPr>
                  </w:pPr>
                </w:p>
              </w:tc>
              <w:tc>
                <w:tcPr>
                  <w:tcW w:w="2351" w:type="dxa"/>
                  <w:vAlign w:val="center"/>
                </w:tcPr>
                <w:p w14:paraId="7EAA3DE1">
                  <w:pPr>
                    <w:jc w:val="center"/>
                    <w:rPr>
                      <w:bCs/>
                      <w:szCs w:val="21"/>
                    </w:rPr>
                  </w:pPr>
                  <w:r>
                    <w:rPr>
                      <w:bCs/>
                      <w:szCs w:val="21"/>
                    </w:rPr>
                    <w:t>厂界</w:t>
                  </w:r>
                </w:p>
              </w:tc>
              <w:tc>
                <w:tcPr>
                  <w:tcW w:w="2904" w:type="dxa"/>
                  <w:vAlign w:val="center"/>
                </w:tcPr>
                <w:p w14:paraId="035B03EB">
                  <w:pPr>
                    <w:jc w:val="center"/>
                    <w:rPr>
                      <w:bCs/>
                      <w:szCs w:val="21"/>
                    </w:rPr>
                  </w:pPr>
                  <w:r>
                    <w:rPr>
                      <w:bCs/>
                      <w:szCs w:val="21"/>
                    </w:rPr>
                    <w:t>VOCs</w:t>
                  </w:r>
                  <w:r>
                    <w:rPr>
                      <w:rFonts w:hint="eastAsia"/>
                      <w:bCs/>
                      <w:szCs w:val="21"/>
                    </w:rPr>
                    <w:t>、二甲苯、颗粒物</w:t>
                  </w:r>
                </w:p>
              </w:tc>
              <w:tc>
                <w:tcPr>
                  <w:tcW w:w="2731" w:type="dxa"/>
                  <w:vAlign w:val="center"/>
                </w:tcPr>
                <w:p w14:paraId="160C2D20">
                  <w:pPr>
                    <w:jc w:val="center"/>
                    <w:rPr>
                      <w:bCs/>
                      <w:szCs w:val="21"/>
                    </w:rPr>
                  </w:pPr>
                  <w:r>
                    <w:rPr>
                      <w:bCs/>
                      <w:szCs w:val="21"/>
                    </w:rPr>
                    <w:t>每年监测一次，每次两天，每天监测4次</w:t>
                  </w:r>
                </w:p>
              </w:tc>
            </w:tr>
            <w:tr w14:paraId="52738A7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1075" w:type="dxa"/>
                  <w:vAlign w:val="center"/>
                </w:tcPr>
                <w:p w14:paraId="2804FEFE">
                  <w:pPr>
                    <w:jc w:val="center"/>
                    <w:rPr>
                      <w:bCs/>
                      <w:szCs w:val="21"/>
                    </w:rPr>
                  </w:pPr>
                  <w:r>
                    <w:rPr>
                      <w:bCs/>
                      <w:szCs w:val="21"/>
                    </w:rPr>
                    <w:t>废水</w:t>
                  </w:r>
                </w:p>
              </w:tc>
              <w:tc>
                <w:tcPr>
                  <w:tcW w:w="2351" w:type="dxa"/>
                  <w:vAlign w:val="center"/>
                </w:tcPr>
                <w:p w14:paraId="3E8D6DDA">
                  <w:pPr>
                    <w:jc w:val="center"/>
                    <w:rPr>
                      <w:bCs/>
                      <w:szCs w:val="21"/>
                    </w:rPr>
                  </w:pPr>
                  <w:r>
                    <w:rPr>
                      <w:bCs/>
                      <w:szCs w:val="21"/>
                    </w:rPr>
                    <w:t>厂区排污口</w:t>
                  </w:r>
                </w:p>
              </w:tc>
              <w:tc>
                <w:tcPr>
                  <w:tcW w:w="2904" w:type="dxa"/>
                  <w:vAlign w:val="center"/>
                </w:tcPr>
                <w:p w14:paraId="1FC5F23C">
                  <w:pPr>
                    <w:jc w:val="center"/>
                    <w:rPr>
                      <w:bCs/>
                      <w:szCs w:val="21"/>
                    </w:rPr>
                  </w:pPr>
                  <w:r>
                    <w:rPr>
                      <w:bCs/>
                      <w:szCs w:val="21"/>
                    </w:rPr>
                    <w:t>COD</w:t>
                  </w:r>
                  <w:r>
                    <w:rPr>
                      <w:rFonts w:hint="eastAsia"/>
                      <w:bCs/>
                      <w:szCs w:val="21"/>
                    </w:rPr>
                    <w:t>cr</w:t>
                  </w:r>
                  <w:r>
                    <w:rPr>
                      <w:bCs/>
                      <w:szCs w:val="21"/>
                    </w:rPr>
                    <w:t>、氨氮</w:t>
                  </w:r>
                </w:p>
              </w:tc>
              <w:tc>
                <w:tcPr>
                  <w:tcW w:w="2731" w:type="dxa"/>
                  <w:vAlign w:val="center"/>
                </w:tcPr>
                <w:p w14:paraId="412094C0">
                  <w:pPr>
                    <w:jc w:val="center"/>
                    <w:rPr>
                      <w:bCs/>
                      <w:szCs w:val="21"/>
                    </w:rPr>
                  </w:pPr>
                  <w:r>
                    <w:rPr>
                      <w:bCs/>
                      <w:szCs w:val="21"/>
                    </w:rPr>
                    <w:t>每年监测一次，每次两天，每天监测一次</w:t>
                  </w:r>
                </w:p>
              </w:tc>
            </w:tr>
            <w:tr w14:paraId="497F4A7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075" w:type="dxa"/>
                  <w:vAlign w:val="center"/>
                </w:tcPr>
                <w:p w14:paraId="667E4FEA">
                  <w:pPr>
                    <w:jc w:val="center"/>
                    <w:rPr>
                      <w:bCs/>
                      <w:szCs w:val="21"/>
                    </w:rPr>
                  </w:pPr>
                  <w:r>
                    <w:rPr>
                      <w:bCs/>
                      <w:szCs w:val="21"/>
                    </w:rPr>
                    <w:t>噪声</w:t>
                  </w:r>
                </w:p>
              </w:tc>
              <w:tc>
                <w:tcPr>
                  <w:tcW w:w="2351" w:type="dxa"/>
                  <w:vAlign w:val="center"/>
                </w:tcPr>
                <w:p w14:paraId="6ADB7AB0">
                  <w:pPr>
                    <w:jc w:val="center"/>
                    <w:rPr>
                      <w:bCs/>
                      <w:szCs w:val="21"/>
                    </w:rPr>
                  </w:pPr>
                  <w:r>
                    <w:rPr>
                      <w:bCs/>
                      <w:szCs w:val="21"/>
                    </w:rPr>
                    <w:t>厂界</w:t>
                  </w:r>
                </w:p>
              </w:tc>
              <w:tc>
                <w:tcPr>
                  <w:tcW w:w="2904" w:type="dxa"/>
                  <w:vAlign w:val="center"/>
                </w:tcPr>
                <w:p w14:paraId="1EB1E102">
                  <w:pPr>
                    <w:jc w:val="center"/>
                    <w:rPr>
                      <w:bCs/>
                      <w:szCs w:val="21"/>
                    </w:rPr>
                  </w:pPr>
                  <w:r>
                    <w:rPr>
                      <w:bCs/>
                      <w:szCs w:val="21"/>
                    </w:rPr>
                    <w:t>LAeq</w:t>
                  </w:r>
                </w:p>
              </w:tc>
              <w:tc>
                <w:tcPr>
                  <w:tcW w:w="2731" w:type="dxa"/>
                  <w:vAlign w:val="center"/>
                </w:tcPr>
                <w:p w14:paraId="31E29A23">
                  <w:pPr>
                    <w:jc w:val="center"/>
                    <w:rPr>
                      <w:bCs/>
                      <w:szCs w:val="21"/>
                    </w:rPr>
                  </w:pPr>
                  <w:r>
                    <w:rPr>
                      <w:bCs/>
                      <w:szCs w:val="21"/>
                    </w:rPr>
                    <w:t>每季一次，每次两天，昼夜各监测1次</w:t>
                  </w:r>
                </w:p>
              </w:tc>
            </w:tr>
            <w:tr w14:paraId="4FDBED4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1075" w:type="dxa"/>
                  <w:vAlign w:val="center"/>
                </w:tcPr>
                <w:p w14:paraId="1C5F9306">
                  <w:pPr>
                    <w:jc w:val="center"/>
                    <w:rPr>
                      <w:bCs/>
                      <w:szCs w:val="21"/>
                    </w:rPr>
                  </w:pPr>
                  <w:r>
                    <w:rPr>
                      <w:bCs/>
                      <w:szCs w:val="21"/>
                    </w:rPr>
                    <w:t>固废</w:t>
                  </w:r>
                </w:p>
              </w:tc>
              <w:tc>
                <w:tcPr>
                  <w:tcW w:w="2351" w:type="dxa"/>
                  <w:vAlign w:val="center"/>
                </w:tcPr>
                <w:p w14:paraId="3E3BF8D4">
                  <w:pPr>
                    <w:jc w:val="center"/>
                    <w:rPr>
                      <w:bCs/>
                      <w:szCs w:val="21"/>
                    </w:rPr>
                  </w:pPr>
                  <w:r>
                    <w:rPr>
                      <w:bCs/>
                      <w:szCs w:val="21"/>
                    </w:rPr>
                    <w:t>统计各类固废量</w:t>
                  </w:r>
                </w:p>
              </w:tc>
              <w:tc>
                <w:tcPr>
                  <w:tcW w:w="2904" w:type="dxa"/>
                  <w:vAlign w:val="center"/>
                </w:tcPr>
                <w:p w14:paraId="77CA2A08">
                  <w:pPr>
                    <w:jc w:val="center"/>
                    <w:rPr>
                      <w:bCs/>
                      <w:szCs w:val="21"/>
                    </w:rPr>
                  </w:pPr>
                  <w:r>
                    <w:rPr>
                      <w:bCs/>
                      <w:szCs w:val="21"/>
                    </w:rPr>
                    <w:t>产生量、贮存状况、处置去向</w:t>
                  </w:r>
                </w:p>
              </w:tc>
              <w:tc>
                <w:tcPr>
                  <w:tcW w:w="2731" w:type="dxa"/>
                  <w:vAlign w:val="center"/>
                </w:tcPr>
                <w:p w14:paraId="6AB1FA34">
                  <w:pPr>
                    <w:jc w:val="center"/>
                    <w:rPr>
                      <w:bCs/>
                      <w:szCs w:val="21"/>
                    </w:rPr>
                  </w:pPr>
                  <w:r>
                    <w:rPr>
                      <w:bCs/>
                      <w:szCs w:val="21"/>
                    </w:rPr>
                    <w:t>每月统计一次</w:t>
                  </w:r>
                </w:p>
              </w:tc>
            </w:tr>
          </w:tbl>
          <w:p w14:paraId="75C872DD">
            <w:pPr>
              <w:pStyle w:val="41"/>
              <w:spacing w:line="360" w:lineRule="auto"/>
              <w:ind w:firstLine="482" w:firstLineChars="200"/>
              <w:rPr>
                <w:rFonts w:ascii="Times New Roman" w:cs="Times New Roman"/>
                <w:b/>
                <w:bCs/>
                <w:color w:val="auto"/>
              </w:rPr>
            </w:pPr>
            <w:r>
              <w:rPr>
                <w:rFonts w:hint="eastAsia" w:ascii="Times New Roman" w:cs="Times New Roman"/>
                <w:b/>
                <w:bCs/>
                <w:color w:val="auto"/>
              </w:rPr>
              <w:t>九、</w:t>
            </w:r>
            <w:r>
              <w:rPr>
                <w:rFonts w:ascii="Times New Roman" w:cs="Times New Roman"/>
                <w:b/>
                <w:bCs/>
                <w:color w:val="auto"/>
              </w:rPr>
              <w:t>排污许可</w:t>
            </w:r>
          </w:p>
          <w:p w14:paraId="594D0C45">
            <w:pPr>
              <w:snapToGrid w:val="0"/>
              <w:spacing w:line="360" w:lineRule="auto"/>
              <w:ind w:firstLine="480" w:firstLineChars="200"/>
              <w:rPr>
                <w:b/>
                <w:sz w:val="24"/>
              </w:rPr>
            </w:pPr>
            <w:r>
              <w:rPr>
                <w:sz w:val="24"/>
                <w:szCs w:val="24"/>
              </w:rPr>
              <w:t>根据《控制污染物排放许可制实施方案》（国办发[2016]81号，2016年11月11日）和《关于印发&lt;排污许可证管理暂行规定&gt;的通知》（环水体[2016]186号，2016年12月23日）等文件，环境影响评价制度是建设项目的环境准入门槛，排污许可制是企事业单位生产运营期排污的法律依据，必须做好充分衔接，实现从污染预防到污染治理和排放控制的全过程监管。企业应按《固定污染源排污许可分类管理名录（2019年版）》（环境保护部令部令第45号）要求，申请并取得排污许可证。</w:t>
            </w:r>
          </w:p>
          <w:p w14:paraId="71C9D787">
            <w:pPr>
              <w:snapToGrid w:val="0"/>
              <w:spacing w:line="360" w:lineRule="auto"/>
              <w:ind w:firstLine="482" w:firstLineChars="200"/>
              <w:rPr>
                <w:b/>
                <w:sz w:val="24"/>
              </w:rPr>
            </w:pPr>
            <w:r>
              <w:rPr>
                <w:rFonts w:hint="eastAsia"/>
                <w:b/>
                <w:sz w:val="24"/>
              </w:rPr>
              <w:t>十</w:t>
            </w:r>
            <w:r>
              <w:rPr>
                <w:b/>
                <w:sz w:val="24"/>
              </w:rPr>
              <w:t>、环保“三同时”验收</w:t>
            </w:r>
          </w:p>
          <w:p w14:paraId="3E1BE085">
            <w:pPr>
              <w:snapToGrid w:val="0"/>
              <w:spacing w:line="360" w:lineRule="auto"/>
              <w:ind w:firstLine="480" w:firstLineChars="200"/>
              <w:rPr>
                <w:kern w:val="24"/>
                <w:sz w:val="24"/>
              </w:rPr>
            </w:pPr>
            <w:r>
              <w:rPr>
                <w:kern w:val="24"/>
                <w:sz w:val="24"/>
              </w:rPr>
              <w:t xml:space="preserve"> “三同时”验收清单见下表。</w:t>
            </w:r>
          </w:p>
          <w:p w14:paraId="2A1B070D">
            <w:pPr>
              <w:jc w:val="center"/>
              <w:rPr>
                <w:b/>
                <w:sz w:val="24"/>
              </w:rPr>
            </w:pPr>
            <w:r>
              <w:rPr>
                <w:b/>
                <w:sz w:val="24"/>
              </w:rPr>
              <w:t>表7-</w:t>
            </w:r>
            <w:r>
              <w:rPr>
                <w:rFonts w:hint="eastAsia"/>
                <w:b/>
                <w:sz w:val="24"/>
              </w:rPr>
              <w:t>22</w:t>
            </w:r>
            <w:r>
              <w:rPr>
                <w:b/>
                <w:sz w:val="24"/>
              </w:rPr>
              <w:t>建设项目“三同时”验收一览表</w:t>
            </w:r>
          </w:p>
          <w:tbl>
            <w:tblPr>
              <w:tblStyle w:val="27"/>
              <w:tblW w:w="90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023"/>
              <w:gridCol w:w="2818"/>
              <w:gridCol w:w="5219"/>
            </w:tblGrid>
            <w:tr w14:paraId="317F146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23" w:type="dxa"/>
                  <w:vAlign w:val="center"/>
                </w:tcPr>
                <w:p w14:paraId="569A6F9F">
                  <w:pPr>
                    <w:pStyle w:val="79"/>
                    <w:snapToGrid/>
                    <w:ind w:firstLine="211"/>
                    <w:rPr>
                      <w:rFonts w:eastAsia="宋体"/>
                      <w:bCs/>
                      <w:sz w:val="21"/>
                      <w:szCs w:val="21"/>
                    </w:rPr>
                  </w:pPr>
                  <w:r>
                    <w:rPr>
                      <w:rFonts w:eastAsia="宋体"/>
                      <w:bCs/>
                      <w:sz w:val="21"/>
                      <w:szCs w:val="21"/>
                    </w:rPr>
                    <w:t>类别</w:t>
                  </w:r>
                </w:p>
              </w:tc>
              <w:tc>
                <w:tcPr>
                  <w:tcW w:w="2818" w:type="dxa"/>
                  <w:vAlign w:val="center"/>
                </w:tcPr>
                <w:p w14:paraId="297CE345">
                  <w:pPr>
                    <w:pStyle w:val="79"/>
                    <w:snapToGrid/>
                    <w:ind w:firstLine="211"/>
                    <w:rPr>
                      <w:rFonts w:eastAsia="宋体"/>
                      <w:bCs/>
                      <w:sz w:val="21"/>
                      <w:szCs w:val="21"/>
                    </w:rPr>
                  </w:pPr>
                  <w:r>
                    <w:rPr>
                      <w:rFonts w:eastAsia="宋体"/>
                      <w:bCs/>
                      <w:sz w:val="21"/>
                      <w:szCs w:val="21"/>
                    </w:rPr>
                    <w:t>验收内容</w:t>
                  </w:r>
                </w:p>
              </w:tc>
              <w:tc>
                <w:tcPr>
                  <w:tcW w:w="5219" w:type="dxa"/>
                  <w:vAlign w:val="center"/>
                </w:tcPr>
                <w:p w14:paraId="5B6BC3EB">
                  <w:pPr>
                    <w:pStyle w:val="79"/>
                    <w:snapToGrid/>
                    <w:ind w:firstLine="211"/>
                    <w:rPr>
                      <w:rFonts w:eastAsia="宋体"/>
                      <w:bCs/>
                      <w:sz w:val="21"/>
                      <w:szCs w:val="21"/>
                    </w:rPr>
                  </w:pPr>
                  <w:r>
                    <w:rPr>
                      <w:rFonts w:eastAsia="宋体"/>
                      <w:bCs/>
                      <w:sz w:val="21"/>
                      <w:szCs w:val="21"/>
                    </w:rPr>
                    <w:t>验收标准</w:t>
                  </w:r>
                </w:p>
              </w:tc>
            </w:tr>
            <w:tr w14:paraId="205E032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23" w:type="dxa"/>
                  <w:vMerge w:val="restart"/>
                  <w:vAlign w:val="center"/>
                </w:tcPr>
                <w:p w14:paraId="5B077D41">
                  <w:pPr>
                    <w:pStyle w:val="79"/>
                    <w:snapToGrid/>
                    <w:rPr>
                      <w:rFonts w:eastAsia="宋体"/>
                      <w:bCs/>
                      <w:sz w:val="21"/>
                      <w:szCs w:val="21"/>
                    </w:rPr>
                  </w:pPr>
                  <w:r>
                    <w:rPr>
                      <w:rFonts w:eastAsia="宋体"/>
                      <w:bCs/>
                      <w:sz w:val="21"/>
                      <w:szCs w:val="21"/>
                    </w:rPr>
                    <w:t>废气</w:t>
                  </w:r>
                </w:p>
              </w:tc>
              <w:tc>
                <w:tcPr>
                  <w:tcW w:w="2818" w:type="dxa"/>
                  <w:vAlign w:val="center"/>
                </w:tcPr>
                <w:p w14:paraId="7DBF8FE0">
                  <w:pPr>
                    <w:rPr>
                      <w:szCs w:val="21"/>
                    </w:rPr>
                  </w:pPr>
                  <w:r>
                    <w:rPr>
                      <w:rFonts w:hint="eastAsia" w:eastAsiaTheme="minorEastAsia"/>
                      <w:szCs w:val="21"/>
                    </w:rPr>
                    <w:t>生产</w:t>
                  </w:r>
                  <w:r>
                    <w:rPr>
                      <w:rFonts w:eastAsiaTheme="minorEastAsia"/>
                      <w:szCs w:val="21"/>
                    </w:rPr>
                    <w:t>过程产生的有机废气经</w:t>
                  </w:r>
                  <w:r>
                    <w:rPr>
                      <w:rFonts w:hint="eastAsia" w:eastAsiaTheme="minorEastAsia"/>
                      <w:szCs w:val="21"/>
                    </w:rPr>
                    <w:t>催化燃烧废气处理装置</w:t>
                  </w:r>
                  <w:r>
                    <w:rPr>
                      <w:rFonts w:eastAsiaTheme="minorEastAsia"/>
                      <w:szCs w:val="21"/>
                    </w:rPr>
                    <w:t>处理后由15m排气筒</w:t>
                  </w:r>
                  <w:r>
                    <w:rPr>
                      <w:rFonts w:hint="eastAsia" w:eastAsiaTheme="minorEastAsia"/>
                      <w:szCs w:val="21"/>
                    </w:rPr>
                    <w:t>（P1）</w:t>
                  </w:r>
                  <w:r>
                    <w:rPr>
                      <w:rFonts w:eastAsiaTheme="minorEastAsia"/>
                      <w:szCs w:val="21"/>
                    </w:rPr>
                    <w:t>达标排放</w:t>
                  </w:r>
                  <w:r>
                    <w:rPr>
                      <w:rFonts w:hint="eastAsia"/>
                      <w:szCs w:val="21"/>
                    </w:rPr>
                    <w:t>。</w:t>
                  </w:r>
                </w:p>
              </w:tc>
              <w:tc>
                <w:tcPr>
                  <w:tcW w:w="5219" w:type="dxa"/>
                  <w:vAlign w:val="center"/>
                </w:tcPr>
                <w:p w14:paraId="5BB9F3E2">
                  <w:pPr>
                    <w:rPr>
                      <w:szCs w:val="21"/>
                    </w:rPr>
                  </w:pPr>
                  <w:r>
                    <w:rPr>
                      <w:szCs w:val="21"/>
                    </w:rPr>
                    <w:t>有机废气</w:t>
                  </w:r>
                  <w:r>
                    <w:rPr>
                      <w:rFonts w:hint="eastAsia"/>
                      <w:szCs w:val="21"/>
                    </w:rPr>
                    <w:t>满足</w:t>
                  </w:r>
                  <w:r>
                    <w:rPr>
                      <w:szCs w:val="21"/>
                    </w:rPr>
                    <w:t>《挥发性有机物排放标准第5部分：表面涂装行业》（DB37/2801.5-2018）表2标准（二甲苯浓度限值15mg/m</w:t>
                  </w:r>
                  <w:r>
                    <w:rPr>
                      <w:szCs w:val="21"/>
                      <w:vertAlign w:val="superscript"/>
                    </w:rPr>
                    <w:t>3</w:t>
                  </w:r>
                  <w:r>
                    <w:rPr>
                      <w:szCs w:val="21"/>
                    </w:rPr>
                    <w:t>、速率限值0.8kg/h；VOCs浓度限值70mg/m</w:t>
                  </w:r>
                  <w:r>
                    <w:rPr>
                      <w:szCs w:val="21"/>
                      <w:vertAlign w:val="superscript"/>
                    </w:rPr>
                    <w:t>3</w:t>
                  </w:r>
                  <w:r>
                    <w:rPr>
                      <w:szCs w:val="21"/>
                    </w:rPr>
                    <w:t>、速率限值2.4kg/h）、表3厂界监控点浓度限值（二甲苯0.2mg/m</w:t>
                  </w:r>
                  <w:r>
                    <w:rPr>
                      <w:szCs w:val="21"/>
                      <w:vertAlign w:val="superscript"/>
                    </w:rPr>
                    <w:t>3</w:t>
                  </w:r>
                  <w:r>
                    <w:rPr>
                      <w:szCs w:val="21"/>
                    </w:rPr>
                    <w:t>；VOCs2.0mg/m</w:t>
                  </w:r>
                  <w:r>
                    <w:rPr>
                      <w:szCs w:val="21"/>
                      <w:vertAlign w:val="superscript"/>
                    </w:rPr>
                    <w:t>3</w:t>
                  </w:r>
                  <w:r>
                    <w:rPr>
                      <w:szCs w:val="21"/>
                    </w:rPr>
                    <w:t>）、《挥发性有机物无组织排放控制标准》（GB37822-2019）及附录A厂区内VOCs无组织排放监控要求。</w:t>
                  </w:r>
                </w:p>
              </w:tc>
            </w:tr>
            <w:tr w14:paraId="4DA6A0D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23" w:type="dxa"/>
                  <w:vMerge w:val="continue"/>
                  <w:vAlign w:val="center"/>
                </w:tcPr>
                <w:p w14:paraId="6CDE21BB">
                  <w:pPr>
                    <w:pStyle w:val="79"/>
                    <w:snapToGrid/>
                    <w:rPr>
                      <w:rFonts w:eastAsia="宋体"/>
                      <w:bCs/>
                      <w:sz w:val="21"/>
                      <w:szCs w:val="21"/>
                    </w:rPr>
                  </w:pPr>
                </w:p>
              </w:tc>
              <w:tc>
                <w:tcPr>
                  <w:tcW w:w="2818" w:type="dxa"/>
                  <w:vAlign w:val="center"/>
                </w:tcPr>
                <w:p w14:paraId="5150455F">
                  <w:pPr>
                    <w:rPr>
                      <w:rFonts w:eastAsiaTheme="minorEastAsia"/>
                      <w:szCs w:val="21"/>
                    </w:rPr>
                  </w:pPr>
                  <w:r>
                    <w:rPr>
                      <w:rFonts w:hint="eastAsia"/>
                      <w:szCs w:val="21"/>
                    </w:rPr>
                    <w:t>抛光粉尘经布袋除尘器处理后由15m排气筒（P2）排放。</w:t>
                  </w:r>
                </w:p>
              </w:tc>
              <w:tc>
                <w:tcPr>
                  <w:tcW w:w="5219" w:type="dxa"/>
                  <w:vAlign w:val="center"/>
                </w:tcPr>
                <w:p w14:paraId="1DF57696">
                  <w:pPr>
                    <w:rPr>
                      <w:color w:val="FF0000"/>
                      <w:szCs w:val="21"/>
                    </w:rPr>
                  </w:pPr>
                  <w:r>
                    <w:rPr>
                      <w:rFonts w:hint="eastAsia"/>
                      <w:szCs w:val="21"/>
                    </w:rPr>
                    <w:t>颗粒物满足</w:t>
                  </w:r>
                  <w:r>
                    <w:rPr>
                      <w:szCs w:val="21"/>
                    </w:rPr>
                    <w:t>《山东省区域性大气污染物综合排放标准》（DB37/2376-2019）表1一般控制区浓度限值（颗粒物≦20mg/m</w:t>
                  </w:r>
                  <w:r>
                    <w:rPr>
                      <w:szCs w:val="21"/>
                      <w:vertAlign w:val="superscript"/>
                    </w:rPr>
                    <w:t>3</w:t>
                  </w:r>
                  <w:r>
                    <w:rPr>
                      <w:szCs w:val="21"/>
                    </w:rPr>
                    <w:t>）及《大气污染物综合排放标准》（GB16297-1996）表2</w:t>
                  </w:r>
                  <w:r>
                    <w:rPr>
                      <w:rFonts w:hint="eastAsia"/>
                      <w:szCs w:val="21"/>
                    </w:rPr>
                    <w:t>二级标准（</w:t>
                  </w:r>
                  <w:r>
                    <w:rPr>
                      <w:szCs w:val="21"/>
                    </w:rPr>
                    <w:t>颗粒物最高允许排放速率≦3.5kg/h）及无组织排放监控浓度限值（颗粒物≦1.0mg/m</w:t>
                  </w:r>
                  <w:r>
                    <w:rPr>
                      <w:szCs w:val="21"/>
                      <w:vertAlign w:val="superscript"/>
                    </w:rPr>
                    <w:t>3</w:t>
                  </w:r>
                  <w:r>
                    <w:rPr>
                      <w:szCs w:val="21"/>
                    </w:rPr>
                    <w:t>）</w:t>
                  </w:r>
                  <w:r>
                    <w:rPr>
                      <w:rFonts w:hint="eastAsia"/>
                      <w:szCs w:val="21"/>
                    </w:rPr>
                    <w:t>。</w:t>
                  </w:r>
                </w:p>
              </w:tc>
            </w:tr>
            <w:tr w14:paraId="10911B7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42" w:hRule="atLeast"/>
                <w:jc w:val="center"/>
              </w:trPr>
              <w:tc>
                <w:tcPr>
                  <w:tcW w:w="1023" w:type="dxa"/>
                  <w:vAlign w:val="center"/>
                </w:tcPr>
                <w:p w14:paraId="6E1E7B45">
                  <w:pPr>
                    <w:jc w:val="center"/>
                    <w:rPr>
                      <w:bCs/>
                      <w:szCs w:val="21"/>
                    </w:rPr>
                  </w:pPr>
                  <w:r>
                    <w:rPr>
                      <w:bCs/>
                      <w:szCs w:val="21"/>
                    </w:rPr>
                    <w:t>噪声</w:t>
                  </w:r>
                </w:p>
              </w:tc>
              <w:tc>
                <w:tcPr>
                  <w:tcW w:w="2818" w:type="dxa"/>
                  <w:vAlign w:val="center"/>
                </w:tcPr>
                <w:p w14:paraId="4383235E">
                  <w:pPr>
                    <w:rPr>
                      <w:bCs/>
                      <w:szCs w:val="21"/>
                    </w:rPr>
                  </w:pPr>
                  <w:r>
                    <w:rPr>
                      <w:szCs w:val="21"/>
                    </w:rPr>
                    <w:t>采取隔声、减震、合理布局等措施</w:t>
                  </w:r>
                  <w:r>
                    <w:rPr>
                      <w:bCs/>
                      <w:szCs w:val="21"/>
                    </w:rPr>
                    <w:t>。</w:t>
                  </w:r>
                </w:p>
              </w:tc>
              <w:tc>
                <w:tcPr>
                  <w:tcW w:w="5219" w:type="dxa"/>
                  <w:vAlign w:val="center"/>
                </w:tcPr>
                <w:p w14:paraId="44782317">
                  <w:pPr>
                    <w:ind w:leftChars="-13" w:hanging="27" w:hangingChars="13"/>
                    <w:jc w:val="center"/>
                    <w:rPr>
                      <w:bCs/>
                      <w:kern w:val="24"/>
                      <w:szCs w:val="21"/>
                    </w:rPr>
                  </w:pPr>
                  <w:r>
                    <w:rPr>
                      <w:bCs/>
                      <w:szCs w:val="21"/>
                    </w:rPr>
                    <w:t>厂界噪声满足</w:t>
                  </w:r>
                  <w:r>
                    <w:rPr>
                      <w:szCs w:val="21"/>
                    </w:rPr>
                    <w:t>《工业企业厂界环境噪声排放标准》（GB12348-2008）</w:t>
                  </w:r>
                  <w:r>
                    <w:rPr>
                      <w:rFonts w:hint="eastAsia"/>
                      <w:szCs w:val="21"/>
                    </w:rPr>
                    <w:t>2</w:t>
                  </w:r>
                  <w:r>
                    <w:rPr>
                      <w:szCs w:val="21"/>
                    </w:rPr>
                    <w:t>类标准（昼间6</w:t>
                  </w:r>
                  <w:r>
                    <w:rPr>
                      <w:rFonts w:hint="eastAsia"/>
                      <w:szCs w:val="21"/>
                    </w:rPr>
                    <w:t>0</w:t>
                  </w:r>
                  <w:r>
                    <w:rPr>
                      <w:szCs w:val="21"/>
                    </w:rPr>
                    <w:t>dB（A）、夜间5</w:t>
                  </w:r>
                  <w:r>
                    <w:rPr>
                      <w:rFonts w:hint="eastAsia"/>
                      <w:szCs w:val="21"/>
                    </w:rPr>
                    <w:t>0</w:t>
                  </w:r>
                  <w:r>
                    <w:rPr>
                      <w:szCs w:val="21"/>
                    </w:rPr>
                    <w:t>dB（A））</w:t>
                  </w:r>
                  <w:r>
                    <w:rPr>
                      <w:bCs/>
                      <w:szCs w:val="21"/>
                    </w:rPr>
                    <w:t>。</w:t>
                  </w:r>
                </w:p>
              </w:tc>
            </w:tr>
            <w:tr w14:paraId="114907A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860" w:hRule="atLeast"/>
                <w:jc w:val="center"/>
              </w:trPr>
              <w:tc>
                <w:tcPr>
                  <w:tcW w:w="1023" w:type="dxa"/>
                  <w:vAlign w:val="center"/>
                </w:tcPr>
                <w:p w14:paraId="6BD11B6A">
                  <w:pPr>
                    <w:jc w:val="center"/>
                    <w:rPr>
                      <w:bCs/>
                      <w:szCs w:val="21"/>
                    </w:rPr>
                  </w:pPr>
                  <w:r>
                    <w:rPr>
                      <w:bCs/>
                      <w:szCs w:val="21"/>
                    </w:rPr>
                    <w:t>废水</w:t>
                  </w:r>
                </w:p>
              </w:tc>
              <w:tc>
                <w:tcPr>
                  <w:tcW w:w="2818" w:type="dxa"/>
                  <w:vAlign w:val="center"/>
                </w:tcPr>
                <w:p w14:paraId="331960B8">
                  <w:pPr>
                    <w:rPr>
                      <w:bCs/>
                      <w:szCs w:val="21"/>
                    </w:rPr>
                  </w:pPr>
                  <w:r>
                    <w:rPr>
                      <w:szCs w:val="21"/>
                    </w:rPr>
                    <w:t>生活污水经</w:t>
                  </w:r>
                  <w:r>
                    <w:rPr>
                      <w:rFonts w:hint="eastAsia"/>
                      <w:szCs w:val="21"/>
                      <w:lang w:val="en-US" w:eastAsia="zh-CN"/>
                    </w:rPr>
                    <w:t>沉淀</w:t>
                  </w:r>
                  <w:r>
                    <w:rPr>
                      <w:szCs w:val="21"/>
                    </w:rPr>
                    <w:t>池预处理后</w:t>
                  </w:r>
                  <w:r>
                    <w:rPr>
                      <w:rFonts w:hint="eastAsia"/>
                      <w:szCs w:val="21"/>
                      <w:lang w:val="en-US" w:eastAsia="zh-CN"/>
                    </w:rPr>
                    <w:t>定期由罐车抽</w:t>
                  </w:r>
                  <w:r>
                    <w:rPr>
                      <w:szCs w:val="21"/>
                    </w:rPr>
                    <w:t>送至</w:t>
                  </w:r>
                  <w:r>
                    <w:rPr>
                      <w:rFonts w:hint="eastAsia"/>
                      <w:szCs w:val="21"/>
                    </w:rPr>
                    <w:t>威海经区污水处理厂</w:t>
                  </w:r>
                  <w:r>
                    <w:rPr>
                      <w:szCs w:val="21"/>
                    </w:rPr>
                    <w:t>处理，达标排放。</w:t>
                  </w:r>
                </w:p>
              </w:tc>
              <w:tc>
                <w:tcPr>
                  <w:tcW w:w="5219" w:type="dxa"/>
                  <w:vAlign w:val="center"/>
                </w:tcPr>
                <w:p w14:paraId="481103E8">
                  <w:pPr>
                    <w:jc w:val="center"/>
                    <w:rPr>
                      <w:bCs/>
                      <w:szCs w:val="21"/>
                    </w:rPr>
                  </w:pPr>
                  <w:r>
                    <w:rPr>
                      <w:szCs w:val="21"/>
                    </w:rPr>
                    <w:t>废水满足《污水排入城镇下水道水质标准》（GB/T31962-2015）表1中B等级（主要污染物CODcr≦500mg/L、氨氮≦45mg/L）。</w:t>
                  </w:r>
                </w:p>
              </w:tc>
            </w:tr>
            <w:tr w14:paraId="4B9D470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97" w:hRule="atLeast"/>
                <w:jc w:val="center"/>
              </w:trPr>
              <w:tc>
                <w:tcPr>
                  <w:tcW w:w="1023" w:type="dxa"/>
                  <w:vAlign w:val="center"/>
                </w:tcPr>
                <w:p w14:paraId="74A927B4">
                  <w:pPr>
                    <w:jc w:val="center"/>
                    <w:rPr>
                      <w:bCs/>
                      <w:szCs w:val="21"/>
                    </w:rPr>
                  </w:pPr>
                  <w:r>
                    <w:rPr>
                      <w:bCs/>
                      <w:szCs w:val="21"/>
                    </w:rPr>
                    <w:t>固体废物</w:t>
                  </w:r>
                </w:p>
              </w:tc>
              <w:tc>
                <w:tcPr>
                  <w:tcW w:w="2818" w:type="dxa"/>
                  <w:vAlign w:val="center"/>
                </w:tcPr>
                <w:p w14:paraId="731C3EE8">
                  <w:pPr>
                    <w:rPr>
                      <w:bCs/>
                      <w:szCs w:val="21"/>
                    </w:rPr>
                  </w:pPr>
                  <w:r>
                    <w:rPr>
                      <w:szCs w:val="21"/>
                    </w:rPr>
                    <w:t>生活垃圾由环卫部门</w:t>
                  </w:r>
                  <w:r>
                    <w:rPr>
                      <w:rFonts w:hint="eastAsia"/>
                      <w:szCs w:val="21"/>
                    </w:rPr>
                    <w:t>定期清运</w:t>
                  </w:r>
                  <w:r>
                    <w:rPr>
                      <w:szCs w:val="21"/>
                    </w:rPr>
                    <w:t>，</w:t>
                  </w:r>
                  <w:r>
                    <w:rPr>
                      <w:rFonts w:hint="eastAsia"/>
                      <w:szCs w:val="21"/>
                    </w:rPr>
                    <w:t>下脚料、不合格品、废包装</w:t>
                  </w:r>
                  <w:r>
                    <w:rPr>
                      <w:szCs w:val="21"/>
                    </w:rPr>
                    <w:t>由</w:t>
                  </w:r>
                  <w:r>
                    <w:rPr>
                      <w:rFonts w:hint="eastAsia"/>
                      <w:szCs w:val="21"/>
                    </w:rPr>
                    <w:t>物资</w:t>
                  </w:r>
                  <w:r>
                    <w:rPr>
                      <w:szCs w:val="21"/>
                    </w:rPr>
                    <w:t>回收</w:t>
                  </w:r>
                  <w:r>
                    <w:rPr>
                      <w:rFonts w:hint="eastAsia"/>
                      <w:szCs w:val="21"/>
                    </w:rPr>
                    <w:t>部门</w:t>
                  </w:r>
                  <w:r>
                    <w:rPr>
                      <w:szCs w:val="21"/>
                    </w:rPr>
                    <w:t>回收利用，漆渣、废</w:t>
                  </w:r>
                  <w:r>
                    <w:rPr>
                      <w:rFonts w:hint="eastAsia"/>
                      <w:szCs w:val="21"/>
                    </w:rPr>
                    <w:t>包装桶、</w:t>
                  </w:r>
                  <w:r>
                    <w:rPr>
                      <w:szCs w:val="21"/>
                    </w:rPr>
                    <w:t>废过滤材料、废催化剂</w:t>
                  </w:r>
                  <w:r>
                    <w:rPr>
                      <w:rFonts w:hint="eastAsia"/>
                      <w:szCs w:val="21"/>
                    </w:rPr>
                    <w:t>、</w:t>
                  </w:r>
                  <w:r>
                    <w:rPr>
                      <w:rFonts w:hint="eastAsia" w:eastAsia="新宋体"/>
                      <w:szCs w:val="21"/>
                    </w:rPr>
                    <w:t>水喷淋装置</w:t>
                  </w:r>
                  <w:r>
                    <w:rPr>
                      <w:rFonts w:hint="eastAsia"/>
                      <w:szCs w:val="21"/>
                    </w:rPr>
                    <w:t>废液、等危险废物委托</w:t>
                  </w:r>
                  <w:r>
                    <w:rPr>
                      <w:szCs w:val="21"/>
                    </w:rPr>
                    <w:t>有</w:t>
                  </w:r>
                  <w:r>
                    <w:rPr>
                      <w:rFonts w:hint="eastAsia"/>
                      <w:szCs w:val="21"/>
                    </w:rPr>
                    <w:t>危废处置</w:t>
                  </w:r>
                  <w:r>
                    <w:rPr>
                      <w:szCs w:val="21"/>
                    </w:rPr>
                    <w:t>资质的单位进行</w:t>
                  </w:r>
                  <w:r>
                    <w:rPr>
                      <w:rFonts w:hint="eastAsia"/>
                      <w:szCs w:val="21"/>
                    </w:rPr>
                    <w:t>回收</w:t>
                  </w:r>
                  <w:r>
                    <w:rPr>
                      <w:szCs w:val="21"/>
                    </w:rPr>
                    <w:t>处置</w:t>
                  </w:r>
                  <w:r>
                    <w:rPr>
                      <w:bCs/>
                      <w:szCs w:val="21"/>
                    </w:rPr>
                    <w:t>。</w:t>
                  </w:r>
                </w:p>
              </w:tc>
              <w:tc>
                <w:tcPr>
                  <w:tcW w:w="5219" w:type="dxa"/>
                  <w:vAlign w:val="center"/>
                </w:tcPr>
                <w:p w14:paraId="385457A7">
                  <w:pPr>
                    <w:jc w:val="center"/>
                    <w:rPr>
                      <w:bCs/>
                      <w:szCs w:val="21"/>
                    </w:rPr>
                  </w:pPr>
                  <w:r>
                    <w:rPr>
                      <w:bCs/>
                      <w:szCs w:val="21"/>
                    </w:rPr>
                    <w:t>一般固废</w:t>
                  </w:r>
                  <w:r>
                    <w:rPr>
                      <w:szCs w:val="21"/>
                    </w:rPr>
                    <w:t>满足《一般工业固体废物贮存、处置场污染控制标准》（GB 18599-2001）及其修改单；危险废物满足《危险废物贮存污染控制标准》（GB18597-2001）及其修改单。</w:t>
                  </w:r>
                </w:p>
              </w:tc>
            </w:tr>
          </w:tbl>
          <w:p w14:paraId="3374E228">
            <w:pPr>
              <w:spacing w:line="360" w:lineRule="auto"/>
              <w:jc w:val="center"/>
              <w:rPr>
                <w:b/>
                <w:sz w:val="24"/>
              </w:rPr>
            </w:pPr>
          </w:p>
          <w:p w14:paraId="5E822CEE">
            <w:pPr>
              <w:pStyle w:val="37"/>
              <w:ind w:firstLine="482"/>
              <w:rPr>
                <w:b/>
                <w:sz w:val="24"/>
              </w:rPr>
            </w:pPr>
          </w:p>
          <w:p w14:paraId="530C3AD9">
            <w:pPr>
              <w:pStyle w:val="37"/>
              <w:ind w:firstLine="482"/>
              <w:rPr>
                <w:b/>
                <w:sz w:val="24"/>
              </w:rPr>
            </w:pPr>
          </w:p>
          <w:p w14:paraId="4CF97DCB">
            <w:pPr>
              <w:pStyle w:val="37"/>
              <w:ind w:firstLine="482"/>
              <w:rPr>
                <w:b/>
                <w:sz w:val="24"/>
              </w:rPr>
            </w:pPr>
          </w:p>
          <w:p w14:paraId="6AA14A88">
            <w:pPr>
              <w:pStyle w:val="37"/>
              <w:ind w:firstLine="482"/>
              <w:rPr>
                <w:b/>
                <w:sz w:val="24"/>
              </w:rPr>
            </w:pPr>
          </w:p>
          <w:p w14:paraId="2D2FBCED">
            <w:pPr>
              <w:pStyle w:val="37"/>
              <w:ind w:firstLine="482"/>
              <w:rPr>
                <w:b/>
                <w:sz w:val="24"/>
              </w:rPr>
            </w:pPr>
          </w:p>
          <w:p w14:paraId="0FCE6E1A">
            <w:pPr>
              <w:pStyle w:val="37"/>
              <w:ind w:firstLine="482"/>
              <w:rPr>
                <w:b/>
                <w:sz w:val="24"/>
              </w:rPr>
            </w:pPr>
          </w:p>
          <w:p w14:paraId="30718F69">
            <w:pPr>
              <w:pStyle w:val="37"/>
              <w:ind w:firstLine="482"/>
              <w:rPr>
                <w:b/>
                <w:sz w:val="24"/>
              </w:rPr>
            </w:pPr>
          </w:p>
          <w:p w14:paraId="650E384C">
            <w:pPr>
              <w:pStyle w:val="37"/>
              <w:ind w:firstLine="482"/>
              <w:rPr>
                <w:b/>
                <w:sz w:val="24"/>
              </w:rPr>
            </w:pPr>
          </w:p>
          <w:p w14:paraId="717156A7">
            <w:pPr>
              <w:pStyle w:val="37"/>
              <w:ind w:firstLine="482"/>
              <w:rPr>
                <w:b/>
                <w:sz w:val="24"/>
              </w:rPr>
            </w:pPr>
          </w:p>
          <w:p w14:paraId="10016251">
            <w:pPr>
              <w:pStyle w:val="37"/>
              <w:ind w:firstLine="482"/>
              <w:rPr>
                <w:b/>
                <w:sz w:val="24"/>
              </w:rPr>
            </w:pPr>
          </w:p>
          <w:p w14:paraId="21E6C4EF">
            <w:pPr>
              <w:pStyle w:val="37"/>
              <w:ind w:firstLine="482"/>
              <w:rPr>
                <w:b/>
                <w:sz w:val="24"/>
              </w:rPr>
            </w:pPr>
          </w:p>
          <w:p w14:paraId="4257C02B">
            <w:pPr>
              <w:pStyle w:val="37"/>
              <w:ind w:firstLine="482"/>
              <w:rPr>
                <w:b/>
                <w:sz w:val="24"/>
              </w:rPr>
            </w:pPr>
          </w:p>
          <w:p w14:paraId="0F2D5752">
            <w:pPr>
              <w:pStyle w:val="37"/>
              <w:ind w:firstLine="482"/>
              <w:rPr>
                <w:b/>
                <w:sz w:val="24"/>
              </w:rPr>
            </w:pPr>
          </w:p>
          <w:p w14:paraId="73BF7EB4">
            <w:pPr>
              <w:pStyle w:val="37"/>
              <w:ind w:firstLine="482"/>
              <w:rPr>
                <w:b/>
                <w:sz w:val="24"/>
              </w:rPr>
            </w:pPr>
          </w:p>
          <w:p w14:paraId="61E161F6">
            <w:pPr>
              <w:pStyle w:val="37"/>
              <w:ind w:firstLine="482"/>
              <w:rPr>
                <w:b/>
                <w:sz w:val="24"/>
              </w:rPr>
            </w:pPr>
          </w:p>
          <w:p w14:paraId="3D111D06">
            <w:pPr>
              <w:pStyle w:val="37"/>
              <w:ind w:firstLine="482"/>
              <w:rPr>
                <w:b/>
                <w:sz w:val="24"/>
              </w:rPr>
            </w:pPr>
          </w:p>
          <w:p w14:paraId="6877EEE5">
            <w:pPr>
              <w:pStyle w:val="37"/>
              <w:ind w:firstLine="482"/>
              <w:rPr>
                <w:b/>
                <w:sz w:val="24"/>
              </w:rPr>
            </w:pPr>
          </w:p>
          <w:p w14:paraId="00D45B42">
            <w:pPr>
              <w:pStyle w:val="37"/>
              <w:ind w:firstLine="482"/>
              <w:rPr>
                <w:b/>
                <w:sz w:val="24"/>
              </w:rPr>
            </w:pPr>
          </w:p>
          <w:p w14:paraId="20BE5F88">
            <w:pPr>
              <w:pStyle w:val="37"/>
              <w:ind w:firstLine="482"/>
              <w:rPr>
                <w:b/>
                <w:sz w:val="24"/>
              </w:rPr>
            </w:pPr>
          </w:p>
          <w:p w14:paraId="44FAA482">
            <w:pPr>
              <w:pStyle w:val="37"/>
              <w:ind w:firstLine="482"/>
              <w:rPr>
                <w:b/>
                <w:sz w:val="24"/>
              </w:rPr>
            </w:pPr>
          </w:p>
          <w:p w14:paraId="416E29BA">
            <w:pPr>
              <w:pStyle w:val="37"/>
              <w:ind w:firstLine="482"/>
              <w:rPr>
                <w:b/>
                <w:sz w:val="24"/>
              </w:rPr>
            </w:pPr>
          </w:p>
          <w:p w14:paraId="3C8F963D">
            <w:pPr>
              <w:pStyle w:val="37"/>
              <w:ind w:firstLine="482"/>
              <w:rPr>
                <w:b/>
                <w:sz w:val="24"/>
              </w:rPr>
            </w:pPr>
          </w:p>
          <w:p w14:paraId="0BB6E664">
            <w:pPr>
              <w:pStyle w:val="37"/>
              <w:ind w:firstLine="482"/>
              <w:rPr>
                <w:b/>
                <w:sz w:val="24"/>
              </w:rPr>
            </w:pPr>
          </w:p>
          <w:p w14:paraId="7B616F1F">
            <w:pPr>
              <w:pStyle w:val="37"/>
              <w:ind w:firstLine="482"/>
              <w:rPr>
                <w:b/>
                <w:sz w:val="24"/>
              </w:rPr>
            </w:pPr>
          </w:p>
          <w:p w14:paraId="1856F64F">
            <w:pPr>
              <w:pStyle w:val="37"/>
              <w:ind w:firstLine="482"/>
              <w:rPr>
                <w:b/>
                <w:sz w:val="24"/>
              </w:rPr>
            </w:pPr>
          </w:p>
          <w:p w14:paraId="5534AB1D">
            <w:pPr>
              <w:pStyle w:val="37"/>
              <w:ind w:firstLine="482"/>
              <w:rPr>
                <w:b/>
                <w:sz w:val="24"/>
              </w:rPr>
            </w:pPr>
          </w:p>
          <w:p w14:paraId="61F14D14">
            <w:pPr>
              <w:pStyle w:val="37"/>
              <w:ind w:firstLine="482"/>
              <w:rPr>
                <w:b/>
                <w:sz w:val="24"/>
              </w:rPr>
            </w:pPr>
          </w:p>
          <w:p w14:paraId="63F5EE4B">
            <w:pPr>
              <w:pStyle w:val="37"/>
              <w:ind w:firstLine="482"/>
              <w:rPr>
                <w:b/>
                <w:sz w:val="24"/>
              </w:rPr>
            </w:pPr>
          </w:p>
          <w:p w14:paraId="1B213F38">
            <w:pPr>
              <w:pStyle w:val="37"/>
              <w:ind w:firstLine="482"/>
              <w:rPr>
                <w:b/>
                <w:sz w:val="24"/>
              </w:rPr>
            </w:pPr>
          </w:p>
          <w:p w14:paraId="336D0C3B">
            <w:pPr>
              <w:pStyle w:val="37"/>
              <w:ind w:firstLine="482"/>
              <w:rPr>
                <w:b/>
                <w:sz w:val="24"/>
              </w:rPr>
            </w:pPr>
          </w:p>
          <w:p w14:paraId="434EDFC4">
            <w:pPr>
              <w:pStyle w:val="37"/>
              <w:ind w:firstLine="482"/>
              <w:rPr>
                <w:b/>
                <w:sz w:val="24"/>
              </w:rPr>
            </w:pPr>
          </w:p>
          <w:p w14:paraId="62819370">
            <w:pPr>
              <w:pStyle w:val="37"/>
              <w:ind w:firstLine="482"/>
              <w:rPr>
                <w:b/>
                <w:sz w:val="24"/>
              </w:rPr>
            </w:pPr>
          </w:p>
          <w:p w14:paraId="3EBFB41B">
            <w:pPr>
              <w:pStyle w:val="37"/>
              <w:ind w:firstLine="482"/>
              <w:rPr>
                <w:b/>
                <w:sz w:val="24"/>
              </w:rPr>
            </w:pPr>
          </w:p>
          <w:p w14:paraId="2262197A">
            <w:pPr>
              <w:pStyle w:val="37"/>
              <w:ind w:firstLine="482"/>
              <w:rPr>
                <w:b/>
                <w:sz w:val="24"/>
              </w:rPr>
            </w:pPr>
          </w:p>
          <w:p w14:paraId="403D0586">
            <w:pPr>
              <w:pStyle w:val="37"/>
              <w:ind w:left="0" w:leftChars="0" w:firstLine="0" w:firstLineChars="0"/>
              <w:rPr>
                <w:b/>
                <w:sz w:val="24"/>
              </w:rPr>
            </w:pPr>
          </w:p>
          <w:p w14:paraId="6DDB3B21">
            <w:pPr>
              <w:pStyle w:val="37"/>
              <w:ind w:left="0" w:leftChars="0" w:firstLine="0" w:firstLineChars="0"/>
              <w:rPr>
                <w:b/>
                <w:sz w:val="24"/>
              </w:rPr>
            </w:pPr>
          </w:p>
          <w:p w14:paraId="0070C69F">
            <w:pPr>
              <w:pStyle w:val="37"/>
              <w:ind w:firstLine="482"/>
              <w:rPr>
                <w:b/>
                <w:sz w:val="24"/>
              </w:rPr>
            </w:pPr>
          </w:p>
          <w:p w14:paraId="082DD802">
            <w:pPr>
              <w:pStyle w:val="37"/>
              <w:ind w:firstLine="482"/>
              <w:rPr>
                <w:b/>
                <w:sz w:val="24"/>
              </w:rPr>
            </w:pPr>
          </w:p>
          <w:p w14:paraId="6B460006">
            <w:pPr>
              <w:pStyle w:val="37"/>
              <w:ind w:firstLine="482"/>
              <w:rPr>
                <w:b/>
                <w:sz w:val="24"/>
              </w:rPr>
            </w:pPr>
          </w:p>
          <w:p w14:paraId="47B3BD52"/>
        </w:tc>
      </w:tr>
    </w:tbl>
    <w:p w14:paraId="4DA69BAC">
      <w:pPr>
        <w:spacing w:after="120"/>
        <w:rPr>
          <w:rFonts w:eastAsia="黑体"/>
          <w:sz w:val="30"/>
          <w:szCs w:val="30"/>
        </w:rPr>
      </w:pPr>
      <w:r>
        <w:rPr>
          <w:rFonts w:hint="eastAsia" w:eastAsia="黑体"/>
          <w:sz w:val="30"/>
          <w:szCs w:val="30"/>
        </w:rPr>
        <w:t>八、</w:t>
      </w:r>
      <w:r>
        <w:rPr>
          <w:rFonts w:eastAsia="黑体"/>
          <w:sz w:val="30"/>
          <w:szCs w:val="30"/>
        </w:rPr>
        <w:t>建设项目拟采取的防治措施及预期治理效果</w:t>
      </w:r>
    </w:p>
    <w:tbl>
      <w:tblPr>
        <w:tblStyle w:val="27"/>
        <w:tblW w:w="926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6"/>
        <w:gridCol w:w="936"/>
        <w:gridCol w:w="1192"/>
        <w:gridCol w:w="1980"/>
        <w:gridCol w:w="4368"/>
      </w:tblGrid>
      <w:tr w14:paraId="0DCF6DA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74576CB7">
            <w:pPr>
              <w:jc w:val="center"/>
              <w:rPr>
                <w:szCs w:val="21"/>
              </w:rPr>
            </w:pPr>
            <w:r>
              <w:rPr>
                <w:szCs w:val="21"/>
              </w:rPr>
              <w:t>类型</w:t>
            </w:r>
          </w:p>
        </w:tc>
        <w:tc>
          <w:tcPr>
            <w:tcW w:w="936" w:type="dxa"/>
            <w:vAlign w:val="center"/>
          </w:tcPr>
          <w:p w14:paraId="74B1391A">
            <w:pPr>
              <w:jc w:val="center"/>
              <w:rPr>
                <w:szCs w:val="21"/>
              </w:rPr>
            </w:pPr>
            <w:r>
              <w:rPr>
                <w:szCs w:val="21"/>
              </w:rPr>
              <w:t>排放源</w:t>
            </w:r>
          </w:p>
          <w:p w14:paraId="3B110523">
            <w:pPr>
              <w:jc w:val="center"/>
              <w:rPr>
                <w:szCs w:val="21"/>
              </w:rPr>
            </w:pPr>
            <w:r>
              <w:rPr>
                <w:szCs w:val="21"/>
              </w:rPr>
              <w:t>（编号）</w:t>
            </w:r>
          </w:p>
        </w:tc>
        <w:tc>
          <w:tcPr>
            <w:tcW w:w="1192" w:type="dxa"/>
            <w:vAlign w:val="center"/>
          </w:tcPr>
          <w:p w14:paraId="281C6450">
            <w:pPr>
              <w:jc w:val="center"/>
              <w:rPr>
                <w:szCs w:val="21"/>
              </w:rPr>
            </w:pPr>
            <w:r>
              <w:rPr>
                <w:szCs w:val="21"/>
              </w:rPr>
              <w:t>污染物</w:t>
            </w:r>
          </w:p>
          <w:p w14:paraId="4EE1910C">
            <w:pPr>
              <w:jc w:val="center"/>
              <w:rPr>
                <w:szCs w:val="21"/>
              </w:rPr>
            </w:pPr>
            <w:r>
              <w:rPr>
                <w:szCs w:val="21"/>
              </w:rPr>
              <w:t>名称</w:t>
            </w:r>
          </w:p>
        </w:tc>
        <w:tc>
          <w:tcPr>
            <w:tcW w:w="1980" w:type="dxa"/>
            <w:vAlign w:val="center"/>
          </w:tcPr>
          <w:p w14:paraId="22DD6EA7">
            <w:pPr>
              <w:jc w:val="center"/>
              <w:rPr>
                <w:szCs w:val="21"/>
              </w:rPr>
            </w:pPr>
            <w:r>
              <w:rPr>
                <w:szCs w:val="21"/>
              </w:rPr>
              <w:t>防治措施</w:t>
            </w:r>
          </w:p>
        </w:tc>
        <w:tc>
          <w:tcPr>
            <w:tcW w:w="4368" w:type="dxa"/>
            <w:vAlign w:val="center"/>
          </w:tcPr>
          <w:p w14:paraId="6817E2A5">
            <w:pPr>
              <w:jc w:val="center"/>
              <w:rPr>
                <w:szCs w:val="21"/>
              </w:rPr>
            </w:pPr>
            <w:r>
              <w:rPr>
                <w:szCs w:val="21"/>
              </w:rPr>
              <w:t>预期治理效果</w:t>
            </w:r>
          </w:p>
        </w:tc>
      </w:tr>
      <w:tr w14:paraId="5E0A1D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87" w:hRule="atLeast"/>
          <w:jc w:val="center"/>
        </w:trPr>
        <w:tc>
          <w:tcPr>
            <w:tcW w:w="786" w:type="dxa"/>
            <w:vMerge w:val="restart"/>
            <w:vAlign w:val="center"/>
          </w:tcPr>
          <w:p w14:paraId="558B9053">
            <w:pPr>
              <w:jc w:val="center"/>
              <w:rPr>
                <w:szCs w:val="21"/>
              </w:rPr>
            </w:pPr>
            <w:r>
              <w:rPr>
                <w:szCs w:val="21"/>
              </w:rPr>
              <w:t>大气</w:t>
            </w:r>
          </w:p>
          <w:p w14:paraId="49226DE6">
            <w:pPr>
              <w:jc w:val="center"/>
              <w:rPr>
                <w:szCs w:val="21"/>
              </w:rPr>
            </w:pPr>
            <w:r>
              <w:rPr>
                <w:szCs w:val="21"/>
              </w:rPr>
              <w:t>污染物</w:t>
            </w:r>
          </w:p>
        </w:tc>
        <w:tc>
          <w:tcPr>
            <w:tcW w:w="936" w:type="dxa"/>
            <w:vMerge w:val="restart"/>
            <w:vAlign w:val="center"/>
          </w:tcPr>
          <w:p w14:paraId="048A905A">
            <w:pPr>
              <w:adjustRightInd w:val="0"/>
              <w:snapToGrid w:val="0"/>
              <w:jc w:val="center"/>
              <w:rPr>
                <w:szCs w:val="21"/>
              </w:rPr>
            </w:pPr>
            <w:r>
              <w:rPr>
                <w:szCs w:val="21"/>
              </w:rPr>
              <w:t>生产</w:t>
            </w:r>
          </w:p>
          <w:p w14:paraId="4901421C">
            <w:pPr>
              <w:adjustRightInd w:val="0"/>
              <w:snapToGrid w:val="0"/>
              <w:jc w:val="center"/>
              <w:rPr>
                <w:szCs w:val="21"/>
              </w:rPr>
            </w:pPr>
            <w:r>
              <w:rPr>
                <w:szCs w:val="21"/>
              </w:rPr>
              <w:t>过程</w:t>
            </w:r>
          </w:p>
        </w:tc>
        <w:tc>
          <w:tcPr>
            <w:tcW w:w="1192" w:type="dxa"/>
            <w:vAlign w:val="center"/>
          </w:tcPr>
          <w:p w14:paraId="60D4B702">
            <w:pPr>
              <w:adjustRightInd w:val="0"/>
              <w:snapToGrid w:val="0"/>
              <w:jc w:val="center"/>
              <w:rPr>
                <w:bCs/>
                <w:szCs w:val="21"/>
              </w:rPr>
            </w:pPr>
            <w:r>
              <w:rPr>
                <w:bCs/>
                <w:szCs w:val="21"/>
              </w:rPr>
              <w:t>VOCs</w:t>
            </w:r>
            <w:r>
              <w:rPr>
                <w:rFonts w:hint="eastAsia"/>
                <w:bCs/>
                <w:szCs w:val="21"/>
              </w:rPr>
              <w:t>、</w:t>
            </w:r>
          </w:p>
          <w:p w14:paraId="68F19D81">
            <w:pPr>
              <w:adjustRightInd w:val="0"/>
              <w:snapToGrid w:val="0"/>
              <w:jc w:val="center"/>
              <w:rPr>
                <w:szCs w:val="21"/>
              </w:rPr>
            </w:pPr>
            <w:r>
              <w:rPr>
                <w:rFonts w:hint="eastAsia"/>
                <w:bCs/>
                <w:szCs w:val="21"/>
              </w:rPr>
              <w:t>二甲苯</w:t>
            </w:r>
          </w:p>
        </w:tc>
        <w:tc>
          <w:tcPr>
            <w:tcW w:w="1980" w:type="dxa"/>
            <w:vAlign w:val="center"/>
          </w:tcPr>
          <w:p w14:paraId="3081687B">
            <w:pPr>
              <w:rPr>
                <w:szCs w:val="21"/>
              </w:rPr>
            </w:pPr>
            <w:r>
              <w:rPr>
                <w:rFonts w:hint="eastAsia" w:eastAsiaTheme="minorEastAsia"/>
                <w:szCs w:val="21"/>
              </w:rPr>
              <w:t>生产</w:t>
            </w:r>
            <w:r>
              <w:rPr>
                <w:rFonts w:eastAsiaTheme="minorEastAsia"/>
                <w:szCs w:val="21"/>
              </w:rPr>
              <w:t>过程产生的有机废气经</w:t>
            </w:r>
            <w:r>
              <w:rPr>
                <w:rFonts w:hint="eastAsia" w:eastAsiaTheme="minorEastAsia"/>
                <w:szCs w:val="21"/>
              </w:rPr>
              <w:t>催化燃烧废气处理装置</w:t>
            </w:r>
            <w:r>
              <w:rPr>
                <w:rFonts w:eastAsiaTheme="minorEastAsia"/>
                <w:szCs w:val="21"/>
              </w:rPr>
              <w:t>处理后由15m排气筒</w:t>
            </w:r>
            <w:r>
              <w:rPr>
                <w:rFonts w:hint="eastAsia" w:eastAsiaTheme="minorEastAsia"/>
                <w:szCs w:val="21"/>
              </w:rPr>
              <w:t>（P1）</w:t>
            </w:r>
            <w:r>
              <w:rPr>
                <w:rFonts w:eastAsiaTheme="minorEastAsia"/>
                <w:szCs w:val="21"/>
              </w:rPr>
              <w:t>达标排放</w:t>
            </w:r>
            <w:r>
              <w:rPr>
                <w:rFonts w:hint="eastAsia"/>
                <w:szCs w:val="21"/>
              </w:rPr>
              <w:t>。</w:t>
            </w:r>
          </w:p>
        </w:tc>
        <w:tc>
          <w:tcPr>
            <w:tcW w:w="4368" w:type="dxa"/>
            <w:vAlign w:val="center"/>
          </w:tcPr>
          <w:p w14:paraId="21DE6F58">
            <w:pPr>
              <w:rPr>
                <w:rFonts w:eastAsiaTheme="minorEastAsia"/>
                <w:szCs w:val="21"/>
              </w:rPr>
            </w:pPr>
            <w:r>
              <w:rPr>
                <w:szCs w:val="21"/>
              </w:rPr>
              <w:t>有机废气</w:t>
            </w:r>
            <w:r>
              <w:rPr>
                <w:rFonts w:hint="eastAsia"/>
                <w:szCs w:val="21"/>
              </w:rPr>
              <w:t>满足</w:t>
            </w:r>
            <w:r>
              <w:rPr>
                <w:szCs w:val="21"/>
              </w:rPr>
              <w:t>《挥发性有机物排放标准第5部分：表面涂装行业》（DB37/2801.5-2018）表2标准（二甲苯浓度限值15mg/m</w:t>
            </w:r>
            <w:r>
              <w:rPr>
                <w:szCs w:val="21"/>
                <w:vertAlign w:val="superscript"/>
              </w:rPr>
              <w:t>3</w:t>
            </w:r>
            <w:r>
              <w:rPr>
                <w:szCs w:val="21"/>
              </w:rPr>
              <w:t>、速率限值0.8kg/h；VOCs浓度限值70mg/m</w:t>
            </w:r>
            <w:r>
              <w:rPr>
                <w:szCs w:val="21"/>
                <w:vertAlign w:val="superscript"/>
              </w:rPr>
              <w:t>3</w:t>
            </w:r>
            <w:r>
              <w:rPr>
                <w:szCs w:val="21"/>
              </w:rPr>
              <w:t>、速率限值2.4kg/h）、表3厂界监控点浓度限值（二甲苯0.2mg/m</w:t>
            </w:r>
            <w:r>
              <w:rPr>
                <w:szCs w:val="21"/>
                <w:vertAlign w:val="superscript"/>
              </w:rPr>
              <w:t>3</w:t>
            </w:r>
            <w:r>
              <w:rPr>
                <w:szCs w:val="21"/>
              </w:rPr>
              <w:t>；VOCs2.0mg/m</w:t>
            </w:r>
            <w:r>
              <w:rPr>
                <w:szCs w:val="21"/>
                <w:vertAlign w:val="superscript"/>
              </w:rPr>
              <w:t>3</w:t>
            </w:r>
            <w:r>
              <w:rPr>
                <w:szCs w:val="21"/>
              </w:rPr>
              <w:t>）、《挥发性有机物无组织排放控制标准》（GB37822-2019）及附录A厂区内VOCs无组织排放监控要求。</w:t>
            </w:r>
          </w:p>
        </w:tc>
      </w:tr>
      <w:tr w14:paraId="21B202A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52" w:hRule="atLeast"/>
          <w:jc w:val="center"/>
        </w:trPr>
        <w:tc>
          <w:tcPr>
            <w:tcW w:w="786" w:type="dxa"/>
            <w:vMerge w:val="continue"/>
            <w:vAlign w:val="center"/>
          </w:tcPr>
          <w:p w14:paraId="5AD720FC">
            <w:pPr>
              <w:jc w:val="center"/>
              <w:rPr>
                <w:szCs w:val="21"/>
              </w:rPr>
            </w:pPr>
          </w:p>
        </w:tc>
        <w:tc>
          <w:tcPr>
            <w:tcW w:w="936" w:type="dxa"/>
            <w:vMerge w:val="continue"/>
            <w:vAlign w:val="center"/>
          </w:tcPr>
          <w:p w14:paraId="76402F58">
            <w:pPr>
              <w:adjustRightInd w:val="0"/>
              <w:snapToGrid w:val="0"/>
              <w:jc w:val="center"/>
              <w:rPr>
                <w:szCs w:val="21"/>
              </w:rPr>
            </w:pPr>
          </w:p>
        </w:tc>
        <w:tc>
          <w:tcPr>
            <w:tcW w:w="1192" w:type="dxa"/>
            <w:vAlign w:val="center"/>
          </w:tcPr>
          <w:p w14:paraId="10C0FB77">
            <w:pPr>
              <w:adjustRightInd w:val="0"/>
              <w:snapToGrid w:val="0"/>
              <w:jc w:val="center"/>
              <w:rPr>
                <w:bCs/>
                <w:szCs w:val="21"/>
              </w:rPr>
            </w:pPr>
            <w:r>
              <w:rPr>
                <w:rFonts w:hint="eastAsia"/>
                <w:bCs/>
                <w:szCs w:val="21"/>
              </w:rPr>
              <w:t>颗粒物</w:t>
            </w:r>
          </w:p>
        </w:tc>
        <w:tc>
          <w:tcPr>
            <w:tcW w:w="1980" w:type="dxa"/>
            <w:vAlign w:val="center"/>
          </w:tcPr>
          <w:p w14:paraId="3E890968">
            <w:pPr>
              <w:rPr>
                <w:rFonts w:eastAsiaTheme="minorEastAsia"/>
                <w:szCs w:val="21"/>
              </w:rPr>
            </w:pPr>
            <w:r>
              <w:rPr>
                <w:rFonts w:hint="eastAsia"/>
                <w:szCs w:val="21"/>
              </w:rPr>
              <w:t>抛光粉尘经布袋除尘器处理后由15m排气筒（P2）排放。</w:t>
            </w:r>
          </w:p>
        </w:tc>
        <w:tc>
          <w:tcPr>
            <w:tcW w:w="4368" w:type="dxa"/>
            <w:vAlign w:val="center"/>
          </w:tcPr>
          <w:p w14:paraId="4488715A">
            <w:pPr>
              <w:rPr>
                <w:szCs w:val="21"/>
              </w:rPr>
            </w:pPr>
            <w:r>
              <w:rPr>
                <w:rFonts w:hint="eastAsia"/>
                <w:szCs w:val="21"/>
              </w:rPr>
              <w:t>颗粒物满足</w:t>
            </w:r>
            <w:r>
              <w:rPr>
                <w:szCs w:val="21"/>
              </w:rPr>
              <w:t>《山东省区域性大气污染物综合排放标准》（DB37/2376-2019）表1一般控制区浓度限值（颗粒物≦20mg/m</w:t>
            </w:r>
            <w:r>
              <w:rPr>
                <w:szCs w:val="21"/>
                <w:vertAlign w:val="superscript"/>
              </w:rPr>
              <w:t>3</w:t>
            </w:r>
            <w:r>
              <w:rPr>
                <w:szCs w:val="21"/>
              </w:rPr>
              <w:t>）及《大气污染物综合排放标准》（GB16297-1996）表2</w:t>
            </w:r>
            <w:r>
              <w:rPr>
                <w:rFonts w:hint="eastAsia"/>
                <w:szCs w:val="21"/>
              </w:rPr>
              <w:t>二级标准（</w:t>
            </w:r>
            <w:r>
              <w:rPr>
                <w:szCs w:val="21"/>
              </w:rPr>
              <w:t>颗粒物最高允许排放速率≦3.5kg/h）及无组织排放监控浓度限值（颗粒物≦1.0mg/m</w:t>
            </w:r>
            <w:r>
              <w:rPr>
                <w:szCs w:val="21"/>
                <w:vertAlign w:val="superscript"/>
              </w:rPr>
              <w:t>3</w:t>
            </w:r>
            <w:r>
              <w:rPr>
                <w:szCs w:val="21"/>
              </w:rPr>
              <w:t>）</w:t>
            </w:r>
            <w:r>
              <w:rPr>
                <w:rFonts w:hint="eastAsia"/>
                <w:szCs w:val="21"/>
              </w:rPr>
              <w:t>。</w:t>
            </w:r>
          </w:p>
        </w:tc>
      </w:tr>
      <w:tr w14:paraId="7A170E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26" w:hRule="atLeast"/>
          <w:jc w:val="center"/>
        </w:trPr>
        <w:tc>
          <w:tcPr>
            <w:tcW w:w="786" w:type="dxa"/>
            <w:vAlign w:val="center"/>
          </w:tcPr>
          <w:p w14:paraId="5D0B9766">
            <w:pPr>
              <w:jc w:val="center"/>
              <w:rPr>
                <w:szCs w:val="21"/>
              </w:rPr>
            </w:pPr>
            <w:r>
              <w:rPr>
                <w:szCs w:val="21"/>
              </w:rPr>
              <w:t>水污</w:t>
            </w:r>
          </w:p>
          <w:p w14:paraId="14A9EE28">
            <w:pPr>
              <w:jc w:val="center"/>
              <w:rPr>
                <w:szCs w:val="21"/>
              </w:rPr>
            </w:pPr>
            <w:r>
              <w:rPr>
                <w:szCs w:val="21"/>
              </w:rPr>
              <w:t>染物</w:t>
            </w:r>
          </w:p>
        </w:tc>
        <w:tc>
          <w:tcPr>
            <w:tcW w:w="936" w:type="dxa"/>
            <w:vAlign w:val="center"/>
          </w:tcPr>
          <w:p w14:paraId="19E798DE">
            <w:pPr>
              <w:jc w:val="center"/>
              <w:rPr>
                <w:szCs w:val="21"/>
              </w:rPr>
            </w:pPr>
            <w:r>
              <w:rPr>
                <w:szCs w:val="21"/>
              </w:rPr>
              <w:t>生活</w:t>
            </w:r>
          </w:p>
          <w:p w14:paraId="7021B396">
            <w:pPr>
              <w:jc w:val="center"/>
              <w:rPr>
                <w:szCs w:val="21"/>
              </w:rPr>
            </w:pPr>
            <w:r>
              <w:rPr>
                <w:szCs w:val="21"/>
              </w:rPr>
              <w:t>污水</w:t>
            </w:r>
          </w:p>
        </w:tc>
        <w:tc>
          <w:tcPr>
            <w:tcW w:w="1192" w:type="dxa"/>
            <w:vAlign w:val="center"/>
          </w:tcPr>
          <w:p w14:paraId="471092DB">
            <w:pPr>
              <w:jc w:val="center"/>
              <w:rPr>
                <w:szCs w:val="21"/>
              </w:rPr>
            </w:pPr>
            <w:r>
              <w:rPr>
                <w:szCs w:val="21"/>
              </w:rPr>
              <w:t>CODcr</w:t>
            </w:r>
          </w:p>
          <w:p w14:paraId="42A6F055">
            <w:pPr>
              <w:jc w:val="center"/>
              <w:rPr>
                <w:szCs w:val="21"/>
              </w:rPr>
            </w:pPr>
            <w:r>
              <w:rPr>
                <w:szCs w:val="21"/>
              </w:rPr>
              <w:t>氨氮</w:t>
            </w:r>
          </w:p>
        </w:tc>
        <w:tc>
          <w:tcPr>
            <w:tcW w:w="1980" w:type="dxa"/>
            <w:vAlign w:val="center"/>
          </w:tcPr>
          <w:p w14:paraId="243A9ADA">
            <w:pPr>
              <w:rPr>
                <w:szCs w:val="21"/>
              </w:rPr>
            </w:pPr>
            <w:r>
              <w:rPr>
                <w:szCs w:val="21"/>
              </w:rPr>
              <w:t>生活污水经</w:t>
            </w:r>
            <w:r>
              <w:rPr>
                <w:rFonts w:hint="eastAsia"/>
                <w:szCs w:val="21"/>
                <w:lang w:val="en-US" w:eastAsia="zh-CN"/>
              </w:rPr>
              <w:t>沉淀</w:t>
            </w:r>
            <w:r>
              <w:rPr>
                <w:szCs w:val="21"/>
              </w:rPr>
              <w:t>池预处理后</w:t>
            </w:r>
            <w:r>
              <w:rPr>
                <w:rFonts w:hint="eastAsia"/>
                <w:szCs w:val="21"/>
                <w:lang w:val="en-US" w:eastAsia="zh-CN"/>
              </w:rPr>
              <w:t>定期罐车抽</w:t>
            </w:r>
            <w:r>
              <w:rPr>
                <w:szCs w:val="21"/>
              </w:rPr>
              <w:t>送至</w:t>
            </w:r>
            <w:r>
              <w:rPr>
                <w:rFonts w:hint="eastAsia"/>
                <w:szCs w:val="21"/>
              </w:rPr>
              <w:t>威海经区污水处理厂</w:t>
            </w:r>
            <w:r>
              <w:rPr>
                <w:szCs w:val="21"/>
              </w:rPr>
              <w:t>处理，达标排放。</w:t>
            </w:r>
          </w:p>
        </w:tc>
        <w:tc>
          <w:tcPr>
            <w:tcW w:w="4368" w:type="dxa"/>
            <w:vAlign w:val="center"/>
          </w:tcPr>
          <w:p w14:paraId="687496BE">
            <w:pPr>
              <w:jc w:val="center"/>
              <w:rPr>
                <w:szCs w:val="21"/>
              </w:rPr>
            </w:pPr>
            <w:r>
              <w:rPr>
                <w:szCs w:val="21"/>
              </w:rPr>
              <w:t>废水满足《污水排入城镇下水道水质标准》（GB/T31962-2015）表1中B等级（主要污染物CODcr≦500mg/L、氨氮≦45mg/L）。</w:t>
            </w:r>
          </w:p>
        </w:tc>
      </w:tr>
      <w:tr w14:paraId="6A2BBA9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786" w:type="dxa"/>
            <w:vMerge w:val="restart"/>
            <w:vAlign w:val="center"/>
          </w:tcPr>
          <w:p w14:paraId="57E6609B">
            <w:pPr>
              <w:jc w:val="center"/>
              <w:rPr>
                <w:szCs w:val="21"/>
              </w:rPr>
            </w:pPr>
            <w:r>
              <w:rPr>
                <w:szCs w:val="21"/>
              </w:rPr>
              <w:t>固</w:t>
            </w:r>
          </w:p>
          <w:p w14:paraId="16FD88B9">
            <w:pPr>
              <w:jc w:val="center"/>
              <w:rPr>
                <w:szCs w:val="21"/>
              </w:rPr>
            </w:pPr>
            <w:r>
              <w:rPr>
                <w:szCs w:val="21"/>
              </w:rPr>
              <w:t>体</w:t>
            </w:r>
          </w:p>
          <w:p w14:paraId="10689740">
            <w:pPr>
              <w:jc w:val="center"/>
              <w:rPr>
                <w:szCs w:val="21"/>
              </w:rPr>
            </w:pPr>
            <w:r>
              <w:rPr>
                <w:szCs w:val="21"/>
              </w:rPr>
              <w:t>废</w:t>
            </w:r>
          </w:p>
          <w:p w14:paraId="2676B9CB">
            <w:pPr>
              <w:jc w:val="center"/>
              <w:rPr>
                <w:szCs w:val="21"/>
              </w:rPr>
            </w:pPr>
            <w:r>
              <w:rPr>
                <w:szCs w:val="21"/>
              </w:rPr>
              <w:t>物</w:t>
            </w:r>
          </w:p>
        </w:tc>
        <w:tc>
          <w:tcPr>
            <w:tcW w:w="936" w:type="dxa"/>
            <w:vMerge w:val="restart"/>
            <w:vAlign w:val="center"/>
          </w:tcPr>
          <w:p w14:paraId="5AE6447B">
            <w:pPr>
              <w:jc w:val="center"/>
              <w:rPr>
                <w:szCs w:val="21"/>
              </w:rPr>
            </w:pPr>
            <w:r>
              <w:rPr>
                <w:szCs w:val="21"/>
              </w:rPr>
              <w:t>生产</w:t>
            </w:r>
          </w:p>
          <w:p w14:paraId="1C39E1BF">
            <w:pPr>
              <w:jc w:val="center"/>
              <w:rPr>
                <w:szCs w:val="21"/>
              </w:rPr>
            </w:pPr>
            <w:r>
              <w:rPr>
                <w:szCs w:val="21"/>
              </w:rPr>
              <w:t>过程</w:t>
            </w:r>
          </w:p>
        </w:tc>
        <w:tc>
          <w:tcPr>
            <w:tcW w:w="1192" w:type="dxa"/>
            <w:vAlign w:val="center"/>
          </w:tcPr>
          <w:p w14:paraId="4ECE9688">
            <w:pPr>
              <w:adjustRightInd w:val="0"/>
              <w:snapToGrid w:val="0"/>
              <w:jc w:val="center"/>
              <w:rPr>
                <w:szCs w:val="21"/>
              </w:rPr>
            </w:pPr>
            <w:r>
              <w:rPr>
                <w:rFonts w:hint="eastAsia"/>
                <w:szCs w:val="21"/>
              </w:rPr>
              <w:t>下脚料、</w:t>
            </w:r>
            <w:r>
              <w:rPr>
                <w:szCs w:val="21"/>
              </w:rPr>
              <w:t>不合格品</w:t>
            </w:r>
            <w:r>
              <w:rPr>
                <w:rFonts w:hint="eastAsia"/>
                <w:szCs w:val="21"/>
              </w:rPr>
              <w:t>、废包装</w:t>
            </w:r>
          </w:p>
        </w:tc>
        <w:tc>
          <w:tcPr>
            <w:tcW w:w="1980" w:type="dxa"/>
            <w:vAlign w:val="center"/>
          </w:tcPr>
          <w:p w14:paraId="7FC46C4A">
            <w:pPr>
              <w:adjustRightInd w:val="0"/>
              <w:snapToGrid w:val="0"/>
              <w:jc w:val="center"/>
              <w:rPr>
                <w:szCs w:val="21"/>
              </w:rPr>
            </w:pPr>
            <w:r>
              <w:rPr>
                <w:szCs w:val="21"/>
              </w:rPr>
              <w:t>由物资回收部门回收处置</w:t>
            </w:r>
          </w:p>
        </w:tc>
        <w:tc>
          <w:tcPr>
            <w:tcW w:w="4368" w:type="dxa"/>
            <w:vAlign w:val="center"/>
          </w:tcPr>
          <w:p w14:paraId="29533FC4">
            <w:pPr>
              <w:jc w:val="center"/>
              <w:rPr>
                <w:szCs w:val="21"/>
              </w:rPr>
            </w:pPr>
            <w:r>
              <w:rPr>
                <w:szCs w:val="21"/>
              </w:rPr>
              <w:t>满足《一般工业固体废物贮存、处置场污染控制标准》（GB 18599-2001）及其修改单</w:t>
            </w:r>
          </w:p>
        </w:tc>
      </w:tr>
      <w:tr w14:paraId="6A5245F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93" w:hRule="atLeast"/>
          <w:jc w:val="center"/>
        </w:trPr>
        <w:tc>
          <w:tcPr>
            <w:tcW w:w="786" w:type="dxa"/>
            <w:vMerge w:val="continue"/>
            <w:vAlign w:val="center"/>
          </w:tcPr>
          <w:p w14:paraId="095997E9">
            <w:pPr>
              <w:jc w:val="center"/>
              <w:rPr>
                <w:szCs w:val="21"/>
              </w:rPr>
            </w:pPr>
          </w:p>
        </w:tc>
        <w:tc>
          <w:tcPr>
            <w:tcW w:w="936" w:type="dxa"/>
            <w:vMerge w:val="continue"/>
            <w:vAlign w:val="center"/>
          </w:tcPr>
          <w:p w14:paraId="46A1EB96">
            <w:pPr>
              <w:jc w:val="center"/>
              <w:rPr>
                <w:szCs w:val="21"/>
              </w:rPr>
            </w:pPr>
          </w:p>
        </w:tc>
        <w:tc>
          <w:tcPr>
            <w:tcW w:w="1192" w:type="dxa"/>
            <w:vAlign w:val="center"/>
          </w:tcPr>
          <w:p w14:paraId="06961D6D">
            <w:pPr>
              <w:adjustRightInd w:val="0"/>
              <w:snapToGrid w:val="0"/>
              <w:jc w:val="center"/>
              <w:rPr>
                <w:szCs w:val="21"/>
              </w:rPr>
            </w:pPr>
            <w:r>
              <w:rPr>
                <w:szCs w:val="21"/>
              </w:rPr>
              <w:t>漆渣、废</w:t>
            </w:r>
            <w:r>
              <w:rPr>
                <w:rFonts w:hint="eastAsia"/>
                <w:szCs w:val="21"/>
              </w:rPr>
              <w:t>包装桶、</w:t>
            </w:r>
            <w:r>
              <w:rPr>
                <w:szCs w:val="21"/>
              </w:rPr>
              <w:t>废过滤材料、废催化剂</w:t>
            </w:r>
            <w:r>
              <w:rPr>
                <w:rFonts w:hint="eastAsia"/>
                <w:szCs w:val="21"/>
              </w:rPr>
              <w:t>、</w:t>
            </w:r>
            <w:r>
              <w:rPr>
                <w:rFonts w:hint="eastAsia" w:eastAsia="新宋体"/>
                <w:szCs w:val="21"/>
              </w:rPr>
              <w:t>水喷淋装置</w:t>
            </w:r>
            <w:r>
              <w:rPr>
                <w:rFonts w:hint="eastAsia"/>
                <w:szCs w:val="21"/>
              </w:rPr>
              <w:t>废液</w:t>
            </w:r>
          </w:p>
        </w:tc>
        <w:tc>
          <w:tcPr>
            <w:tcW w:w="1980" w:type="dxa"/>
            <w:vAlign w:val="center"/>
          </w:tcPr>
          <w:p w14:paraId="55DC60D2">
            <w:pPr>
              <w:adjustRightInd w:val="0"/>
              <w:snapToGrid w:val="0"/>
              <w:jc w:val="center"/>
              <w:rPr>
                <w:szCs w:val="21"/>
              </w:rPr>
            </w:pPr>
            <w:r>
              <w:rPr>
                <w:szCs w:val="21"/>
              </w:rPr>
              <w:t>由有危废处置资质单位处置</w:t>
            </w:r>
          </w:p>
        </w:tc>
        <w:tc>
          <w:tcPr>
            <w:tcW w:w="4368" w:type="dxa"/>
            <w:vAlign w:val="center"/>
          </w:tcPr>
          <w:p w14:paraId="4987AB82">
            <w:pPr>
              <w:jc w:val="center"/>
              <w:rPr>
                <w:szCs w:val="21"/>
              </w:rPr>
            </w:pPr>
            <w:r>
              <w:rPr>
                <w:szCs w:val="21"/>
              </w:rPr>
              <w:t>满足《危险废物贮存污染控制标准》（GB18597-2001）及其修改单</w:t>
            </w:r>
          </w:p>
        </w:tc>
      </w:tr>
      <w:tr w14:paraId="04396F0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8" w:hRule="atLeast"/>
          <w:jc w:val="center"/>
        </w:trPr>
        <w:tc>
          <w:tcPr>
            <w:tcW w:w="786" w:type="dxa"/>
            <w:vMerge w:val="continue"/>
            <w:vAlign w:val="center"/>
          </w:tcPr>
          <w:p w14:paraId="45342BB3">
            <w:pPr>
              <w:jc w:val="center"/>
              <w:rPr>
                <w:szCs w:val="21"/>
              </w:rPr>
            </w:pPr>
          </w:p>
        </w:tc>
        <w:tc>
          <w:tcPr>
            <w:tcW w:w="936" w:type="dxa"/>
            <w:vAlign w:val="center"/>
          </w:tcPr>
          <w:p w14:paraId="3ED98006">
            <w:pPr>
              <w:jc w:val="center"/>
              <w:rPr>
                <w:szCs w:val="21"/>
              </w:rPr>
            </w:pPr>
            <w:r>
              <w:rPr>
                <w:szCs w:val="21"/>
              </w:rPr>
              <w:t>职工</w:t>
            </w:r>
          </w:p>
          <w:p w14:paraId="0C4CE39F">
            <w:pPr>
              <w:jc w:val="center"/>
              <w:rPr>
                <w:szCs w:val="21"/>
              </w:rPr>
            </w:pPr>
            <w:r>
              <w:rPr>
                <w:szCs w:val="21"/>
              </w:rPr>
              <w:t>生活</w:t>
            </w:r>
          </w:p>
        </w:tc>
        <w:tc>
          <w:tcPr>
            <w:tcW w:w="1192" w:type="dxa"/>
            <w:vAlign w:val="center"/>
          </w:tcPr>
          <w:p w14:paraId="37B47B0E">
            <w:pPr>
              <w:adjustRightInd w:val="0"/>
              <w:snapToGrid w:val="0"/>
              <w:jc w:val="center"/>
              <w:rPr>
                <w:szCs w:val="21"/>
              </w:rPr>
            </w:pPr>
            <w:r>
              <w:rPr>
                <w:szCs w:val="21"/>
              </w:rPr>
              <w:t>生活垃圾</w:t>
            </w:r>
          </w:p>
        </w:tc>
        <w:tc>
          <w:tcPr>
            <w:tcW w:w="1980" w:type="dxa"/>
            <w:vAlign w:val="center"/>
          </w:tcPr>
          <w:p w14:paraId="1D7A5204">
            <w:pPr>
              <w:adjustRightInd w:val="0"/>
              <w:snapToGrid w:val="0"/>
              <w:jc w:val="center"/>
              <w:rPr>
                <w:szCs w:val="21"/>
              </w:rPr>
            </w:pPr>
            <w:r>
              <w:rPr>
                <w:szCs w:val="21"/>
              </w:rPr>
              <w:t>由环卫部门定期清运</w:t>
            </w:r>
          </w:p>
        </w:tc>
        <w:tc>
          <w:tcPr>
            <w:tcW w:w="4368" w:type="dxa"/>
            <w:vAlign w:val="center"/>
          </w:tcPr>
          <w:p w14:paraId="75E9C315">
            <w:pPr>
              <w:jc w:val="center"/>
              <w:rPr>
                <w:szCs w:val="21"/>
              </w:rPr>
            </w:pPr>
            <w:r>
              <w:rPr>
                <w:szCs w:val="21"/>
              </w:rPr>
              <w:t>满足《一般工业固体废物贮存、处置场污染控制标准》（GB 18599-2001）及其修改单</w:t>
            </w:r>
          </w:p>
        </w:tc>
      </w:tr>
      <w:tr w14:paraId="31C52C3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786" w:type="dxa"/>
            <w:vAlign w:val="center"/>
          </w:tcPr>
          <w:p w14:paraId="68458538">
            <w:pPr>
              <w:jc w:val="center"/>
              <w:rPr>
                <w:szCs w:val="21"/>
              </w:rPr>
            </w:pPr>
            <w:r>
              <w:rPr>
                <w:szCs w:val="21"/>
              </w:rPr>
              <w:t>噪</w:t>
            </w:r>
          </w:p>
          <w:p w14:paraId="79953DC3">
            <w:pPr>
              <w:jc w:val="center"/>
              <w:rPr>
                <w:szCs w:val="21"/>
              </w:rPr>
            </w:pPr>
            <w:r>
              <w:rPr>
                <w:szCs w:val="21"/>
              </w:rPr>
              <w:t>声</w:t>
            </w:r>
          </w:p>
        </w:tc>
        <w:tc>
          <w:tcPr>
            <w:tcW w:w="936" w:type="dxa"/>
            <w:vAlign w:val="center"/>
          </w:tcPr>
          <w:p w14:paraId="113178F0">
            <w:pPr>
              <w:snapToGrid w:val="0"/>
              <w:jc w:val="center"/>
              <w:rPr>
                <w:szCs w:val="21"/>
              </w:rPr>
            </w:pPr>
            <w:r>
              <w:rPr>
                <w:szCs w:val="21"/>
              </w:rPr>
              <w:t>营运期</w:t>
            </w:r>
          </w:p>
        </w:tc>
        <w:tc>
          <w:tcPr>
            <w:tcW w:w="1192" w:type="dxa"/>
            <w:vAlign w:val="center"/>
          </w:tcPr>
          <w:p w14:paraId="33C362DF">
            <w:pPr>
              <w:snapToGrid w:val="0"/>
              <w:jc w:val="center"/>
              <w:rPr>
                <w:szCs w:val="21"/>
              </w:rPr>
            </w:pPr>
            <w:r>
              <w:rPr>
                <w:szCs w:val="21"/>
              </w:rPr>
              <w:t>设备噪声</w:t>
            </w:r>
          </w:p>
        </w:tc>
        <w:tc>
          <w:tcPr>
            <w:tcW w:w="1980" w:type="dxa"/>
            <w:vAlign w:val="center"/>
          </w:tcPr>
          <w:p w14:paraId="17139D74">
            <w:pPr>
              <w:snapToGrid w:val="0"/>
              <w:jc w:val="center"/>
              <w:rPr>
                <w:szCs w:val="21"/>
              </w:rPr>
            </w:pPr>
            <w:r>
              <w:rPr>
                <w:szCs w:val="21"/>
              </w:rPr>
              <w:t>采取隔声、减震、合理布局等措施</w:t>
            </w:r>
          </w:p>
        </w:tc>
        <w:tc>
          <w:tcPr>
            <w:tcW w:w="4368" w:type="dxa"/>
            <w:vAlign w:val="center"/>
          </w:tcPr>
          <w:p w14:paraId="3803EB93">
            <w:pPr>
              <w:jc w:val="center"/>
              <w:rPr>
                <w:szCs w:val="21"/>
              </w:rPr>
            </w:pPr>
            <w:r>
              <w:rPr>
                <w:szCs w:val="21"/>
              </w:rPr>
              <w:t>满足《工业企业厂界环境噪声排放标准》（GB12348-2008）</w:t>
            </w:r>
            <w:r>
              <w:rPr>
                <w:rFonts w:hint="eastAsia"/>
                <w:szCs w:val="21"/>
              </w:rPr>
              <w:t>2</w:t>
            </w:r>
            <w:r>
              <w:rPr>
                <w:szCs w:val="21"/>
              </w:rPr>
              <w:t>标准</w:t>
            </w:r>
          </w:p>
        </w:tc>
      </w:tr>
      <w:tr w14:paraId="437F0FA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786" w:type="dxa"/>
            <w:vAlign w:val="center"/>
          </w:tcPr>
          <w:p w14:paraId="155BD185">
            <w:pPr>
              <w:jc w:val="center"/>
              <w:rPr>
                <w:szCs w:val="21"/>
              </w:rPr>
            </w:pPr>
            <w:r>
              <w:rPr>
                <w:szCs w:val="21"/>
              </w:rPr>
              <w:t>其他</w:t>
            </w:r>
          </w:p>
        </w:tc>
        <w:tc>
          <w:tcPr>
            <w:tcW w:w="8476" w:type="dxa"/>
            <w:gridSpan w:val="4"/>
            <w:vAlign w:val="center"/>
          </w:tcPr>
          <w:p w14:paraId="07CF8309">
            <w:pPr>
              <w:jc w:val="center"/>
              <w:rPr>
                <w:szCs w:val="21"/>
              </w:rPr>
            </w:pPr>
            <w:r>
              <w:rPr>
                <w:szCs w:val="21"/>
              </w:rPr>
              <w:t>无</w:t>
            </w:r>
          </w:p>
        </w:tc>
      </w:tr>
      <w:tr w14:paraId="4BED98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02" w:hRule="atLeast"/>
          <w:jc w:val="center"/>
        </w:trPr>
        <w:tc>
          <w:tcPr>
            <w:tcW w:w="9262" w:type="dxa"/>
            <w:gridSpan w:val="5"/>
            <w:vAlign w:val="center"/>
          </w:tcPr>
          <w:p w14:paraId="0E6DA4B2">
            <w:pPr>
              <w:jc w:val="left"/>
            </w:pPr>
          </w:p>
          <w:p w14:paraId="02425BCE">
            <w:pPr>
              <w:jc w:val="left"/>
            </w:pPr>
            <w:r>
              <w:t>生态保护措施及预期效果：</w:t>
            </w:r>
          </w:p>
          <w:p w14:paraId="1CD89098">
            <w:pPr>
              <w:jc w:val="left"/>
            </w:pPr>
          </w:p>
          <w:p w14:paraId="42492F79">
            <w:pPr>
              <w:spacing w:line="360" w:lineRule="auto"/>
              <w:ind w:firstLine="420"/>
              <w:jc w:val="left"/>
            </w:pPr>
            <w:r>
              <w:t>本项目拟采取的主要生态保护措施为进行区内绿化，通过加强绿化和管理，提高物种的优良率，以当地物种为主，选取适宜的物种，尽可能提高区域内的绿化率，以达到降低噪声、防止水土流失、增加地下水补给量、美化生活环境的作用</w:t>
            </w:r>
            <w:r>
              <w:rPr>
                <w:rFonts w:hint="eastAsia"/>
              </w:rPr>
              <w:t>。</w:t>
            </w:r>
          </w:p>
        </w:tc>
      </w:tr>
    </w:tbl>
    <w:p w14:paraId="25797DFB">
      <w:pPr>
        <w:numPr>
          <w:ilvl w:val="0"/>
          <w:numId w:val="10"/>
        </w:numPr>
        <w:spacing w:after="120"/>
        <w:rPr>
          <w:rFonts w:eastAsia="黑体"/>
          <w:sz w:val="30"/>
          <w:szCs w:val="30"/>
        </w:rPr>
        <w:sectPr>
          <w:footerReference r:id="rId7" w:type="default"/>
          <w:pgSz w:w="11907" w:h="16840"/>
          <w:pgMar w:top="1402" w:right="1797" w:bottom="1558" w:left="1797" w:header="851" w:footer="992" w:gutter="0"/>
          <w:pgNumType w:fmt="decimal"/>
          <w:cols w:space="720" w:num="1"/>
          <w:docGrid w:type="lines" w:linePitch="312" w:charSpace="0"/>
        </w:sectPr>
      </w:pPr>
    </w:p>
    <w:p w14:paraId="63F898FD">
      <w:pPr>
        <w:spacing w:before="120" w:after="120"/>
        <w:rPr>
          <w:rFonts w:eastAsia="黑体"/>
          <w:sz w:val="30"/>
          <w:szCs w:val="30"/>
        </w:rPr>
      </w:pPr>
      <w:r>
        <w:rPr>
          <w:rFonts w:hint="eastAsia" w:eastAsia="黑体"/>
          <w:sz w:val="30"/>
          <w:szCs w:val="30"/>
        </w:rPr>
        <w:t>九</w:t>
      </w:r>
      <w:r>
        <w:rPr>
          <w:rFonts w:eastAsia="黑体"/>
          <w:sz w:val="30"/>
          <w:szCs w:val="30"/>
        </w:rPr>
        <w:t>、结论与建议</w:t>
      </w:r>
    </w:p>
    <w:tbl>
      <w:tblPr>
        <w:tblStyle w:val="27"/>
        <w:tblW w:w="9356"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356"/>
      </w:tblGrid>
      <w:tr w14:paraId="7C223596">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9356" w:type="dxa"/>
          </w:tcPr>
          <w:p w14:paraId="4F754F03">
            <w:pPr>
              <w:spacing w:beforeLines="50" w:line="360" w:lineRule="auto"/>
              <w:ind w:firstLine="482" w:firstLineChars="200"/>
              <w:rPr>
                <w:b/>
                <w:sz w:val="24"/>
                <w:szCs w:val="24"/>
              </w:rPr>
            </w:pPr>
            <w:r>
              <w:rPr>
                <w:b/>
                <w:sz w:val="24"/>
                <w:szCs w:val="24"/>
              </w:rPr>
              <w:t>一、结论：</w:t>
            </w:r>
          </w:p>
          <w:p w14:paraId="314E4AFA">
            <w:pPr>
              <w:pStyle w:val="13"/>
              <w:spacing w:before="0"/>
              <w:ind w:firstLineChars="200"/>
              <w:rPr>
                <w:rFonts w:ascii="Times New Roman"/>
                <w:b/>
              </w:rPr>
            </w:pPr>
            <w:r>
              <w:rPr>
                <w:rFonts w:ascii="Times New Roman"/>
                <w:b/>
              </w:rPr>
              <w:t>1、项目概况</w:t>
            </w:r>
          </w:p>
          <w:p w14:paraId="3829E3CF">
            <w:pPr>
              <w:spacing w:line="360" w:lineRule="auto"/>
              <w:ind w:firstLine="480"/>
              <w:rPr>
                <w:bCs/>
                <w:sz w:val="24"/>
                <w:szCs w:val="24"/>
                <w:highlight w:val="yellow"/>
              </w:rPr>
            </w:pPr>
            <w:r>
              <w:rPr>
                <w:rFonts w:hint="eastAsia"/>
                <w:bCs/>
                <w:sz w:val="24"/>
                <w:szCs w:val="24"/>
              </w:rPr>
              <w:t>威海市浩永渔具有限公司</w:t>
            </w:r>
            <w:r>
              <w:rPr>
                <w:bCs/>
                <w:sz w:val="24"/>
                <w:szCs w:val="24"/>
              </w:rPr>
              <w:t>是以</w:t>
            </w:r>
            <w:r>
              <w:rPr>
                <w:rFonts w:hint="eastAsia"/>
                <w:bCs/>
                <w:sz w:val="24"/>
                <w:szCs w:val="24"/>
              </w:rPr>
              <w:t>渔具及其配件生产和销售</w:t>
            </w:r>
            <w:r>
              <w:rPr>
                <w:sz w:val="24"/>
                <w:szCs w:val="24"/>
              </w:rPr>
              <w:t>为主的企业。</w:t>
            </w:r>
            <w:r>
              <w:rPr>
                <w:rFonts w:hint="eastAsia"/>
                <w:sz w:val="24"/>
                <w:szCs w:val="24"/>
                <w:shd w:val="clear" w:color="auto" w:fill="FFFFFF"/>
              </w:rPr>
              <w:t>公司于</w:t>
            </w:r>
            <w:r>
              <w:rPr>
                <w:rFonts w:hint="eastAsia"/>
                <w:sz w:val="24"/>
              </w:rPr>
              <w:t>威海市环翠区温泉镇刘家台村南</w:t>
            </w:r>
            <w:r>
              <w:rPr>
                <w:rFonts w:hint="eastAsia"/>
                <w:sz w:val="24"/>
                <w:szCs w:val="24"/>
              </w:rPr>
              <w:t>租用威海刘家台村村委闲置厂房建设</w:t>
            </w:r>
            <w:r>
              <w:rPr>
                <w:rFonts w:hint="eastAsia"/>
                <w:bCs/>
                <w:sz w:val="24"/>
                <w:szCs w:val="24"/>
                <w:lang w:eastAsia="zh-CN"/>
              </w:rPr>
              <w:t>鱼竿及鱼竿配件生产加工项目</w:t>
            </w:r>
            <w:r>
              <w:rPr>
                <w:rFonts w:hint="eastAsia"/>
                <w:sz w:val="24"/>
                <w:szCs w:val="24"/>
              </w:rPr>
              <w:t>，项目</w:t>
            </w:r>
            <w:r>
              <w:rPr>
                <w:rFonts w:hint="eastAsia"/>
                <w:sz w:val="24"/>
                <w:szCs w:val="24"/>
                <w:shd w:val="clear" w:color="auto" w:fill="FFFFFF"/>
              </w:rPr>
              <w:t>总投资300万元，</w:t>
            </w:r>
            <w:r>
              <w:rPr>
                <w:bCs/>
                <w:sz w:val="24"/>
                <w:szCs w:val="24"/>
              </w:rPr>
              <w:t>全部由项目单位自筹解决，</w:t>
            </w:r>
            <w:r>
              <w:rPr>
                <w:sz w:val="24"/>
                <w:szCs w:val="24"/>
                <w:shd w:val="clear" w:color="auto" w:fill="FFFFFF"/>
              </w:rPr>
              <w:t>总</w:t>
            </w:r>
            <w:r>
              <w:rPr>
                <w:rFonts w:hint="eastAsia"/>
                <w:sz w:val="24"/>
                <w:szCs w:val="24"/>
                <w:shd w:val="clear" w:color="auto" w:fill="FFFFFF"/>
              </w:rPr>
              <w:t>建筑</w:t>
            </w:r>
            <w:r>
              <w:rPr>
                <w:sz w:val="24"/>
                <w:szCs w:val="24"/>
                <w:shd w:val="clear" w:color="auto" w:fill="FFFFFF"/>
              </w:rPr>
              <w:t>面积</w:t>
            </w:r>
            <w:r>
              <w:rPr>
                <w:rFonts w:hint="eastAsia"/>
                <w:sz w:val="24"/>
                <w:szCs w:val="24"/>
                <w:shd w:val="clear" w:color="auto" w:fill="FFFFFF"/>
              </w:rPr>
              <w:t>3450</w:t>
            </w:r>
            <w:r>
              <w:rPr>
                <w:sz w:val="24"/>
                <w:szCs w:val="24"/>
                <w:shd w:val="clear" w:color="auto" w:fill="FFFFFF"/>
              </w:rPr>
              <w:t>m</w:t>
            </w:r>
            <w:r>
              <w:rPr>
                <w:sz w:val="24"/>
                <w:szCs w:val="24"/>
                <w:shd w:val="clear" w:color="auto" w:fill="FFFFFF"/>
                <w:vertAlign w:val="superscript"/>
              </w:rPr>
              <w:t>2</w:t>
            </w:r>
            <w:r>
              <w:rPr>
                <w:sz w:val="24"/>
                <w:szCs w:val="24"/>
                <w:shd w:val="clear" w:color="auto" w:fill="FFFFFF"/>
              </w:rPr>
              <w:t>，</w:t>
            </w:r>
            <w:r>
              <w:rPr>
                <w:rFonts w:hint="eastAsia"/>
                <w:sz w:val="24"/>
                <w:szCs w:val="24"/>
                <w:shd w:val="clear" w:color="auto" w:fill="FFFFFF"/>
              </w:rPr>
              <w:t>设置生产车间、仓库、办公室、危废库等。</w:t>
            </w:r>
            <w:r>
              <w:rPr>
                <w:bCs/>
                <w:sz w:val="24"/>
                <w:szCs w:val="24"/>
              </w:rPr>
              <w:t>项目劳动人员</w:t>
            </w:r>
            <w:r>
              <w:rPr>
                <w:rFonts w:hint="eastAsia"/>
                <w:bCs/>
                <w:sz w:val="24"/>
                <w:szCs w:val="24"/>
              </w:rPr>
              <w:t>50</w:t>
            </w:r>
            <w:r>
              <w:rPr>
                <w:bCs/>
                <w:sz w:val="24"/>
                <w:szCs w:val="24"/>
              </w:rPr>
              <w:t>人，其中管理人员</w:t>
            </w:r>
            <w:r>
              <w:rPr>
                <w:rFonts w:hint="eastAsia"/>
                <w:bCs/>
                <w:sz w:val="24"/>
                <w:szCs w:val="24"/>
              </w:rPr>
              <w:t>5</w:t>
            </w:r>
            <w:r>
              <w:rPr>
                <w:bCs/>
                <w:sz w:val="24"/>
                <w:szCs w:val="24"/>
              </w:rPr>
              <w:t>人，工人</w:t>
            </w:r>
            <w:r>
              <w:rPr>
                <w:rFonts w:hint="eastAsia"/>
                <w:bCs/>
                <w:sz w:val="24"/>
                <w:szCs w:val="24"/>
              </w:rPr>
              <w:t>45</w:t>
            </w:r>
            <w:r>
              <w:rPr>
                <w:bCs/>
                <w:sz w:val="24"/>
                <w:szCs w:val="24"/>
              </w:rPr>
              <w:t>人，生产实行</w:t>
            </w:r>
            <w:r>
              <w:rPr>
                <w:rFonts w:hint="eastAsia"/>
                <w:bCs/>
                <w:sz w:val="24"/>
                <w:szCs w:val="24"/>
              </w:rPr>
              <w:t>单</w:t>
            </w:r>
            <w:r>
              <w:rPr>
                <w:bCs/>
                <w:sz w:val="24"/>
                <w:szCs w:val="24"/>
              </w:rPr>
              <w:t>班制，每班工作时间为</w:t>
            </w:r>
            <w:r>
              <w:rPr>
                <w:rFonts w:hint="eastAsia"/>
                <w:bCs/>
                <w:sz w:val="24"/>
                <w:szCs w:val="24"/>
              </w:rPr>
              <w:t>8</w:t>
            </w:r>
            <w:r>
              <w:rPr>
                <w:bCs/>
                <w:sz w:val="24"/>
                <w:szCs w:val="24"/>
              </w:rPr>
              <w:t>h，年工作300d</w:t>
            </w:r>
            <w:r>
              <w:rPr>
                <w:rFonts w:hint="eastAsia"/>
                <w:sz w:val="24"/>
                <w:szCs w:val="24"/>
                <w:shd w:val="clear" w:color="auto" w:fill="FFFFFF"/>
              </w:rPr>
              <w:t>。</w:t>
            </w:r>
            <w:r>
              <w:rPr>
                <w:rFonts w:hint="eastAsia"/>
                <w:sz w:val="24"/>
                <w:szCs w:val="24"/>
              </w:rPr>
              <w:t>项目建成后预计年生产生产鱼竿120万节/a。</w:t>
            </w:r>
            <w:r>
              <w:rPr>
                <w:sz w:val="24"/>
                <w:szCs w:val="24"/>
                <w:lang w:val="zh-CN"/>
              </w:rPr>
              <w:t>本项目位于</w:t>
            </w:r>
            <w:r>
              <w:rPr>
                <w:rFonts w:hint="eastAsia"/>
                <w:sz w:val="24"/>
                <w:szCs w:val="24"/>
              </w:rPr>
              <w:t>威海市环翠区温泉镇刘家台村南</w:t>
            </w:r>
            <w:r>
              <w:rPr>
                <w:sz w:val="24"/>
                <w:szCs w:val="24"/>
              </w:rPr>
              <w:t>，项目东邻威海市君立服装有限公司，北临威海市鑫程服装有限公司，西面为空地，南邻威海谊悦纺织有限公司。</w:t>
            </w:r>
            <w:r>
              <w:rPr>
                <w:bCs/>
                <w:sz w:val="24"/>
                <w:szCs w:val="24"/>
              </w:rPr>
              <w:t>该项目所在地交通、通讯等条件便捷，适宜项目的建设。</w:t>
            </w:r>
          </w:p>
          <w:p w14:paraId="077C3832">
            <w:pPr>
              <w:spacing w:line="360" w:lineRule="auto"/>
              <w:ind w:firstLine="482" w:firstLineChars="200"/>
              <w:rPr>
                <w:b/>
                <w:sz w:val="24"/>
                <w:szCs w:val="24"/>
              </w:rPr>
            </w:pPr>
            <w:r>
              <w:rPr>
                <w:b/>
                <w:sz w:val="24"/>
                <w:szCs w:val="24"/>
              </w:rPr>
              <w:t>2、选址符合性</w:t>
            </w:r>
          </w:p>
          <w:p w14:paraId="73A2DD91">
            <w:pPr>
              <w:pStyle w:val="83"/>
              <w:ind w:left="0" w:leftChars="0" w:right="0" w:rightChars="0"/>
              <w:rPr>
                <w:szCs w:val="24"/>
              </w:rPr>
            </w:pPr>
            <w:r>
              <w:rPr>
                <w:bCs/>
                <w:szCs w:val="24"/>
                <w:lang w:val="en-US"/>
              </w:rPr>
              <w:t>本项目位于</w:t>
            </w:r>
            <w:r>
              <w:rPr>
                <w:rFonts w:hint="eastAsia"/>
                <w:szCs w:val="24"/>
              </w:rPr>
              <w:t>威海市环翠区温泉镇刘家台村南</w:t>
            </w:r>
            <w:r>
              <w:rPr>
                <w:szCs w:val="24"/>
              </w:rPr>
              <w:t>，</w:t>
            </w:r>
            <w:r>
              <w:rPr>
                <w:rFonts w:hint="eastAsia"/>
                <w:szCs w:val="24"/>
                <w:lang w:val="en-US"/>
              </w:rPr>
              <w:t>租赁威海市环翠区温泉镇刘家台村村委已建</w:t>
            </w:r>
            <w:r>
              <w:rPr>
                <w:szCs w:val="24"/>
                <w:lang w:val="en-US"/>
              </w:rPr>
              <w:t>厂房</w:t>
            </w:r>
            <w:r>
              <w:rPr>
                <w:szCs w:val="24"/>
              </w:rPr>
              <w:t>进行生产加工</w:t>
            </w:r>
            <w:r>
              <w:rPr>
                <w:rFonts w:hint="eastAsia"/>
                <w:szCs w:val="24"/>
              </w:rPr>
              <w:t>。根据关于协助查询威海市浩永渔具有限公司宗地土地有关情况的函的复函知该项目符合土地利用总体规划（详见附件）</w:t>
            </w:r>
            <w:r>
              <w:rPr>
                <w:rFonts w:hint="eastAsia"/>
                <w:lang w:val="en-US"/>
              </w:rPr>
              <w:t>。</w:t>
            </w:r>
            <w:r>
              <w:rPr>
                <w:szCs w:val="24"/>
                <w:lang w:val="en-US"/>
              </w:rPr>
              <w:t>根</w:t>
            </w:r>
            <w:r>
              <w:rPr>
                <w:szCs w:val="24"/>
              </w:rPr>
              <w:t>据国土资源部、国家发展和改革委员会关于发布实施《限制用地项目目录（2012年本》和《禁止用地项目目录（2012年本）》相关规定，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在规划的用地范围之内。</w:t>
            </w:r>
          </w:p>
          <w:p w14:paraId="29DB5078">
            <w:pPr>
              <w:spacing w:line="360" w:lineRule="auto"/>
              <w:ind w:firstLine="480" w:firstLineChars="200"/>
              <w:rPr>
                <w:sz w:val="24"/>
                <w:szCs w:val="24"/>
              </w:rPr>
            </w:pPr>
            <w:r>
              <w:rPr>
                <w:sz w:val="24"/>
                <w:szCs w:val="24"/>
              </w:rPr>
              <w:t>项目</w:t>
            </w:r>
            <w:r>
              <w:rPr>
                <w:rFonts w:hint="eastAsia"/>
                <w:sz w:val="24"/>
                <w:szCs w:val="24"/>
              </w:rPr>
              <w:t>符合</w:t>
            </w:r>
            <w:r>
              <w:rPr>
                <w:sz w:val="24"/>
                <w:szCs w:val="24"/>
              </w:rPr>
              <w:t>《威海市城市总体规划（20</w:t>
            </w:r>
            <w:r>
              <w:rPr>
                <w:rFonts w:hint="eastAsia"/>
                <w:sz w:val="24"/>
                <w:szCs w:val="24"/>
              </w:rPr>
              <w:t>11</w:t>
            </w:r>
            <w:r>
              <w:rPr>
                <w:sz w:val="24"/>
                <w:szCs w:val="24"/>
              </w:rPr>
              <w:t>－2020）》</w:t>
            </w:r>
            <w:r>
              <w:rPr>
                <w:rFonts w:hint="eastAsia"/>
                <w:sz w:val="24"/>
                <w:szCs w:val="24"/>
              </w:rPr>
              <w:t>（见附图三）要求</w:t>
            </w:r>
            <w:r>
              <w:rPr>
                <w:sz w:val="24"/>
                <w:szCs w:val="24"/>
              </w:rPr>
              <w:t>，无自然保护区、风景名胜区、文物保护单位，亦无需特殊保护的野生动植物，环境承载能力较强，厂址所在地地质情况较好，无不良工程地质现象，建设条件良好。项目所在地地理位置优越，交通便利，排水通畅，水、电、暖供应满足工程要求，选址合理。</w:t>
            </w:r>
          </w:p>
          <w:p w14:paraId="6A5042AC">
            <w:pPr>
              <w:pStyle w:val="13"/>
              <w:spacing w:before="0"/>
              <w:ind w:firstLineChars="200"/>
              <w:rPr>
                <w:rFonts w:ascii="Times New Roman"/>
                <w:b/>
              </w:rPr>
            </w:pPr>
            <w:r>
              <w:rPr>
                <w:rFonts w:ascii="Times New Roman"/>
                <w:b/>
              </w:rPr>
              <w:t>3、政策符合性</w:t>
            </w:r>
          </w:p>
          <w:p w14:paraId="4F5BEC3A">
            <w:pPr>
              <w:pStyle w:val="83"/>
              <w:ind w:left="0" w:leftChars="0" w:right="0" w:rightChars="0"/>
              <w:rPr>
                <w:bCs/>
                <w:szCs w:val="24"/>
                <w:lang w:val="en-US"/>
              </w:rPr>
            </w:pPr>
            <w:r>
              <w:t>《产业结构调整指导目录（201</w:t>
            </w:r>
            <w:r>
              <w:rPr>
                <w:lang w:val="en-US"/>
              </w:rPr>
              <w:t>9</w:t>
            </w:r>
            <w:r>
              <w:t>年本）》（中华人民共和国国家发展和改革委员会令第2</w:t>
            </w:r>
            <w:r>
              <w:rPr>
                <w:lang w:val="en-US"/>
              </w:rPr>
              <w:t>9</w:t>
            </w:r>
            <w:r>
              <w:t>号）分为鼓励类、限制类和淘汰类产业名录。本项目不属于这三种名录之列，且符合国家相关法律、法规及政策的规定，属于允许类建设项目</w:t>
            </w:r>
            <w:r>
              <w:rPr>
                <w:bCs/>
                <w:szCs w:val="24"/>
                <w:lang w:val="en-US"/>
              </w:rPr>
              <w:t>。</w:t>
            </w:r>
          </w:p>
          <w:p w14:paraId="29CCBEF4">
            <w:pPr>
              <w:pStyle w:val="83"/>
              <w:ind w:left="0" w:leftChars="0" w:right="0" w:rightChars="0"/>
              <w:rPr>
                <w:szCs w:val="24"/>
                <w:lang w:val="en-US"/>
              </w:rPr>
            </w:pPr>
            <w:r>
              <w:rPr>
                <w:szCs w:val="24"/>
              </w:rPr>
              <w:t>本项目所选设备也未列入工信部《部分工业行业淘汰落后生产工艺装备和产品指导目录（2010年本）》（工产业[2010]第122号），也未列入《产业结构调整指导目录（</w:t>
            </w:r>
            <w:r>
              <w:rPr>
                <w:szCs w:val="24"/>
                <w:lang w:val="en-US"/>
              </w:rPr>
              <w:t>2019年本</w:t>
            </w:r>
            <w:r>
              <w:rPr>
                <w:szCs w:val="24"/>
              </w:rPr>
              <w:t>）》第三类“淘汰类”第一条“落后生产工艺装备”中所列淘汰设备。</w:t>
            </w:r>
          </w:p>
          <w:p w14:paraId="778A1F67">
            <w:pPr>
              <w:spacing w:line="360" w:lineRule="auto"/>
              <w:ind w:firstLine="480" w:firstLineChars="200"/>
              <w:rPr>
                <w:sz w:val="24"/>
              </w:rPr>
            </w:pPr>
            <w:r>
              <w:rPr>
                <w:sz w:val="24"/>
                <w:szCs w:val="24"/>
              </w:rPr>
              <w:t>因此，本项目的建设符合国家产业政策</w:t>
            </w:r>
            <w:r>
              <w:rPr>
                <w:sz w:val="24"/>
              </w:rPr>
              <w:t>。</w:t>
            </w:r>
          </w:p>
          <w:p w14:paraId="59F19729">
            <w:pPr>
              <w:adjustRightInd w:val="0"/>
              <w:snapToGrid w:val="0"/>
              <w:spacing w:line="360" w:lineRule="auto"/>
              <w:ind w:right="105" w:rightChars="50" w:firstLine="482" w:firstLineChars="200"/>
              <w:rPr>
                <w:b/>
                <w:bCs/>
                <w:sz w:val="24"/>
              </w:rPr>
            </w:pPr>
            <w:r>
              <w:rPr>
                <w:b/>
                <w:bCs/>
                <w:sz w:val="24"/>
              </w:rPr>
              <w:t>4、审批要求符合性</w:t>
            </w:r>
          </w:p>
          <w:p w14:paraId="0DCD4063">
            <w:pPr>
              <w:adjustRightInd w:val="0"/>
              <w:snapToGrid w:val="0"/>
              <w:spacing w:line="360" w:lineRule="auto"/>
              <w:ind w:right="105" w:rightChars="50" w:firstLine="480" w:firstLineChars="200"/>
              <w:rPr>
                <w:sz w:val="24"/>
              </w:rPr>
            </w:pPr>
            <w:r>
              <w:rPr>
                <w:sz w:val="24"/>
                <w:szCs w:val="24"/>
              </w:rPr>
              <w:t>本项目建设符合“三线一单”的要求；不在《威海市环境总体规划（2014-2030年）》划定的“生态保护红线管控区”范围之内；符合相关政策及文件要求。</w:t>
            </w:r>
          </w:p>
          <w:p w14:paraId="46ADA948">
            <w:pPr>
              <w:spacing w:line="360" w:lineRule="auto"/>
              <w:ind w:firstLine="482" w:firstLineChars="200"/>
              <w:rPr>
                <w:b/>
                <w:sz w:val="24"/>
              </w:rPr>
            </w:pPr>
            <w:r>
              <w:rPr>
                <w:b/>
                <w:sz w:val="24"/>
              </w:rPr>
              <w:t>5、周围环境质量现状</w:t>
            </w:r>
          </w:p>
          <w:p w14:paraId="6D5FF355">
            <w:pPr>
              <w:spacing w:line="360" w:lineRule="auto"/>
              <w:ind w:firstLine="480" w:firstLineChars="200"/>
              <w:rPr>
                <w:sz w:val="24"/>
              </w:rPr>
            </w:pPr>
            <w:r>
              <w:rPr>
                <w:bCs/>
                <w:sz w:val="24"/>
              </w:rPr>
              <w:t>本项目所在区域的环境空气中的二氧化硫、二氧化氮、可吸入颗粒物、TSP均符合《环境空气质量标准》（GB3095-2012）中的二级标准及修改单的要求；项目周围区域声环境符合《声环境质量标准》（GB3096-2008）中</w:t>
            </w:r>
            <w:r>
              <w:rPr>
                <w:rFonts w:hint="eastAsia"/>
                <w:bCs/>
                <w:sz w:val="24"/>
              </w:rPr>
              <w:t>2</w:t>
            </w:r>
            <w:r>
              <w:rPr>
                <w:bCs/>
                <w:sz w:val="24"/>
              </w:rPr>
              <w:t>类区标准的要求；项目所在区域地表水各监测项目</w:t>
            </w:r>
            <w:r>
              <w:rPr>
                <w:sz w:val="24"/>
              </w:rPr>
              <w:t>均符合《地表水环境质量标准》（GB3838－2002）中</w:t>
            </w:r>
            <w:r>
              <w:rPr>
                <w:rFonts w:hint="eastAsia" w:ascii="宋体" w:hAnsi="宋体" w:eastAsia="宋体" w:cs="宋体"/>
                <w:sz w:val="24"/>
                <w:szCs w:val="24"/>
                <w:lang w:val="en-US" w:eastAsia="zh-CN"/>
              </w:rPr>
              <w:t>Ⅲ</w:t>
            </w:r>
            <w:r>
              <w:rPr>
                <w:sz w:val="24"/>
              </w:rPr>
              <w:t>类标准要求。区域生态环境系统具有相对的稳定性及功能完整性，由于人工的有效管理及能量补给，系统维持稳定。</w:t>
            </w:r>
          </w:p>
          <w:p w14:paraId="69FCC7D7">
            <w:pPr>
              <w:spacing w:line="360" w:lineRule="auto"/>
              <w:ind w:firstLine="482" w:firstLineChars="200"/>
              <w:rPr>
                <w:b/>
                <w:sz w:val="24"/>
              </w:rPr>
            </w:pPr>
            <w:r>
              <w:rPr>
                <w:b/>
                <w:sz w:val="24"/>
              </w:rPr>
              <w:t>6、总量控制</w:t>
            </w:r>
          </w:p>
          <w:p w14:paraId="38F43900">
            <w:pPr>
              <w:spacing w:line="360" w:lineRule="auto"/>
              <w:ind w:firstLine="480" w:firstLineChars="200"/>
              <w:jc w:val="left"/>
              <w:rPr>
                <w:sz w:val="24"/>
              </w:rPr>
            </w:pPr>
            <w:r>
              <w:rPr>
                <w:sz w:val="24"/>
              </w:rPr>
              <w:t>（1）</w:t>
            </w:r>
            <w:r>
              <w:rPr>
                <w:sz w:val="24"/>
                <w:szCs w:val="24"/>
              </w:rPr>
              <w:t>本项目生活污水经</w:t>
            </w:r>
            <w:r>
              <w:rPr>
                <w:rFonts w:hint="eastAsia"/>
                <w:sz w:val="24"/>
                <w:szCs w:val="24"/>
                <w:lang w:val="en-US" w:eastAsia="zh-CN"/>
              </w:rPr>
              <w:t>沉淀池</w:t>
            </w:r>
            <w:r>
              <w:rPr>
                <w:sz w:val="24"/>
                <w:szCs w:val="24"/>
              </w:rPr>
              <w:t>池预处理后</w:t>
            </w:r>
            <w:r>
              <w:rPr>
                <w:rFonts w:hint="eastAsia"/>
                <w:sz w:val="24"/>
                <w:szCs w:val="24"/>
                <w:lang w:val="en-US" w:eastAsia="zh-CN"/>
              </w:rPr>
              <w:t>定期由罐车抽送至</w:t>
            </w:r>
            <w:r>
              <w:rPr>
                <w:rFonts w:hint="eastAsia"/>
                <w:sz w:val="24"/>
                <w:szCs w:val="24"/>
                <w:lang w:val="zh-CN"/>
              </w:rPr>
              <w:t>威海经区污水处理厂</w:t>
            </w:r>
            <w:r>
              <w:rPr>
                <w:sz w:val="24"/>
                <w:szCs w:val="24"/>
                <w:lang w:val="zh-CN"/>
              </w:rPr>
              <w:t>集中处理达标后排</w:t>
            </w:r>
            <w:r>
              <w:rPr>
                <w:rFonts w:hint="eastAsia"/>
                <w:sz w:val="24"/>
                <w:szCs w:val="24"/>
                <w:lang w:val="zh-CN"/>
              </w:rPr>
              <w:t>海</w:t>
            </w:r>
            <w:r>
              <w:rPr>
                <w:sz w:val="24"/>
                <w:szCs w:val="24"/>
              </w:rPr>
              <w:t>，废水中主要污染物CODcr、NH</w:t>
            </w:r>
            <w:r>
              <w:rPr>
                <w:sz w:val="24"/>
                <w:szCs w:val="24"/>
                <w:vertAlign w:val="subscript"/>
              </w:rPr>
              <w:t>3</w:t>
            </w:r>
            <w:r>
              <w:rPr>
                <w:sz w:val="24"/>
                <w:szCs w:val="24"/>
              </w:rPr>
              <w:t>-N的总量指标纳入该</w:t>
            </w:r>
            <w:r>
              <w:rPr>
                <w:sz w:val="24"/>
                <w:szCs w:val="24"/>
                <w:lang w:val="zh-CN"/>
              </w:rPr>
              <w:t>污水处理厂</w:t>
            </w:r>
            <w:r>
              <w:rPr>
                <w:sz w:val="24"/>
                <w:szCs w:val="24"/>
              </w:rPr>
              <w:t>总量指标管理</w:t>
            </w:r>
            <w:r>
              <w:rPr>
                <w:sz w:val="24"/>
              </w:rPr>
              <w:t>。</w:t>
            </w:r>
          </w:p>
          <w:p w14:paraId="6810B914">
            <w:pPr>
              <w:spacing w:line="360" w:lineRule="auto"/>
              <w:ind w:firstLine="480" w:firstLineChars="200"/>
              <w:rPr>
                <w:sz w:val="24"/>
                <w:szCs w:val="24"/>
              </w:rPr>
            </w:pPr>
            <w:r>
              <w:rPr>
                <w:sz w:val="24"/>
                <w:szCs w:val="24"/>
              </w:rPr>
              <w:t>（2）本项目不设锅炉等燃煤燃油设备，无SO</w:t>
            </w:r>
            <w:r>
              <w:rPr>
                <w:sz w:val="24"/>
                <w:szCs w:val="24"/>
                <w:vertAlign w:val="subscript"/>
              </w:rPr>
              <w:t>2</w:t>
            </w:r>
            <w:r>
              <w:rPr>
                <w:sz w:val="24"/>
                <w:szCs w:val="24"/>
              </w:rPr>
              <w:t>、氮氧化物等废气产生，不需要申请SO</w:t>
            </w:r>
            <w:r>
              <w:rPr>
                <w:sz w:val="24"/>
                <w:szCs w:val="24"/>
                <w:vertAlign w:val="subscript"/>
              </w:rPr>
              <w:t>2</w:t>
            </w:r>
            <w:r>
              <w:rPr>
                <w:sz w:val="24"/>
                <w:szCs w:val="24"/>
              </w:rPr>
              <w:t>、氮氧化物总量控制指标。</w:t>
            </w:r>
          </w:p>
          <w:p w14:paraId="1E1ADABC">
            <w:pPr>
              <w:spacing w:line="360" w:lineRule="auto"/>
              <w:ind w:firstLine="480" w:firstLineChars="200"/>
              <w:rPr>
                <w:sz w:val="24"/>
              </w:rPr>
            </w:pPr>
            <w:r>
              <w:rPr>
                <w:sz w:val="24"/>
                <w:szCs w:val="24"/>
              </w:rPr>
              <w:t>（3）</w:t>
            </w:r>
            <w:r>
              <w:rPr>
                <w:sz w:val="24"/>
              </w:rPr>
              <w:t>根据“十三五”规划，国家继续对化学需氧量、氨氮、二氧化硫和氮氧化物实施总量控制，同时在重点区域和重点行业推进挥发性有机物排放总量控制。</w:t>
            </w:r>
          </w:p>
          <w:p w14:paraId="5CA9CE7C">
            <w:pPr>
              <w:spacing w:line="360" w:lineRule="auto"/>
              <w:ind w:firstLine="480" w:firstLineChars="200"/>
              <w:rPr>
                <w:sz w:val="24"/>
                <w:highlight w:val="yellow"/>
              </w:rPr>
            </w:pPr>
            <w:r>
              <w:rPr>
                <w:sz w:val="24"/>
              </w:rPr>
              <w:t>经计算，本项目VOCs排放量为</w:t>
            </w:r>
            <w:r>
              <w:rPr>
                <w:rFonts w:hint="eastAsia"/>
                <w:sz w:val="24"/>
              </w:rPr>
              <w:t>0.197</w:t>
            </w:r>
            <w:r>
              <w:rPr>
                <w:sz w:val="24"/>
              </w:rPr>
              <w:t>t/a</w:t>
            </w:r>
            <w:r>
              <w:rPr>
                <w:sz w:val="24"/>
                <w:szCs w:val="24"/>
              </w:rPr>
              <w:t>。</w:t>
            </w:r>
            <w:r>
              <w:rPr>
                <w:sz w:val="24"/>
              </w:rPr>
              <w:t>按照威海市生态环境局关于转发《山东省生态环境厅关于印发山东省建设项目主要大气污染物排放总量替代指标核算及管理办法的通知》的通知（威环函【2020】8号）中“上一年度环境空气质量年平均浓度达标的区市，相关污染物进行等量替代”的要求，本项目需等量替代挥发性有机物的量为</w:t>
            </w:r>
            <w:r>
              <w:rPr>
                <w:rFonts w:hint="eastAsia"/>
                <w:sz w:val="24"/>
              </w:rPr>
              <w:t>0.197</w:t>
            </w:r>
            <w:r>
              <w:rPr>
                <w:sz w:val="24"/>
              </w:rPr>
              <w:t>t/a，</w:t>
            </w:r>
            <w:r>
              <w:rPr>
                <w:sz w:val="24"/>
                <w:szCs w:val="24"/>
              </w:rPr>
              <w:t>可从威海昱成塑料包装有限公司的VOCs削减量（共</w:t>
            </w:r>
            <w:r>
              <w:rPr>
                <w:rFonts w:hint="eastAsia"/>
                <w:sz w:val="24"/>
                <w:szCs w:val="24"/>
              </w:rPr>
              <w:t>0.42</w:t>
            </w:r>
            <w:r>
              <w:rPr>
                <w:sz w:val="24"/>
                <w:szCs w:val="24"/>
              </w:rPr>
              <w:t>t，目前剩余</w:t>
            </w:r>
            <w:r>
              <w:rPr>
                <w:rFonts w:hint="eastAsia"/>
                <w:sz w:val="24"/>
                <w:szCs w:val="24"/>
              </w:rPr>
              <w:t>0.42</w:t>
            </w:r>
            <w:r>
              <w:rPr>
                <w:sz w:val="24"/>
                <w:szCs w:val="24"/>
              </w:rPr>
              <w:t>t，大于</w:t>
            </w:r>
            <w:r>
              <w:rPr>
                <w:rFonts w:hint="eastAsia"/>
                <w:sz w:val="24"/>
                <w:szCs w:val="24"/>
              </w:rPr>
              <w:t>0.197</w:t>
            </w:r>
            <w:r>
              <w:rPr>
                <w:sz w:val="24"/>
                <w:szCs w:val="24"/>
              </w:rPr>
              <w:t>t/a）中进行替代</w:t>
            </w:r>
            <w:r>
              <w:rPr>
                <w:sz w:val="24"/>
              </w:rPr>
              <w:t>。</w:t>
            </w:r>
          </w:p>
          <w:p w14:paraId="28DED03B">
            <w:pPr>
              <w:snapToGrid w:val="0"/>
              <w:spacing w:line="360" w:lineRule="auto"/>
              <w:ind w:firstLine="482" w:firstLineChars="200"/>
              <w:rPr>
                <w:b/>
                <w:sz w:val="24"/>
              </w:rPr>
            </w:pPr>
            <w:r>
              <w:rPr>
                <w:rFonts w:hint="eastAsia"/>
                <w:b/>
                <w:sz w:val="24"/>
              </w:rPr>
              <w:t>7、施工期环境影响分析及结论</w:t>
            </w:r>
          </w:p>
          <w:p w14:paraId="367CFE1C">
            <w:pPr>
              <w:snapToGrid w:val="0"/>
              <w:spacing w:line="360" w:lineRule="auto"/>
              <w:ind w:firstLine="480" w:firstLineChars="200"/>
              <w:rPr>
                <w:bCs/>
                <w:sz w:val="24"/>
              </w:rPr>
            </w:pPr>
            <w:r>
              <w:rPr>
                <w:rFonts w:hint="eastAsia"/>
                <w:bCs/>
                <w:sz w:val="24"/>
              </w:rPr>
              <w:t>本项目租用已建生产车间进行生产，无土建工程，因此，本环评对施工期不再进行分析和评价。</w:t>
            </w:r>
          </w:p>
          <w:p w14:paraId="138403ED">
            <w:pPr>
              <w:snapToGrid w:val="0"/>
              <w:spacing w:line="360" w:lineRule="auto"/>
              <w:ind w:firstLine="482" w:firstLineChars="200"/>
              <w:rPr>
                <w:b/>
                <w:sz w:val="24"/>
              </w:rPr>
            </w:pPr>
            <w:r>
              <w:rPr>
                <w:rFonts w:hint="eastAsia"/>
                <w:b/>
                <w:sz w:val="24"/>
              </w:rPr>
              <w:t>8</w:t>
            </w:r>
            <w:r>
              <w:rPr>
                <w:b/>
                <w:sz w:val="24"/>
              </w:rPr>
              <w:t>、</w:t>
            </w:r>
            <w:r>
              <w:rPr>
                <w:rFonts w:hint="eastAsia"/>
                <w:b/>
                <w:sz w:val="24"/>
              </w:rPr>
              <w:t>营运期</w:t>
            </w:r>
            <w:r>
              <w:rPr>
                <w:b/>
                <w:sz w:val="24"/>
              </w:rPr>
              <w:t>环境影响分析及结论</w:t>
            </w:r>
          </w:p>
          <w:p w14:paraId="0470E7D0">
            <w:pPr>
              <w:spacing w:line="360" w:lineRule="auto"/>
              <w:ind w:firstLine="482" w:firstLineChars="200"/>
              <w:rPr>
                <w:b/>
                <w:sz w:val="24"/>
              </w:rPr>
            </w:pPr>
            <w:r>
              <w:rPr>
                <w:b/>
                <w:sz w:val="24"/>
              </w:rPr>
              <w:t>（1）废气</w:t>
            </w:r>
          </w:p>
          <w:p w14:paraId="412816C8">
            <w:pPr>
              <w:pStyle w:val="61"/>
              <w:autoSpaceDE w:val="0"/>
              <w:autoSpaceDN w:val="0"/>
              <w:adjustRightInd/>
              <w:spacing w:line="360" w:lineRule="auto"/>
              <w:jc w:val="left"/>
              <w:textAlignment w:val="auto"/>
              <w:rPr>
                <w:rFonts w:eastAsiaTheme="minorEastAsia"/>
                <w:szCs w:val="24"/>
              </w:rPr>
            </w:pPr>
            <w:r>
              <w:rPr>
                <w:rFonts w:eastAsia="宋体"/>
                <w:szCs w:val="24"/>
              </w:rPr>
              <w:t>本项目</w:t>
            </w:r>
            <w:r>
              <w:rPr>
                <w:rFonts w:hint="eastAsia" w:eastAsia="宋体"/>
                <w:szCs w:val="24"/>
              </w:rPr>
              <w:t>不设食堂及宿舍无</w:t>
            </w:r>
            <w:r>
              <w:rPr>
                <w:rFonts w:hint="eastAsia" w:eastAsiaTheme="minorEastAsia"/>
                <w:szCs w:val="24"/>
                <w:shd w:val="clear" w:color="auto" w:fill="FFFFFF"/>
              </w:rPr>
              <w:t>生活废气产生；</w:t>
            </w:r>
            <w:r>
              <w:rPr>
                <w:rFonts w:hint="eastAsia" w:eastAsia="宋体"/>
                <w:szCs w:val="24"/>
              </w:rPr>
              <w:t>生产</w:t>
            </w:r>
            <w:r>
              <w:rPr>
                <w:rFonts w:eastAsia="宋体"/>
                <w:szCs w:val="24"/>
                <w:shd w:val="clear" w:color="auto" w:fill="FFFFFF"/>
              </w:rPr>
              <w:t>废气</w:t>
            </w:r>
            <w:r>
              <w:rPr>
                <w:rFonts w:eastAsiaTheme="minorEastAsia"/>
                <w:szCs w:val="24"/>
                <w:shd w:val="clear" w:color="auto" w:fill="FFFFFF"/>
              </w:rPr>
              <w:t>主要包括：</w:t>
            </w:r>
            <w:r>
              <w:rPr>
                <w:rFonts w:hint="eastAsia" w:eastAsiaTheme="minorEastAsia"/>
                <w:szCs w:val="24"/>
                <w:shd w:val="clear" w:color="auto" w:fill="FFFFFF"/>
              </w:rPr>
              <w:t>固化、</w:t>
            </w:r>
            <w:r>
              <w:rPr>
                <w:rFonts w:eastAsiaTheme="minorEastAsia"/>
                <w:szCs w:val="24"/>
                <w:shd w:val="clear" w:color="auto" w:fill="FFFFFF"/>
              </w:rPr>
              <w:t>调漆、</w:t>
            </w:r>
            <w:r>
              <w:rPr>
                <w:rFonts w:hint="eastAsia" w:eastAsiaTheme="minorEastAsia"/>
                <w:szCs w:val="24"/>
                <w:shd w:val="clear" w:color="auto" w:fill="FFFFFF"/>
              </w:rPr>
              <w:t>拉漆、</w:t>
            </w:r>
            <w:r>
              <w:rPr>
                <w:rFonts w:eastAsiaTheme="minorEastAsia"/>
                <w:szCs w:val="24"/>
                <w:shd w:val="clear" w:color="auto" w:fill="FFFFFF"/>
              </w:rPr>
              <w:t>喷漆</w:t>
            </w:r>
            <w:r>
              <w:rPr>
                <w:rFonts w:hint="eastAsia" w:eastAsiaTheme="minorEastAsia"/>
                <w:szCs w:val="24"/>
                <w:shd w:val="clear" w:color="auto" w:fill="FFFFFF"/>
              </w:rPr>
              <w:t>、</w:t>
            </w:r>
            <w:r>
              <w:rPr>
                <w:rFonts w:eastAsiaTheme="minorEastAsia"/>
                <w:szCs w:val="24"/>
                <w:shd w:val="clear" w:color="auto" w:fill="FFFFFF"/>
              </w:rPr>
              <w:t>烘干、</w:t>
            </w:r>
            <w:r>
              <w:rPr>
                <w:rFonts w:hint="eastAsia" w:eastAsiaTheme="minorEastAsia"/>
                <w:szCs w:val="24"/>
                <w:shd w:val="clear" w:color="auto" w:fill="FFFFFF"/>
              </w:rPr>
              <w:t>环氧</w:t>
            </w:r>
            <w:r>
              <w:rPr>
                <w:rFonts w:eastAsiaTheme="minorEastAsia"/>
                <w:szCs w:val="24"/>
                <w:shd w:val="clear" w:color="auto" w:fill="FFFFFF"/>
              </w:rPr>
              <w:t>过程产生的有机废气和漆雾（主要为喷漆工序产生），有机废气主要污染物为VOCs、二甲苯等，</w:t>
            </w:r>
            <w:r>
              <w:rPr>
                <w:rFonts w:eastAsiaTheme="minorEastAsia"/>
                <w:szCs w:val="24"/>
                <w:lang w:val="zh-CN"/>
              </w:rPr>
              <w:t>分为有组织排放和无组织排放</w:t>
            </w:r>
            <w:r>
              <w:rPr>
                <w:rFonts w:hint="eastAsia" w:eastAsiaTheme="minorEastAsia"/>
                <w:szCs w:val="24"/>
                <w:lang w:val="zh-CN"/>
              </w:rPr>
              <w:t>；</w:t>
            </w:r>
            <w:r>
              <w:rPr>
                <w:rFonts w:eastAsiaTheme="minorEastAsia"/>
                <w:szCs w:val="24"/>
              </w:rPr>
              <w:t>EVA半成品抛光工序产生的粉尘，</w:t>
            </w:r>
            <w:r>
              <w:rPr>
                <w:rFonts w:eastAsiaTheme="minorEastAsia"/>
                <w:szCs w:val="24"/>
                <w:lang w:val="zh-CN"/>
              </w:rPr>
              <w:t>主要污染物为颗粒物，分为有组织排放和无组织排放</w:t>
            </w:r>
            <w:r>
              <w:rPr>
                <w:rFonts w:hint="eastAsia" w:eastAsiaTheme="minorEastAsia"/>
                <w:szCs w:val="24"/>
                <w:lang w:val="zh-CN"/>
              </w:rPr>
              <w:t>；</w:t>
            </w:r>
            <w:r>
              <w:rPr>
                <w:rFonts w:eastAsiaTheme="minorEastAsia"/>
                <w:szCs w:val="24"/>
                <w:lang w:val="zh-CN"/>
              </w:rPr>
              <w:t>项目厂区内设</w:t>
            </w:r>
            <w:r>
              <w:rPr>
                <w:rFonts w:eastAsiaTheme="minorEastAsia"/>
                <w:szCs w:val="24"/>
              </w:rPr>
              <w:t>2根15m排气筒。根据工程分析，</w:t>
            </w:r>
            <w:r>
              <w:rPr>
                <w:rFonts w:hint="eastAsia" w:eastAsiaTheme="minorEastAsia"/>
                <w:szCs w:val="24"/>
              </w:rPr>
              <w:t>P1排气筒</w:t>
            </w:r>
            <w:r>
              <w:rPr>
                <w:rFonts w:eastAsiaTheme="minorEastAsia"/>
                <w:szCs w:val="24"/>
              </w:rPr>
              <w:t>有机废气VOCs有组织排放量为0.</w:t>
            </w:r>
            <w:r>
              <w:rPr>
                <w:rFonts w:hint="eastAsia" w:eastAsiaTheme="minorEastAsia"/>
                <w:szCs w:val="24"/>
              </w:rPr>
              <w:t>129</w:t>
            </w:r>
            <w:r>
              <w:rPr>
                <w:rFonts w:eastAsiaTheme="minorEastAsia"/>
                <w:szCs w:val="24"/>
              </w:rPr>
              <w:t>t/a（其中二甲苯为0.</w:t>
            </w:r>
            <w:r>
              <w:rPr>
                <w:rFonts w:hint="eastAsia" w:eastAsiaTheme="minorEastAsia"/>
                <w:szCs w:val="24"/>
              </w:rPr>
              <w:t>027</w:t>
            </w:r>
            <w:r>
              <w:rPr>
                <w:rFonts w:eastAsiaTheme="minorEastAsia"/>
                <w:szCs w:val="24"/>
              </w:rPr>
              <w:t>t/a），排放浓度为</w:t>
            </w:r>
            <w:r>
              <w:rPr>
                <w:rFonts w:hint="eastAsia" w:eastAsiaTheme="minorEastAsia"/>
                <w:szCs w:val="24"/>
              </w:rPr>
              <w:t>5.66</w:t>
            </w:r>
            <w:r>
              <w:rPr>
                <w:rFonts w:eastAsiaTheme="minorEastAsia"/>
                <w:szCs w:val="24"/>
              </w:rPr>
              <w:t>mg/m</w:t>
            </w:r>
            <w:r>
              <w:rPr>
                <w:rFonts w:eastAsiaTheme="minorEastAsia"/>
                <w:szCs w:val="24"/>
                <w:vertAlign w:val="superscript"/>
              </w:rPr>
              <w:t>3</w:t>
            </w:r>
            <w:r>
              <w:rPr>
                <w:rFonts w:eastAsiaTheme="minorEastAsia"/>
                <w:szCs w:val="24"/>
              </w:rPr>
              <w:t>（其中二甲苯为</w:t>
            </w:r>
            <w:r>
              <w:rPr>
                <w:rFonts w:hint="eastAsia" w:eastAsiaTheme="minorEastAsia"/>
                <w:szCs w:val="24"/>
              </w:rPr>
              <w:t>1.18</w:t>
            </w:r>
            <w:r>
              <w:rPr>
                <w:rFonts w:eastAsiaTheme="minorEastAsia"/>
                <w:szCs w:val="24"/>
              </w:rPr>
              <w:t>mg/m</w:t>
            </w:r>
            <w:r>
              <w:rPr>
                <w:rFonts w:eastAsiaTheme="minorEastAsia"/>
                <w:szCs w:val="24"/>
                <w:vertAlign w:val="superscript"/>
              </w:rPr>
              <w:t>3</w:t>
            </w:r>
            <w:r>
              <w:rPr>
                <w:rFonts w:eastAsiaTheme="minorEastAsia"/>
                <w:szCs w:val="24"/>
              </w:rPr>
              <w:t>），排放速率为</w:t>
            </w:r>
            <w:r>
              <w:rPr>
                <w:rFonts w:hint="eastAsia" w:eastAsiaTheme="minorEastAsia"/>
                <w:szCs w:val="24"/>
              </w:rPr>
              <w:t>0.054</w:t>
            </w:r>
            <w:r>
              <w:rPr>
                <w:rFonts w:eastAsiaTheme="minorEastAsia"/>
                <w:szCs w:val="24"/>
              </w:rPr>
              <w:t>kg/h（其中二甲苯为0.0</w:t>
            </w:r>
            <w:r>
              <w:rPr>
                <w:rFonts w:hint="eastAsia" w:eastAsiaTheme="minorEastAsia"/>
                <w:szCs w:val="24"/>
              </w:rPr>
              <w:t>11</w:t>
            </w:r>
            <w:r>
              <w:rPr>
                <w:rFonts w:eastAsiaTheme="minorEastAsia"/>
                <w:szCs w:val="24"/>
              </w:rPr>
              <w:t>kg/h）</w:t>
            </w:r>
            <w:r>
              <w:rPr>
                <w:rFonts w:hint="eastAsia" w:eastAsiaTheme="minorEastAsia"/>
                <w:szCs w:val="24"/>
              </w:rPr>
              <w:t>。</w:t>
            </w:r>
            <w:r>
              <w:rPr>
                <w:rFonts w:eastAsiaTheme="minorEastAsia"/>
                <w:szCs w:val="24"/>
              </w:rPr>
              <w:t>VOCs、二甲苯排放速率和排放浓度均能够满足</w:t>
            </w:r>
            <w:r>
              <w:rPr>
                <w:rFonts w:eastAsiaTheme="minorEastAsia"/>
              </w:rPr>
              <w:t>《挥发性有机物排放标准第5部分</w:t>
            </w:r>
            <w:r>
              <w:rPr>
                <w:rFonts w:eastAsiaTheme="minorEastAsia"/>
                <w:szCs w:val="24"/>
              </w:rPr>
              <w:t>：表面涂装行业》</w:t>
            </w:r>
            <w:r>
              <w:rPr>
                <w:rFonts w:eastAsiaTheme="minorEastAsia"/>
              </w:rPr>
              <w:t>（DB37/2801.5-2018）表2标准（二甲苯浓度限值15mg/m</w:t>
            </w:r>
            <w:r>
              <w:rPr>
                <w:rFonts w:eastAsiaTheme="minorEastAsia"/>
                <w:vertAlign w:val="superscript"/>
              </w:rPr>
              <w:t>3</w:t>
            </w:r>
            <w:r>
              <w:rPr>
                <w:rFonts w:eastAsiaTheme="minorEastAsia"/>
              </w:rPr>
              <w:t>、速率限值0.8kg/h；VOCs浓度限值50mg/m</w:t>
            </w:r>
            <w:r>
              <w:rPr>
                <w:rFonts w:eastAsiaTheme="minorEastAsia"/>
                <w:vertAlign w:val="superscript"/>
              </w:rPr>
              <w:t>3</w:t>
            </w:r>
            <w:r>
              <w:rPr>
                <w:rFonts w:eastAsiaTheme="minorEastAsia"/>
              </w:rPr>
              <w:t>、速率限值2.0kg/h）</w:t>
            </w:r>
            <w:r>
              <w:rPr>
                <w:rFonts w:eastAsiaTheme="minorEastAsia"/>
                <w:szCs w:val="24"/>
              </w:rPr>
              <w:t>。</w:t>
            </w:r>
            <w:r>
              <w:rPr>
                <w:rFonts w:eastAsiaTheme="minorEastAsia"/>
              </w:rPr>
              <w:t>P</w:t>
            </w:r>
            <w:r>
              <w:rPr>
                <w:rFonts w:hint="eastAsia" w:eastAsiaTheme="minorEastAsia"/>
              </w:rPr>
              <w:t>2</w:t>
            </w:r>
            <w:r>
              <w:rPr>
                <w:rFonts w:eastAsiaTheme="minorEastAsia"/>
              </w:rPr>
              <w:t>排气筒</w:t>
            </w:r>
            <w:r>
              <w:rPr>
                <w:rFonts w:eastAsiaTheme="minorEastAsia"/>
                <w:bCs/>
                <w:szCs w:val="24"/>
              </w:rPr>
              <w:t>颗粒物</w:t>
            </w:r>
            <w:r>
              <w:rPr>
                <w:rFonts w:eastAsiaTheme="minorEastAsia"/>
                <w:szCs w:val="24"/>
              </w:rPr>
              <w:t>有组织排放量为0.0</w:t>
            </w:r>
            <w:r>
              <w:rPr>
                <w:rFonts w:hint="eastAsia" w:eastAsiaTheme="minorEastAsia"/>
                <w:szCs w:val="24"/>
              </w:rPr>
              <w:t>04</w:t>
            </w:r>
            <w:r>
              <w:rPr>
                <w:rFonts w:eastAsiaTheme="minorEastAsia"/>
                <w:szCs w:val="24"/>
              </w:rPr>
              <w:t>t/a，排放浓度为0.</w:t>
            </w:r>
            <w:r>
              <w:rPr>
                <w:rFonts w:hint="eastAsia" w:eastAsiaTheme="minorEastAsia"/>
                <w:szCs w:val="24"/>
              </w:rPr>
              <w:t>3</w:t>
            </w:r>
            <w:r>
              <w:rPr>
                <w:rFonts w:eastAsiaTheme="minorEastAsia"/>
                <w:szCs w:val="24"/>
              </w:rPr>
              <w:t>mg/m</w:t>
            </w:r>
            <w:r>
              <w:rPr>
                <w:rFonts w:eastAsiaTheme="minorEastAsia"/>
                <w:szCs w:val="24"/>
                <w:vertAlign w:val="superscript"/>
              </w:rPr>
              <w:t>3</w:t>
            </w:r>
            <w:r>
              <w:rPr>
                <w:rFonts w:eastAsiaTheme="minorEastAsia"/>
                <w:szCs w:val="24"/>
              </w:rPr>
              <w:t>，排放速率为0.00</w:t>
            </w:r>
            <w:r>
              <w:rPr>
                <w:rFonts w:hint="eastAsia" w:eastAsiaTheme="minorEastAsia"/>
                <w:szCs w:val="24"/>
              </w:rPr>
              <w:t>2</w:t>
            </w:r>
            <w:r>
              <w:rPr>
                <w:rFonts w:eastAsiaTheme="minorEastAsia"/>
                <w:szCs w:val="24"/>
              </w:rPr>
              <w:t>kg/h，</w:t>
            </w:r>
            <w:r>
              <w:rPr>
                <w:rFonts w:eastAsiaTheme="minorEastAsia"/>
                <w:bCs/>
                <w:szCs w:val="24"/>
              </w:rPr>
              <w:t>颗粒物</w:t>
            </w:r>
            <w:r>
              <w:rPr>
                <w:rFonts w:eastAsiaTheme="minorEastAsia"/>
                <w:szCs w:val="24"/>
              </w:rPr>
              <w:t>满足《山东省区域性大气污染物综合排放标准》（DB37/2376-2019）表1一般控制区浓度限值（颗粒物≦20mg/m</w:t>
            </w:r>
            <w:r>
              <w:rPr>
                <w:rFonts w:eastAsiaTheme="minorEastAsia"/>
                <w:szCs w:val="24"/>
                <w:vertAlign w:val="superscript"/>
              </w:rPr>
              <w:t>3</w:t>
            </w:r>
            <w:r>
              <w:rPr>
                <w:rFonts w:eastAsiaTheme="minorEastAsia"/>
                <w:szCs w:val="24"/>
              </w:rPr>
              <w:t>）及《大气污染物综合排放标准》（GB16297-1996）表2二级标准（颗粒物最高允许排放速率≦3.5kg/h）</w:t>
            </w:r>
            <w:r>
              <w:rPr>
                <w:rFonts w:eastAsiaTheme="minorEastAsia"/>
              </w:rPr>
              <w:t>要求</w:t>
            </w:r>
            <w:r>
              <w:rPr>
                <w:rFonts w:hint="eastAsia" w:eastAsiaTheme="minorEastAsia"/>
              </w:rPr>
              <w:t>。</w:t>
            </w:r>
            <w:r>
              <w:rPr>
                <w:rFonts w:eastAsiaTheme="minorEastAsia"/>
                <w:szCs w:val="24"/>
              </w:rPr>
              <w:t>经预测，厂区无组织排放的VOCs、二甲苯、颗粒物下风向轴线浓度最大值分别约为0.0</w:t>
            </w:r>
            <w:r>
              <w:rPr>
                <w:rFonts w:hint="eastAsia" w:eastAsiaTheme="minorEastAsia"/>
                <w:szCs w:val="24"/>
              </w:rPr>
              <w:t>765</w:t>
            </w:r>
            <w:r>
              <w:rPr>
                <w:rFonts w:eastAsiaTheme="minorEastAsia"/>
                <w:szCs w:val="24"/>
              </w:rPr>
              <w:t>mg/m</w:t>
            </w:r>
            <w:r>
              <w:rPr>
                <w:rFonts w:eastAsiaTheme="minorEastAsia"/>
                <w:szCs w:val="24"/>
                <w:vertAlign w:val="superscript"/>
              </w:rPr>
              <w:t>3</w:t>
            </w:r>
            <w:r>
              <w:rPr>
                <w:rFonts w:eastAsiaTheme="minorEastAsia"/>
                <w:szCs w:val="24"/>
              </w:rPr>
              <w:t>、0.0</w:t>
            </w:r>
            <w:r>
              <w:rPr>
                <w:rFonts w:hint="eastAsia" w:eastAsiaTheme="minorEastAsia"/>
                <w:szCs w:val="24"/>
              </w:rPr>
              <w:t>107</w:t>
            </w:r>
            <w:r>
              <w:rPr>
                <w:rFonts w:eastAsiaTheme="minorEastAsia"/>
                <w:szCs w:val="24"/>
              </w:rPr>
              <w:t>mg/m</w:t>
            </w:r>
            <w:r>
              <w:rPr>
                <w:rFonts w:eastAsiaTheme="minorEastAsia"/>
                <w:szCs w:val="24"/>
                <w:vertAlign w:val="superscript"/>
              </w:rPr>
              <w:t>3</w:t>
            </w:r>
            <w:r>
              <w:rPr>
                <w:rFonts w:eastAsiaTheme="minorEastAsia"/>
                <w:szCs w:val="24"/>
              </w:rPr>
              <w:t>、0.00</w:t>
            </w:r>
            <w:r>
              <w:rPr>
                <w:rFonts w:hint="eastAsia" w:eastAsiaTheme="minorEastAsia"/>
                <w:szCs w:val="24"/>
              </w:rPr>
              <w:t>724</w:t>
            </w:r>
            <w:r>
              <w:rPr>
                <w:rFonts w:eastAsiaTheme="minorEastAsia"/>
                <w:szCs w:val="24"/>
              </w:rPr>
              <w:t>mg/m</w:t>
            </w:r>
            <w:r>
              <w:rPr>
                <w:rFonts w:eastAsiaTheme="minorEastAsia"/>
                <w:szCs w:val="24"/>
                <w:vertAlign w:val="superscript"/>
              </w:rPr>
              <w:t>3</w:t>
            </w:r>
            <w:r>
              <w:rPr>
                <w:rFonts w:eastAsiaTheme="minorEastAsia"/>
                <w:szCs w:val="24"/>
              </w:rPr>
              <w:t>，VOCs、二甲苯满足《挥发性有机物排放标准第5部分：表面涂装行业》（DB37/2801.5-2018）表3厂界监控点浓度限值要求（VOCs2.0mg/m</w:t>
            </w:r>
            <w:r>
              <w:rPr>
                <w:rFonts w:eastAsiaTheme="minorEastAsia"/>
                <w:szCs w:val="24"/>
                <w:vertAlign w:val="superscript"/>
              </w:rPr>
              <w:t>3</w:t>
            </w:r>
            <w:r>
              <w:rPr>
                <w:rFonts w:eastAsiaTheme="minorEastAsia"/>
                <w:szCs w:val="24"/>
              </w:rPr>
              <w:t>、二甲苯0.2mg/m</w:t>
            </w:r>
            <w:r>
              <w:rPr>
                <w:rFonts w:eastAsiaTheme="minorEastAsia"/>
                <w:szCs w:val="24"/>
                <w:vertAlign w:val="superscript"/>
              </w:rPr>
              <w:t>3</w:t>
            </w:r>
            <w:r>
              <w:rPr>
                <w:rFonts w:eastAsiaTheme="minorEastAsia"/>
                <w:szCs w:val="24"/>
              </w:rPr>
              <w:t>）</w:t>
            </w:r>
            <w:r>
              <w:rPr>
                <w:rFonts w:eastAsiaTheme="minorEastAsia"/>
              </w:rPr>
              <w:t>；颗粒物满足</w:t>
            </w:r>
            <w:r>
              <w:rPr>
                <w:rFonts w:eastAsiaTheme="minorEastAsia"/>
                <w:szCs w:val="24"/>
              </w:rPr>
              <w:t>《大气污染物综合排放标准》（GB16297-1996）表2无组织排放监控浓度限值要求（颗粒物≦1.0mg/m</w:t>
            </w:r>
            <w:r>
              <w:rPr>
                <w:rFonts w:eastAsiaTheme="minorEastAsia"/>
                <w:szCs w:val="24"/>
                <w:vertAlign w:val="superscript"/>
              </w:rPr>
              <w:t>3</w:t>
            </w:r>
            <w:r>
              <w:rPr>
                <w:rFonts w:eastAsiaTheme="minorEastAsia"/>
                <w:szCs w:val="24"/>
              </w:rPr>
              <w:t>）。本项目生产废气对周围大气环境的影响较小。</w:t>
            </w:r>
          </w:p>
          <w:p w14:paraId="35B2534F">
            <w:pPr>
              <w:pStyle w:val="17"/>
              <w:ind w:left="0" w:firstLine="361" w:firstLineChars="150"/>
              <w:rPr>
                <w:rFonts w:ascii="Times New Roman"/>
                <w:b/>
              </w:rPr>
            </w:pPr>
            <w:r>
              <w:rPr>
                <w:rFonts w:ascii="Times New Roman"/>
                <w:b/>
              </w:rPr>
              <w:t>（2）废水</w:t>
            </w:r>
          </w:p>
          <w:p w14:paraId="3A2518BF">
            <w:pPr>
              <w:spacing w:line="360" w:lineRule="auto"/>
              <w:ind w:firstLine="480" w:firstLineChars="200"/>
              <w:jc w:val="left"/>
              <w:rPr>
                <w:sz w:val="24"/>
              </w:rPr>
            </w:pPr>
            <w:r>
              <w:rPr>
                <w:bCs/>
                <w:sz w:val="24"/>
                <w:szCs w:val="24"/>
              </w:rPr>
              <w:t>本项目废水主要为生活污水，产生量约</w:t>
            </w:r>
            <w:r>
              <w:rPr>
                <w:rFonts w:hint="eastAsia"/>
                <w:bCs/>
                <w:sz w:val="24"/>
                <w:szCs w:val="24"/>
              </w:rPr>
              <w:t>960</w:t>
            </w:r>
            <w:r>
              <w:rPr>
                <w:bCs/>
                <w:sz w:val="24"/>
                <w:szCs w:val="24"/>
              </w:rPr>
              <w:t>t/a，主要污染物为CODcr、氨氮等</w:t>
            </w:r>
            <w:r>
              <w:rPr>
                <w:sz w:val="24"/>
              </w:rPr>
              <w:t>。</w:t>
            </w:r>
            <w:r>
              <w:rPr>
                <w:sz w:val="24"/>
                <w:szCs w:val="24"/>
              </w:rPr>
              <w:t>经</w:t>
            </w:r>
            <w:r>
              <w:rPr>
                <w:rFonts w:hint="eastAsia"/>
                <w:sz w:val="24"/>
                <w:szCs w:val="24"/>
                <w:lang w:val="en-US" w:eastAsia="zh-CN"/>
              </w:rPr>
              <w:t>沉淀</w:t>
            </w:r>
            <w:r>
              <w:rPr>
                <w:sz w:val="24"/>
                <w:szCs w:val="24"/>
              </w:rPr>
              <w:t>池预处理后能够达到《污水排入城镇下水道水质标准》（GB/T31962-2015）表1中的B等级标准，</w:t>
            </w:r>
            <w:r>
              <w:rPr>
                <w:rFonts w:hint="eastAsia"/>
                <w:sz w:val="24"/>
                <w:szCs w:val="24"/>
                <w:lang w:val="en-US" w:eastAsia="zh-CN"/>
              </w:rPr>
              <w:t>定期</w:t>
            </w:r>
            <w:r>
              <w:rPr>
                <w:sz w:val="24"/>
                <w:szCs w:val="24"/>
              </w:rPr>
              <w:t>由</w:t>
            </w:r>
            <w:r>
              <w:rPr>
                <w:rFonts w:hint="eastAsia"/>
                <w:sz w:val="24"/>
                <w:szCs w:val="24"/>
                <w:lang w:val="en-US" w:eastAsia="zh-CN"/>
              </w:rPr>
              <w:t>罐车抽</w:t>
            </w:r>
            <w:r>
              <w:rPr>
                <w:sz w:val="24"/>
                <w:szCs w:val="24"/>
              </w:rPr>
              <w:t>送至</w:t>
            </w:r>
            <w:r>
              <w:rPr>
                <w:rFonts w:hint="eastAsia"/>
                <w:sz w:val="24"/>
                <w:szCs w:val="24"/>
              </w:rPr>
              <w:t>威海经区污水处理厂</w:t>
            </w:r>
            <w:r>
              <w:rPr>
                <w:sz w:val="24"/>
                <w:szCs w:val="24"/>
              </w:rPr>
              <w:t>集中处理，达到《城镇污水处理厂污染物排放标准》（GB18918-2002）一级A标准（CODcr50mg/l、氨氮5（8）mg/l）后排</w:t>
            </w:r>
            <w:r>
              <w:rPr>
                <w:rFonts w:hint="eastAsia"/>
                <w:sz w:val="24"/>
                <w:szCs w:val="24"/>
              </w:rPr>
              <w:t>海</w:t>
            </w:r>
            <w:r>
              <w:rPr>
                <w:sz w:val="24"/>
                <w:szCs w:val="24"/>
              </w:rPr>
              <w:t>。厂区排放口</w:t>
            </w:r>
            <w:r>
              <w:rPr>
                <w:rFonts w:hint="eastAsia"/>
                <w:sz w:val="24"/>
                <w:szCs w:val="24"/>
              </w:rPr>
              <w:t>CODcr</w:t>
            </w:r>
            <w:r>
              <w:rPr>
                <w:sz w:val="24"/>
                <w:szCs w:val="24"/>
              </w:rPr>
              <w:t>排放量为</w:t>
            </w:r>
            <w:r>
              <w:rPr>
                <w:rFonts w:hint="eastAsia"/>
                <w:sz w:val="24"/>
                <w:szCs w:val="24"/>
              </w:rPr>
              <w:t>0.336</w:t>
            </w:r>
            <w:r>
              <w:rPr>
                <w:sz w:val="24"/>
                <w:szCs w:val="24"/>
              </w:rPr>
              <w:t>t/a，氨氮排放量为</w:t>
            </w:r>
            <w:r>
              <w:rPr>
                <w:rFonts w:hint="eastAsia"/>
                <w:sz w:val="24"/>
                <w:szCs w:val="24"/>
              </w:rPr>
              <w:t>0.024</w:t>
            </w:r>
            <w:r>
              <w:rPr>
                <w:sz w:val="24"/>
                <w:szCs w:val="24"/>
              </w:rPr>
              <w:t>t/a；CODcr、氨氮排入</w:t>
            </w:r>
            <w:r>
              <w:rPr>
                <w:rFonts w:hint="eastAsia"/>
                <w:sz w:val="24"/>
                <w:szCs w:val="24"/>
              </w:rPr>
              <w:t>外环境</w:t>
            </w:r>
            <w:r>
              <w:rPr>
                <w:sz w:val="24"/>
                <w:szCs w:val="24"/>
              </w:rPr>
              <w:t>的量分别为</w:t>
            </w:r>
            <w:r>
              <w:rPr>
                <w:rFonts w:hint="eastAsia"/>
                <w:sz w:val="24"/>
                <w:szCs w:val="24"/>
              </w:rPr>
              <w:t>0.048</w:t>
            </w:r>
            <w:r>
              <w:rPr>
                <w:sz w:val="24"/>
                <w:szCs w:val="24"/>
              </w:rPr>
              <w:t>t/a、0.00</w:t>
            </w:r>
            <w:r>
              <w:rPr>
                <w:rFonts w:hint="eastAsia"/>
                <w:sz w:val="24"/>
                <w:szCs w:val="24"/>
              </w:rPr>
              <w:t>6</w:t>
            </w:r>
            <w:r>
              <w:rPr>
                <w:sz w:val="24"/>
                <w:szCs w:val="24"/>
              </w:rPr>
              <w:t>t/a</w:t>
            </w:r>
            <w:r>
              <w:rPr>
                <w:sz w:val="24"/>
              </w:rPr>
              <w:t>。</w:t>
            </w:r>
          </w:p>
          <w:p w14:paraId="2F0C0F18">
            <w:pPr>
              <w:spacing w:line="360" w:lineRule="auto"/>
              <w:ind w:firstLine="480" w:firstLineChars="200"/>
              <w:jc w:val="left"/>
              <w:rPr>
                <w:sz w:val="24"/>
                <w:szCs w:val="24"/>
              </w:rPr>
            </w:pPr>
            <w:r>
              <w:rPr>
                <w:sz w:val="24"/>
                <w:szCs w:val="24"/>
              </w:rPr>
              <w:t>项目不取地下水，不会对区域地下水水位等造成影响，项目可能对地下水造成影响的方式主要为污染物通过渗透方式进入地下水环境，项目在确保排水系统与市政污水主管网对接的前提下，并有效防止污水管网“跑、冒、滴、漏”现象的发生，项目废水对地下水环境影响很小。</w:t>
            </w:r>
          </w:p>
          <w:p w14:paraId="069C9521">
            <w:pPr>
              <w:spacing w:line="360" w:lineRule="auto"/>
              <w:ind w:firstLine="480" w:firstLineChars="200"/>
              <w:rPr>
                <w:sz w:val="24"/>
                <w:szCs w:val="24"/>
              </w:rPr>
            </w:pPr>
            <w:r>
              <w:rPr>
                <w:kern w:val="0"/>
                <w:sz w:val="24"/>
              </w:rPr>
              <w:t>综上所述，项目采取严格管理和切实的防治措施的前提下，项目废水对周边地表水及地下水</w:t>
            </w:r>
            <w:r>
              <w:rPr>
                <w:rFonts w:hint="eastAsia"/>
                <w:kern w:val="0"/>
                <w:sz w:val="24"/>
              </w:rPr>
              <w:t>环境</w:t>
            </w:r>
            <w:r>
              <w:rPr>
                <w:kern w:val="0"/>
                <w:sz w:val="24"/>
              </w:rPr>
              <w:t>的影响较小</w:t>
            </w:r>
            <w:r>
              <w:rPr>
                <w:sz w:val="24"/>
                <w:szCs w:val="24"/>
              </w:rPr>
              <w:t>。</w:t>
            </w:r>
          </w:p>
          <w:p w14:paraId="21A96249">
            <w:pPr>
              <w:spacing w:line="360" w:lineRule="auto"/>
              <w:ind w:firstLine="482" w:firstLineChars="200"/>
              <w:rPr>
                <w:b/>
                <w:sz w:val="24"/>
              </w:rPr>
            </w:pPr>
            <w:r>
              <w:rPr>
                <w:b/>
                <w:sz w:val="24"/>
              </w:rPr>
              <w:t>（3）噪声</w:t>
            </w:r>
          </w:p>
          <w:p w14:paraId="70F171F4">
            <w:pPr>
              <w:spacing w:line="360" w:lineRule="auto"/>
              <w:ind w:firstLine="480" w:firstLineChars="200"/>
              <w:rPr>
                <w:sz w:val="24"/>
                <w:szCs w:val="24"/>
              </w:rPr>
            </w:pPr>
            <w:r>
              <w:rPr>
                <w:sz w:val="24"/>
              </w:rPr>
              <w:t>本项目</w:t>
            </w:r>
            <w:r>
              <w:rPr>
                <w:sz w:val="24"/>
                <w:szCs w:val="24"/>
              </w:rPr>
              <w:t>噪声主要来自</w:t>
            </w:r>
            <w:r>
              <w:rPr>
                <w:rFonts w:hint="eastAsia"/>
                <w:sz w:val="24"/>
                <w:szCs w:val="24"/>
              </w:rPr>
              <w:t>裁布机、缠带机、水磨机、风机、抛光机</w:t>
            </w:r>
            <w:r>
              <w:rPr>
                <w:sz w:val="24"/>
                <w:szCs w:val="24"/>
              </w:rPr>
              <w:t>等机械设备的运行，</w:t>
            </w:r>
            <w:r>
              <w:rPr>
                <w:sz w:val="24"/>
              </w:rPr>
              <w:t>根据国内同类行业的车间内噪声值的经验数据，噪声值约在65～85dB(A)左右</w:t>
            </w:r>
            <w:r>
              <w:rPr>
                <w:sz w:val="24"/>
                <w:szCs w:val="24"/>
              </w:rPr>
              <w:t>。项目噪声源通过合理布置，在加装各类减震垫，经厂房阻隔、吸声和距离衰减后可以达到《工业企业厂界环境噪声排放标准》（GB12348-2008）中的</w:t>
            </w:r>
            <w:r>
              <w:rPr>
                <w:rFonts w:hint="eastAsia"/>
                <w:sz w:val="24"/>
                <w:szCs w:val="24"/>
              </w:rPr>
              <w:t>2</w:t>
            </w:r>
            <w:r>
              <w:rPr>
                <w:sz w:val="24"/>
                <w:szCs w:val="24"/>
              </w:rPr>
              <w:t>类标准的要求，对周围</w:t>
            </w:r>
            <w:r>
              <w:rPr>
                <w:rFonts w:hint="eastAsia"/>
                <w:sz w:val="24"/>
                <w:szCs w:val="24"/>
              </w:rPr>
              <w:t>声</w:t>
            </w:r>
            <w:r>
              <w:rPr>
                <w:sz w:val="24"/>
                <w:szCs w:val="24"/>
              </w:rPr>
              <w:t>环境影响较小。</w:t>
            </w:r>
          </w:p>
          <w:p w14:paraId="3A6D2903">
            <w:pPr>
              <w:spacing w:line="360" w:lineRule="auto"/>
              <w:ind w:firstLine="482" w:firstLineChars="200"/>
              <w:rPr>
                <w:b/>
                <w:sz w:val="24"/>
              </w:rPr>
            </w:pPr>
            <w:r>
              <w:rPr>
                <w:b/>
                <w:sz w:val="24"/>
              </w:rPr>
              <w:t>（4）固体废物</w:t>
            </w:r>
          </w:p>
          <w:p w14:paraId="7BC216CE">
            <w:pPr>
              <w:pStyle w:val="17"/>
              <w:ind w:left="0" w:firstLine="480" w:firstLineChars="200"/>
              <w:rPr>
                <w:rFonts w:ascii="Times New Roman"/>
                <w:bCs/>
              </w:rPr>
            </w:pPr>
            <w:r>
              <w:rPr>
                <w:rFonts w:ascii="Times New Roman"/>
              </w:rPr>
              <w:t>项目营运期</w:t>
            </w:r>
            <w:r>
              <w:rPr>
                <w:rFonts w:ascii="Times New Roman"/>
                <w:szCs w:val="24"/>
              </w:rPr>
              <w:t>生活垃圾由环卫部门运送至威海市垃圾处理场合理处置，</w:t>
            </w:r>
            <w:r>
              <w:rPr>
                <w:rFonts w:hint="eastAsia"/>
                <w:szCs w:val="24"/>
              </w:rPr>
              <w:t>下脚料、</w:t>
            </w:r>
            <w:r>
              <w:rPr>
                <w:rFonts w:hint="eastAsia"/>
              </w:rPr>
              <w:t>不合格品、废包装</w:t>
            </w:r>
            <w:r>
              <w:rPr>
                <w:rFonts w:ascii="Times New Roman"/>
                <w:szCs w:val="24"/>
              </w:rPr>
              <w:t>由</w:t>
            </w:r>
            <w:r>
              <w:rPr>
                <w:rFonts w:hint="eastAsia"/>
                <w:szCs w:val="24"/>
              </w:rPr>
              <w:t>物资</w:t>
            </w:r>
            <w:r>
              <w:rPr>
                <w:rFonts w:ascii="Times New Roman"/>
                <w:szCs w:val="24"/>
              </w:rPr>
              <w:t>回收</w:t>
            </w:r>
            <w:r>
              <w:rPr>
                <w:rFonts w:hint="eastAsia"/>
                <w:szCs w:val="24"/>
              </w:rPr>
              <w:t>部门</w:t>
            </w:r>
            <w:r>
              <w:rPr>
                <w:rFonts w:ascii="Times New Roman"/>
                <w:szCs w:val="24"/>
              </w:rPr>
              <w:t>回收利用，漆渣、废</w:t>
            </w:r>
            <w:r>
              <w:rPr>
                <w:rFonts w:hint="eastAsia"/>
                <w:szCs w:val="24"/>
              </w:rPr>
              <w:t>包装桶</w:t>
            </w:r>
            <w:r>
              <w:rPr>
                <w:rFonts w:hint="eastAsia" w:ascii="Times New Roman"/>
                <w:szCs w:val="24"/>
              </w:rPr>
              <w:t>、</w:t>
            </w:r>
            <w:r>
              <w:rPr>
                <w:rFonts w:ascii="Times New Roman"/>
                <w:szCs w:val="24"/>
              </w:rPr>
              <w:t>废过滤材料、废催化剂</w:t>
            </w:r>
            <w:r>
              <w:rPr>
                <w:rFonts w:hint="eastAsia"/>
                <w:szCs w:val="24"/>
              </w:rPr>
              <w:t>、</w:t>
            </w:r>
            <w:r>
              <w:rPr>
                <w:rFonts w:hint="eastAsia" w:eastAsia="新宋体"/>
                <w:szCs w:val="24"/>
              </w:rPr>
              <w:t>水喷淋装置</w:t>
            </w:r>
            <w:r>
              <w:rPr>
                <w:rFonts w:hint="eastAsia"/>
                <w:szCs w:val="24"/>
              </w:rPr>
              <w:t>废液等危险废物</w:t>
            </w:r>
            <w:r>
              <w:rPr>
                <w:rFonts w:hint="eastAsia" w:ascii="Times New Roman"/>
                <w:szCs w:val="24"/>
              </w:rPr>
              <w:t>委托</w:t>
            </w:r>
            <w:r>
              <w:rPr>
                <w:rFonts w:ascii="Times New Roman"/>
                <w:szCs w:val="24"/>
              </w:rPr>
              <w:t>有</w:t>
            </w:r>
            <w:r>
              <w:rPr>
                <w:rFonts w:hint="eastAsia"/>
                <w:szCs w:val="24"/>
              </w:rPr>
              <w:t>危废处置</w:t>
            </w:r>
            <w:r>
              <w:rPr>
                <w:rFonts w:ascii="Times New Roman"/>
                <w:szCs w:val="24"/>
              </w:rPr>
              <w:t>资质的单位进行</w:t>
            </w:r>
            <w:r>
              <w:rPr>
                <w:rFonts w:hint="eastAsia" w:ascii="Times New Roman"/>
                <w:szCs w:val="24"/>
              </w:rPr>
              <w:t>回收</w:t>
            </w:r>
            <w:r>
              <w:rPr>
                <w:rFonts w:ascii="Times New Roman"/>
                <w:szCs w:val="24"/>
              </w:rPr>
              <w:t>处置</w:t>
            </w:r>
            <w:r>
              <w:rPr>
                <w:rFonts w:ascii="Times New Roman"/>
              </w:rPr>
              <w:t>。</w:t>
            </w:r>
          </w:p>
          <w:p w14:paraId="610ACA57">
            <w:pPr>
              <w:spacing w:line="360" w:lineRule="auto"/>
              <w:ind w:firstLine="480" w:firstLineChars="200"/>
              <w:rPr>
                <w:bCs/>
                <w:sz w:val="24"/>
              </w:rPr>
            </w:pPr>
            <w:r>
              <w:rPr>
                <w:bCs/>
                <w:sz w:val="24"/>
              </w:rPr>
              <w:t>堆放各类固体废物的地面要硬化处理并分类堆放，各类固体废物只在厂内作短时间的堆放，对环境影响较小。经上述措施处理后固体废物处置满足《一般工业固体废物贮存、处置场污染控制标准》（GB18599-2001）及其修改单标准、</w:t>
            </w:r>
            <w:r>
              <w:rPr>
                <w:sz w:val="24"/>
                <w:szCs w:val="24"/>
              </w:rPr>
              <w:t>《危险废物贮存污染控制标准》（GB18597-2001）及其修改单</w:t>
            </w:r>
            <w:r>
              <w:rPr>
                <w:bCs/>
                <w:sz w:val="24"/>
              </w:rPr>
              <w:t>。</w:t>
            </w:r>
          </w:p>
          <w:p w14:paraId="2BB0702B">
            <w:pPr>
              <w:spacing w:line="360" w:lineRule="auto"/>
              <w:ind w:firstLine="482" w:firstLineChars="200"/>
              <w:rPr>
                <w:b/>
                <w:sz w:val="24"/>
              </w:rPr>
            </w:pPr>
            <w:r>
              <w:rPr>
                <w:b/>
                <w:sz w:val="24"/>
              </w:rPr>
              <w:t>（</w:t>
            </w:r>
            <w:r>
              <w:rPr>
                <w:rFonts w:hint="eastAsia"/>
                <w:b/>
                <w:sz w:val="24"/>
              </w:rPr>
              <w:t>5</w:t>
            </w:r>
            <w:r>
              <w:rPr>
                <w:b/>
                <w:sz w:val="24"/>
              </w:rPr>
              <w:t>）环境风险</w:t>
            </w:r>
          </w:p>
          <w:p w14:paraId="295DCF00">
            <w:pPr>
              <w:snapToGrid w:val="0"/>
              <w:spacing w:line="360" w:lineRule="auto"/>
              <w:ind w:firstLine="480" w:firstLineChars="200"/>
              <w:jc w:val="left"/>
              <w:rPr>
                <w:sz w:val="24"/>
              </w:rPr>
            </w:pPr>
            <w:r>
              <w:rPr>
                <w:sz w:val="24"/>
              </w:rPr>
              <w:t>按照</w:t>
            </w:r>
            <w:r>
              <w:rPr>
                <w:kern w:val="0"/>
                <w:sz w:val="24"/>
              </w:rPr>
              <w:t>《建设项目环境风险评价技术导则》（HJ169-2018）</w:t>
            </w:r>
            <w:r>
              <w:rPr>
                <w:sz w:val="24"/>
              </w:rPr>
              <w:t>的规定，对环境风险源进行了识别、制定了防范措施</w:t>
            </w:r>
            <w:r>
              <w:rPr>
                <w:rFonts w:hint="eastAsia"/>
                <w:sz w:val="24"/>
              </w:rPr>
              <w:t>。</w:t>
            </w:r>
            <w:r>
              <w:rPr>
                <w:bCs/>
                <w:sz w:val="24"/>
              </w:rPr>
              <w:t>通过加强管理、加强教育和培训，</w:t>
            </w:r>
            <w:r>
              <w:rPr>
                <w:sz w:val="24"/>
              </w:rPr>
              <w:t>并严格落实各项防范措施和应急预案，同时加强演练，项目潜在的环境风险发生概率处于可接受水平。</w:t>
            </w:r>
          </w:p>
          <w:p w14:paraId="51BB1443">
            <w:pPr>
              <w:spacing w:line="360" w:lineRule="auto"/>
              <w:ind w:firstLine="482" w:firstLineChars="200"/>
              <w:rPr>
                <w:b/>
                <w:sz w:val="24"/>
              </w:rPr>
            </w:pPr>
            <w:r>
              <w:rPr>
                <w:b/>
                <w:sz w:val="24"/>
              </w:rPr>
              <w:t>（</w:t>
            </w:r>
            <w:r>
              <w:rPr>
                <w:rFonts w:hint="eastAsia"/>
                <w:b/>
                <w:sz w:val="24"/>
              </w:rPr>
              <w:t>6</w:t>
            </w:r>
            <w:r>
              <w:rPr>
                <w:b/>
                <w:sz w:val="24"/>
              </w:rPr>
              <w:t>）清洁生产</w:t>
            </w:r>
          </w:p>
          <w:p w14:paraId="03385D20">
            <w:pPr>
              <w:spacing w:line="360" w:lineRule="auto"/>
              <w:ind w:firstLine="480" w:firstLineChars="200"/>
              <w:rPr>
                <w:sz w:val="24"/>
              </w:rPr>
            </w:pPr>
            <w:r>
              <w:rPr>
                <w:sz w:val="24"/>
              </w:rPr>
              <w:t>项目本身让有用资源得到有效利用，节约能源和动力。项目营运期间积极开展“节水、节地、节能、节材”等环保理念，秉持了“节能、降耗、减污、增效”的清洁生产理念，符合清洁生产政策要求。</w:t>
            </w:r>
          </w:p>
          <w:p w14:paraId="624E7AAB">
            <w:pPr>
              <w:spacing w:line="360" w:lineRule="auto"/>
              <w:ind w:firstLine="482" w:firstLineChars="200"/>
              <w:rPr>
                <w:b/>
                <w:sz w:val="24"/>
              </w:rPr>
            </w:pPr>
            <w:r>
              <w:rPr>
                <w:rFonts w:hint="eastAsia"/>
                <w:b/>
                <w:sz w:val="24"/>
              </w:rPr>
              <w:t>（7）土壤环境</w:t>
            </w:r>
          </w:p>
          <w:p w14:paraId="2828B7F4">
            <w:pPr>
              <w:adjustRightInd w:val="0"/>
              <w:snapToGrid w:val="0"/>
              <w:spacing w:line="360" w:lineRule="auto"/>
              <w:ind w:firstLine="480"/>
              <w:jc w:val="left"/>
              <w:rPr>
                <w:b/>
                <w:bCs/>
                <w:sz w:val="24"/>
              </w:rPr>
            </w:pPr>
            <w:r>
              <w:rPr>
                <w:rFonts w:hint="eastAsia"/>
                <w:sz w:val="24"/>
              </w:rPr>
              <w:t>本项目严格遵照国家</w:t>
            </w:r>
            <w:r>
              <w:rPr>
                <w:rFonts w:hint="eastAsia"/>
                <w:bCs/>
                <w:sz w:val="24"/>
              </w:rPr>
              <w:t>《一般工业固体废物贮存、处置污染控制标准》（GB18599-2001）及修改单及</w:t>
            </w:r>
            <w:r>
              <w:rPr>
                <w:sz w:val="24"/>
                <w:szCs w:val="24"/>
              </w:rPr>
              <w:t>《危险废物贮存污染控制标准》（GB18597－2001）及其修改单</w:t>
            </w:r>
            <w:r>
              <w:rPr>
                <w:rFonts w:hint="eastAsia"/>
                <w:sz w:val="24"/>
                <w:szCs w:val="24"/>
              </w:rPr>
              <w:t>的要求进行固废（危废）库建设</w:t>
            </w:r>
            <w:r>
              <w:rPr>
                <w:rFonts w:hint="eastAsia"/>
                <w:bCs/>
                <w:sz w:val="24"/>
              </w:rPr>
              <w:t>，</w:t>
            </w:r>
            <w:r>
              <w:rPr>
                <w:rFonts w:hint="eastAsia"/>
                <w:sz w:val="24"/>
                <w:szCs w:val="24"/>
              </w:rPr>
              <w:t>可有效降低固体废物对土壤的污染影响；</w:t>
            </w:r>
            <w:r>
              <w:rPr>
                <w:rFonts w:hint="eastAsia"/>
                <w:sz w:val="24"/>
              </w:rPr>
              <w:t>废水收集、输送、贮存系统采取</w:t>
            </w:r>
            <w:r>
              <w:rPr>
                <w:sz w:val="24"/>
                <w:szCs w:val="24"/>
              </w:rPr>
              <w:t>防渗</w:t>
            </w:r>
            <w:r>
              <w:rPr>
                <w:rFonts w:hint="eastAsia"/>
                <w:sz w:val="24"/>
                <w:szCs w:val="24"/>
              </w:rPr>
              <w:t>等措施可</w:t>
            </w:r>
            <w:r>
              <w:rPr>
                <w:color w:val="000000"/>
                <w:sz w:val="24"/>
                <w:szCs w:val="24"/>
              </w:rPr>
              <w:t>有效防止“跑、冒、滴、漏”现象的发生</w:t>
            </w:r>
            <w:r>
              <w:rPr>
                <w:rFonts w:hint="eastAsia"/>
                <w:color w:val="000000"/>
                <w:sz w:val="24"/>
                <w:szCs w:val="24"/>
              </w:rPr>
              <w:t>，</w:t>
            </w:r>
            <w:r>
              <w:rPr>
                <w:rFonts w:hint="eastAsia"/>
                <w:sz w:val="24"/>
              </w:rPr>
              <w:t>不会对项目所在地的土壤环境造成不利影响</w:t>
            </w:r>
            <w:r>
              <w:rPr>
                <w:rFonts w:hint="eastAsia"/>
                <w:sz w:val="24"/>
                <w:szCs w:val="24"/>
              </w:rPr>
              <w:t>。</w:t>
            </w:r>
          </w:p>
          <w:p w14:paraId="28CEB4D9">
            <w:pPr>
              <w:adjustRightInd w:val="0"/>
              <w:snapToGrid w:val="0"/>
              <w:spacing w:line="360" w:lineRule="auto"/>
              <w:ind w:firstLine="480"/>
              <w:jc w:val="left"/>
              <w:rPr>
                <w:b/>
                <w:bCs/>
                <w:sz w:val="24"/>
              </w:rPr>
            </w:pPr>
            <w:r>
              <w:rPr>
                <w:b/>
                <w:bCs/>
                <w:sz w:val="24"/>
              </w:rPr>
              <w:t>（</w:t>
            </w:r>
            <w:r>
              <w:rPr>
                <w:rFonts w:hint="eastAsia"/>
                <w:b/>
                <w:bCs/>
                <w:sz w:val="24"/>
              </w:rPr>
              <w:t>8</w:t>
            </w:r>
            <w:r>
              <w:rPr>
                <w:b/>
                <w:bCs/>
                <w:sz w:val="24"/>
              </w:rPr>
              <w:t>）生态环境</w:t>
            </w:r>
          </w:p>
          <w:p w14:paraId="35A95DAE">
            <w:pPr>
              <w:spacing w:line="360" w:lineRule="auto"/>
              <w:ind w:firstLine="448" w:firstLineChars="200"/>
              <w:rPr>
                <w:b/>
                <w:sz w:val="24"/>
              </w:rPr>
            </w:pPr>
            <w:r>
              <w:rPr>
                <w:spacing w:val="-8"/>
                <w:sz w:val="24"/>
              </w:rPr>
              <w:t>项目运营阶段不会造成区域内生态功能及结构的变化，对项目区及周围局部生态环境的影响在许可范围与程度之内。</w:t>
            </w:r>
          </w:p>
          <w:p w14:paraId="5B37D344">
            <w:pPr>
              <w:spacing w:line="360" w:lineRule="auto"/>
              <w:ind w:firstLine="482" w:firstLineChars="200"/>
              <w:rPr>
                <w:b/>
                <w:sz w:val="24"/>
                <w:szCs w:val="24"/>
              </w:rPr>
            </w:pPr>
            <w:r>
              <w:rPr>
                <w:b/>
                <w:sz w:val="24"/>
              </w:rPr>
              <w:t>综上所述，该项目符合国家产业政策，符合当地产业发展导向，选址符合当地发展规划。项目所在区域内环境质量现状良好，无重大环境制约要素，项目采取的污染物治理技术可行，措施有效。项目生产过程中产生的各种污染物在相应有效的环保措施及方案下，均可做到达标排放，对环境影响较小，基本维持当地环境质量现状级别。只要落实本报告表提出的环保对策措施，本项目建设从环境保护角度而言是可行的</w:t>
            </w:r>
            <w:r>
              <w:rPr>
                <w:b/>
                <w:sz w:val="24"/>
                <w:szCs w:val="24"/>
              </w:rPr>
              <w:t>。</w:t>
            </w:r>
          </w:p>
          <w:p w14:paraId="5D75E72B">
            <w:pPr>
              <w:spacing w:line="360" w:lineRule="auto"/>
              <w:ind w:firstLine="482" w:firstLineChars="200"/>
              <w:rPr>
                <w:b/>
                <w:sz w:val="24"/>
              </w:rPr>
            </w:pPr>
            <w:r>
              <w:rPr>
                <w:b/>
                <w:sz w:val="24"/>
              </w:rPr>
              <w:t>二、环保建议：</w:t>
            </w:r>
          </w:p>
          <w:p w14:paraId="610D85A4">
            <w:pPr>
              <w:adjustRightInd w:val="0"/>
              <w:spacing w:line="360" w:lineRule="auto"/>
              <w:ind w:firstLine="480" w:firstLineChars="200"/>
              <w:jc w:val="left"/>
              <w:rPr>
                <w:sz w:val="24"/>
                <w:szCs w:val="24"/>
              </w:rPr>
            </w:pPr>
            <w:r>
              <w:rPr>
                <w:sz w:val="24"/>
                <w:szCs w:val="24"/>
              </w:rPr>
              <w:t>1、项目必须严格执行环保“三同时”制度，污染防治设施应与主体工程同时设计、同时施工和同时投入运营。</w:t>
            </w:r>
          </w:p>
          <w:p w14:paraId="3DEBB145">
            <w:pPr>
              <w:adjustRightInd w:val="0"/>
              <w:spacing w:line="360" w:lineRule="auto"/>
              <w:ind w:firstLine="480" w:firstLineChars="200"/>
              <w:jc w:val="left"/>
              <w:rPr>
                <w:sz w:val="24"/>
                <w:szCs w:val="24"/>
              </w:rPr>
            </w:pPr>
            <w:r>
              <w:rPr>
                <w:sz w:val="24"/>
                <w:szCs w:val="24"/>
              </w:rPr>
              <w:t>2、营运期间环保设施的保养、维修应制度化，保证设备的正常运转。</w:t>
            </w:r>
          </w:p>
          <w:p w14:paraId="6901EFEA">
            <w:pPr>
              <w:spacing w:line="360" w:lineRule="auto"/>
              <w:ind w:firstLine="480"/>
              <w:jc w:val="left"/>
              <w:rPr>
                <w:sz w:val="24"/>
                <w:szCs w:val="24"/>
              </w:rPr>
            </w:pPr>
            <w:r>
              <w:rPr>
                <w:sz w:val="24"/>
                <w:szCs w:val="24"/>
              </w:rPr>
              <w:t>3、增强职工风险意识，加强职工操作培训，提高职工安全环保意识，建立健全各项规章制度，注意正确的操作规程，避免因操作失误造成的安全事故和环境影响。</w:t>
            </w:r>
          </w:p>
          <w:p w14:paraId="71BB6C44">
            <w:pPr>
              <w:spacing w:line="360" w:lineRule="auto"/>
              <w:ind w:firstLine="480" w:firstLineChars="200"/>
              <w:jc w:val="left"/>
              <w:rPr>
                <w:sz w:val="24"/>
                <w:szCs w:val="24"/>
              </w:rPr>
            </w:pPr>
            <w:r>
              <w:rPr>
                <w:sz w:val="24"/>
                <w:szCs w:val="24"/>
              </w:rPr>
              <w:t>4、积极配合环保部门的监督、监测等环保管理。建立健全环保机构，分工负责， 加强监督，完善环境管理。</w:t>
            </w:r>
          </w:p>
          <w:p w14:paraId="0BAD04E4">
            <w:pPr>
              <w:pStyle w:val="41"/>
              <w:spacing w:line="360" w:lineRule="auto"/>
              <w:rPr>
                <w:rFonts w:ascii="Times New Roman" w:cs="Times New Roman"/>
              </w:rPr>
            </w:pPr>
            <w:r>
              <w:rPr>
                <w:rFonts w:ascii="Times New Roman" w:cs="Times New Roman"/>
              </w:rPr>
              <w:t xml:space="preserve">    5、建设项目的环境影响评价文件经批准后，建设项目的性质、规模、地点、采用的生产工艺或者防治污染、防治生态破坏的措施发生重大变动的，建设单位应当重新报批建设项目的环境影响评价文件。</w:t>
            </w:r>
          </w:p>
          <w:p w14:paraId="20F0925F">
            <w:pPr>
              <w:pStyle w:val="41"/>
              <w:spacing w:line="360" w:lineRule="auto"/>
              <w:ind w:firstLine="480"/>
              <w:rPr>
                <w:rFonts w:ascii="Times New Roman"/>
              </w:rPr>
            </w:pPr>
            <w:r>
              <w:rPr>
                <w:rFonts w:hint="eastAsia" w:ascii="Times New Roman" w:cs="Times New Roman"/>
                <w:color w:val="auto"/>
              </w:rPr>
              <w:t>6、</w:t>
            </w:r>
            <w:r>
              <w:rPr>
                <w:rFonts w:ascii="Times New Roman"/>
              </w:rPr>
              <w:t>根据《建设项目环境保护管理条例》第</w:t>
            </w:r>
            <w:r>
              <w:rPr>
                <w:rFonts w:hint="eastAsia" w:ascii="Times New Roman"/>
              </w:rPr>
              <w:t>十七</w:t>
            </w:r>
            <w:r>
              <w:rPr>
                <w:rFonts w:ascii="Times New Roman"/>
              </w:rPr>
              <w:t>条的规定，项目竣工后，</w:t>
            </w:r>
            <w:r>
              <w:rPr>
                <w:rFonts w:hint="eastAsia" w:ascii="Times New Roman"/>
              </w:rPr>
              <w:t>建设单位应当按照国务院环境保护行政主管部门规定的标准和程序，对配套建设的环境保护设施进行验收。</w:t>
            </w:r>
          </w:p>
          <w:p w14:paraId="63672F01">
            <w:pPr>
              <w:pStyle w:val="41"/>
              <w:spacing w:line="360" w:lineRule="auto"/>
              <w:rPr>
                <w:rFonts w:ascii="Times New Roman"/>
              </w:rPr>
            </w:pPr>
          </w:p>
        </w:tc>
      </w:tr>
      <w:tr w14:paraId="650EAD4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56" w:type="dxa"/>
          </w:tcPr>
          <w:p w14:paraId="6E0B883A">
            <w:pPr>
              <w:spacing w:line="480" w:lineRule="exact"/>
              <w:rPr>
                <w:sz w:val="24"/>
              </w:rPr>
            </w:pPr>
            <w:r>
              <w:rPr>
                <w:sz w:val="24"/>
              </w:rPr>
              <w:t>预审意见：</w:t>
            </w:r>
          </w:p>
          <w:p w14:paraId="17B07B50">
            <w:pPr>
              <w:spacing w:line="480" w:lineRule="exact"/>
              <w:rPr>
                <w:sz w:val="24"/>
              </w:rPr>
            </w:pPr>
          </w:p>
          <w:p w14:paraId="01C68AB2">
            <w:pPr>
              <w:spacing w:line="480" w:lineRule="exact"/>
              <w:rPr>
                <w:sz w:val="24"/>
              </w:rPr>
            </w:pPr>
          </w:p>
          <w:p w14:paraId="7224776A">
            <w:pPr>
              <w:spacing w:line="480" w:lineRule="exact"/>
              <w:rPr>
                <w:sz w:val="24"/>
              </w:rPr>
            </w:pPr>
          </w:p>
          <w:p w14:paraId="4C9C24E5">
            <w:pPr>
              <w:spacing w:line="480" w:lineRule="exact"/>
              <w:rPr>
                <w:sz w:val="24"/>
              </w:rPr>
            </w:pPr>
          </w:p>
          <w:p w14:paraId="18F24FDE">
            <w:pPr>
              <w:spacing w:line="480" w:lineRule="exact"/>
              <w:rPr>
                <w:sz w:val="24"/>
              </w:rPr>
            </w:pPr>
          </w:p>
          <w:p w14:paraId="42AA5E6F">
            <w:pPr>
              <w:spacing w:line="480" w:lineRule="exact"/>
              <w:rPr>
                <w:sz w:val="24"/>
              </w:rPr>
            </w:pPr>
          </w:p>
          <w:p w14:paraId="31A9B95D">
            <w:pPr>
              <w:spacing w:line="480" w:lineRule="exact"/>
              <w:rPr>
                <w:sz w:val="24"/>
              </w:rPr>
            </w:pPr>
          </w:p>
          <w:p w14:paraId="2019CC8D">
            <w:pPr>
              <w:spacing w:line="480" w:lineRule="exact"/>
              <w:rPr>
                <w:sz w:val="24"/>
              </w:rPr>
            </w:pPr>
          </w:p>
          <w:p w14:paraId="00400DC6">
            <w:pPr>
              <w:spacing w:line="480" w:lineRule="exact"/>
              <w:rPr>
                <w:sz w:val="24"/>
              </w:rPr>
            </w:pPr>
          </w:p>
          <w:p w14:paraId="489B7C1E">
            <w:pPr>
              <w:spacing w:line="480" w:lineRule="exact"/>
              <w:rPr>
                <w:sz w:val="24"/>
              </w:rPr>
            </w:pPr>
          </w:p>
          <w:p w14:paraId="6FEC712C">
            <w:pPr>
              <w:spacing w:line="480" w:lineRule="exact"/>
              <w:rPr>
                <w:sz w:val="24"/>
              </w:rPr>
            </w:pPr>
          </w:p>
          <w:p w14:paraId="178D05A5">
            <w:pPr>
              <w:snapToGrid w:val="0"/>
              <w:spacing w:line="480" w:lineRule="exact"/>
              <w:rPr>
                <w:sz w:val="24"/>
              </w:rPr>
            </w:pPr>
            <w:r>
              <w:rPr>
                <w:sz w:val="24"/>
              </w:rPr>
              <w:t xml:space="preserve">                                                       公   章</w:t>
            </w:r>
          </w:p>
          <w:p w14:paraId="624481D7">
            <w:pPr>
              <w:snapToGrid w:val="0"/>
              <w:spacing w:line="480" w:lineRule="exact"/>
              <w:rPr>
                <w:sz w:val="24"/>
              </w:rPr>
            </w:pPr>
            <w:r>
              <w:rPr>
                <w:sz w:val="24"/>
              </w:rPr>
              <w:t>经办人：                                            年    月    日</w:t>
            </w:r>
          </w:p>
          <w:p w14:paraId="7906404E">
            <w:pPr>
              <w:spacing w:line="480" w:lineRule="exact"/>
              <w:rPr>
                <w:sz w:val="24"/>
              </w:rPr>
            </w:pPr>
          </w:p>
        </w:tc>
      </w:tr>
      <w:tr w14:paraId="12D8BA8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56" w:type="dxa"/>
          </w:tcPr>
          <w:p w14:paraId="58F0EAAA">
            <w:pPr>
              <w:spacing w:line="480" w:lineRule="exact"/>
              <w:rPr>
                <w:sz w:val="24"/>
              </w:rPr>
            </w:pPr>
            <w:r>
              <w:rPr>
                <w:sz w:val="24"/>
              </w:rPr>
              <w:t>下一级环境保护行政主管部门审查意见：</w:t>
            </w:r>
          </w:p>
          <w:p w14:paraId="5FDF4713">
            <w:pPr>
              <w:spacing w:line="480" w:lineRule="exact"/>
              <w:rPr>
                <w:sz w:val="24"/>
              </w:rPr>
            </w:pPr>
          </w:p>
          <w:p w14:paraId="235DC76F">
            <w:pPr>
              <w:spacing w:line="480" w:lineRule="exact"/>
              <w:rPr>
                <w:sz w:val="24"/>
              </w:rPr>
            </w:pPr>
          </w:p>
          <w:p w14:paraId="6C4CF3C7">
            <w:pPr>
              <w:spacing w:line="480" w:lineRule="exact"/>
              <w:rPr>
                <w:sz w:val="24"/>
              </w:rPr>
            </w:pPr>
          </w:p>
          <w:p w14:paraId="2B0A7F03">
            <w:pPr>
              <w:spacing w:line="480" w:lineRule="exact"/>
              <w:rPr>
                <w:sz w:val="24"/>
              </w:rPr>
            </w:pPr>
          </w:p>
          <w:p w14:paraId="06AD6C3D">
            <w:pPr>
              <w:spacing w:line="480" w:lineRule="exact"/>
              <w:rPr>
                <w:sz w:val="24"/>
              </w:rPr>
            </w:pPr>
          </w:p>
          <w:p w14:paraId="59814ACA">
            <w:pPr>
              <w:spacing w:line="480" w:lineRule="exact"/>
              <w:rPr>
                <w:sz w:val="24"/>
              </w:rPr>
            </w:pPr>
          </w:p>
          <w:p w14:paraId="53DA0EF0">
            <w:pPr>
              <w:spacing w:line="480" w:lineRule="exact"/>
              <w:rPr>
                <w:sz w:val="24"/>
              </w:rPr>
            </w:pPr>
          </w:p>
          <w:p w14:paraId="261FDD49">
            <w:pPr>
              <w:spacing w:line="480" w:lineRule="exact"/>
              <w:rPr>
                <w:sz w:val="24"/>
              </w:rPr>
            </w:pPr>
          </w:p>
          <w:p w14:paraId="436DE066">
            <w:pPr>
              <w:spacing w:line="480" w:lineRule="exact"/>
              <w:rPr>
                <w:sz w:val="24"/>
              </w:rPr>
            </w:pPr>
          </w:p>
          <w:p w14:paraId="3580EFF5">
            <w:pPr>
              <w:spacing w:line="480" w:lineRule="exact"/>
              <w:rPr>
                <w:sz w:val="24"/>
              </w:rPr>
            </w:pPr>
            <w:r>
              <w:rPr>
                <w:sz w:val="24"/>
              </w:rPr>
              <w:t xml:space="preserve">                                                       公   章</w:t>
            </w:r>
          </w:p>
          <w:p w14:paraId="692C426A">
            <w:pPr>
              <w:spacing w:line="480" w:lineRule="exact"/>
              <w:rPr>
                <w:sz w:val="24"/>
              </w:rPr>
            </w:pPr>
            <w:r>
              <w:rPr>
                <w:sz w:val="24"/>
              </w:rPr>
              <w:t>经办人：                                            年    月    日</w:t>
            </w:r>
          </w:p>
          <w:p w14:paraId="4C755C40">
            <w:pPr>
              <w:spacing w:line="480" w:lineRule="exact"/>
              <w:rPr>
                <w:sz w:val="24"/>
              </w:rPr>
            </w:pPr>
          </w:p>
        </w:tc>
      </w:tr>
      <w:tr w14:paraId="4A9FE355">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9356" w:type="dxa"/>
          </w:tcPr>
          <w:p w14:paraId="7E044D41">
            <w:pPr>
              <w:spacing w:line="480" w:lineRule="exact"/>
              <w:rPr>
                <w:sz w:val="24"/>
              </w:rPr>
            </w:pPr>
            <w:r>
              <w:rPr>
                <w:sz w:val="24"/>
              </w:rPr>
              <w:t>审批意见：</w:t>
            </w:r>
          </w:p>
          <w:p w14:paraId="6F06EFD8">
            <w:pPr>
              <w:spacing w:line="480" w:lineRule="exact"/>
              <w:rPr>
                <w:sz w:val="24"/>
              </w:rPr>
            </w:pPr>
          </w:p>
          <w:p w14:paraId="7C57B41C">
            <w:pPr>
              <w:spacing w:line="480" w:lineRule="exact"/>
              <w:rPr>
                <w:sz w:val="24"/>
              </w:rPr>
            </w:pPr>
          </w:p>
          <w:p w14:paraId="2B3126B3">
            <w:pPr>
              <w:spacing w:line="480" w:lineRule="exact"/>
              <w:rPr>
                <w:sz w:val="24"/>
              </w:rPr>
            </w:pPr>
          </w:p>
          <w:p w14:paraId="572136A7">
            <w:pPr>
              <w:spacing w:line="480" w:lineRule="exact"/>
              <w:rPr>
                <w:sz w:val="24"/>
              </w:rPr>
            </w:pPr>
          </w:p>
          <w:p w14:paraId="549671F8">
            <w:pPr>
              <w:spacing w:line="480" w:lineRule="exact"/>
              <w:rPr>
                <w:sz w:val="24"/>
              </w:rPr>
            </w:pPr>
          </w:p>
          <w:p w14:paraId="61F0770F">
            <w:pPr>
              <w:spacing w:line="480" w:lineRule="exact"/>
              <w:rPr>
                <w:sz w:val="24"/>
              </w:rPr>
            </w:pPr>
          </w:p>
          <w:p w14:paraId="26518160">
            <w:pPr>
              <w:spacing w:line="480" w:lineRule="exact"/>
              <w:rPr>
                <w:sz w:val="24"/>
              </w:rPr>
            </w:pPr>
          </w:p>
          <w:p w14:paraId="56403E52">
            <w:pPr>
              <w:spacing w:line="480" w:lineRule="exact"/>
              <w:rPr>
                <w:sz w:val="24"/>
              </w:rPr>
            </w:pPr>
          </w:p>
          <w:p w14:paraId="786C1D88">
            <w:pPr>
              <w:spacing w:line="480" w:lineRule="exact"/>
              <w:rPr>
                <w:sz w:val="24"/>
              </w:rPr>
            </w:pPr>
          </w:p>
          <w:p w14:paraId="493E0CE6">
            <w:pPr>
              <w:spacing w:line="480" w:lineRule="exact"/>
              <w:rPr>
                <w:sz w:val="24"/>
              </w:rPr>
            </w:pPr>
          </w:p>
          <w:p w14:paraId="5056C95B">
            <w:pPr>
              <w:spacing w:line="480" w:lineRule="exact"/>
              <w:rPr>
                <w:sz w:val="24"/>
              </w:rPr>
            </w:pPr>
          </w:p>
          <w:p w14:paraId="2917B09C">
            <w:pPr>
              <w:spacing w:line="480" w:lineRule="exact"/>
              <w:rPr>
                <w:sz w:val="24"/>
              </w:rPr>
            </w:pPr>
          </w:p>
          <w:p w14:paraId="144DA34A">
            <w:pPr>
              <w:spacing w:line="480" w:lineRule="exact"/>
              <w:rPr>
                <w:sz w:val="24"/>
              </w:rPr>
            </w:pPr>
          </w:p>
          <w:p w14:paraId="6D7ECF48">
            <w:pPr>
              <w:spacing w:line="480" w:lineRule="exact"/>
              <w:rPr>
                <w:sz w:val="24"/>
              </w:rPr>
            </w:pPr>
          </w:p>
          <w:p w14:paraId="51C60F5C">
            <w:pPr>
              <w:spacing w:line="480" w:lineRule="exact"/>
              <w:rPr>
                <w:sz w:val="24"/>
              </w:rPr>
            </w:pPr>
          </w:p>
          <w:p w14:paraId="71AF6FB4">
            <w:pPr>
              <w:spacing w:line="480" w:lineRule="exact"/>
              <w:rPr>
                <w:sz w:val="24"/>
              </w:rPr>
            </w:pPr>
          </w:p>
          <w:p w14:paraId="341DB0D5">
            <w:pPr>
              <w:spacing w:line="480" w:lineRule="exact"/>
              <w:rPr>
                <w:sz w:val="24"/>
              </w:rPr>
            </w:pPr>
          </w:p>
          <w:p w14:paraId="0F558A62">
            <w:pPr>
              <w:spacing w:line="480" w:lineRule="exact"/>
              <w:rPr>
                <w:sz w:val="24"/>
              </w:rPr>
            </w:pPr>
          </w:p>
          <w:p w14:paraId="2E98EAD1">
            <w:pPr>
              <w:spacing w:line="480" w:lineRule="exact"/>
              <w:rPr>
                <w:sz w:val="24"/>
              </w:rPr>
            </w:pPr>
          </w:p>
          <w:p w14:paraId="029A61CC">
            <w:pPr>
              <w:spacing w:line="480" w:lineRule="exact"/>
              <w:rPr>
                <w:sz w:val="24"/>
              </w:rPr>
            </w:pPr>
          </w:p>
          <w:p w14:paraId="7EE892C9">
            <w:pPr>
              <w:spacing w:line="480" w:lineRule="exact"/>
              <w:rPr>
                <w:sz w:val="24"/>
              </w:rPr>
            </w:pPr>
          </w:p>
          <w:p w14:paraId="5A4872D0">
            <w:pPr>
              <w:spacing w:line="480" w:lineRule="exact"/>
              <w:rPr>
                <w:sz w:val="24"/>
              </w:rPr>
            </w:pPr>
          </w:p>
          <w:p w14:paraId="4C333168">
            <w:pPr>
              <w:spacing w:line="480" w:lineRule="exact"/>
              <w:rPr>
                <w:sz w:val="24"/>
              </w:rPr>
            </w:pPr>
          </w:p>
          <w:p w14:paraId="2891DD18">
            <w:pPr>
              <w:spacing w:line="480" w:lineRule="exact"/>
              <w:rPr>
                <w:sz w:val="24"/>
              </w:rPr>
            </w:pPr>
          </w:p>
          <w:p w14:paraId="3DBA0685">
            <w:pPr>
              <w:spacing w:line="480" w:lineRule="exact"/>
              <w:rPr>
                <w:sz w:val="24"/>
              </w:rPr>
            </w:pPr>
            <w:r>
              <w:rPr>
                <w:sz w:val="24"/>
              </w:rPr>
              <w:t xml:space="preserve">                                                      公   章</w:t>
            </w:r>
          </w:p>
          <w:p w14:paraId="118F4AF1">
            <w:pPr>
              <w:spacing w:line="480" w:lineRule="exact"/>
              <w:rPr>
                <w:sz w:val="24"/>
              </w:rPr>
            </w:pPr>
            <w:r>
              <w:rPr>
                <w:sz w:val="24"/>
              </w:rPr>
              <w:t>经办人：                                           年    月    日</w:t>
            </w:r>
          </w:p>
          <w:p w14:paraId="2975E66C">
            <w:pPr>
              <w:tabs>
                <w:tab w:val="left" w:pos="417"/>
              </w:tabs>
              <w:spacing w:line="480" w:lineRule="exact"/>
              <w:rPr>
                <w:sz w:val="24"/>
              </w:rPr>
            </w:pPr>
          </w:p>
        </w:tc>
      </w:tr>
      <w:tr w14:paraId="115A2CD7">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9356" w:type="dxa"/>
          </w:tcPr>
          <w:p w14:paraId="50F9F988">
            <w:pPr>
              <w:tabs>
                <w:tab w:val="left" w:pos="417"/>
              </w:tabs>
              <w:spacing w:line="480" w:lineRule="exact"/>
              <w:rPr>
                <w:sz w:val="24"/>
              </w:rPr>
            </w:pPr>
          </w:p>
          <w:p w14:paraId="1A19F476">
            <w:pPr>
              <w:tabs>
                <w:tab w:val="left" w:pos="417"/>
              </w:tabs>
              <w:spacing w:line="480" w:lineRule="exact"/>
              <w:jc w:val="center"/>
              <w:rPr>
                <w:b/>
                <w:sz w:val="24"/>
              </w:rPr>
            </w:pPr>
            <w:r>
              <w:rPr>
                <w:b/>
                <w:sz w:val="24"/>
              </w:rPr>
              <w:t>注        释</w:t>
            </w:r>
          </w:p>
          <w:p w14:paraId="270B6872">
            <w:pPr>
              <w:tabs>
                <w:tab w:val="left" w:pos="417"/>
              </w:tabs>
              <w:spacing w:line="480" w:lineRule="exact"/>
              <w:rPr>
                <w:sz w:val="24"/>
              </w:rPr>
            </w:pPr>
          </w:p>
          <w:p w14:paraId="21AE1665">
            <w:pPr>
              <w:tabs>
                <w:tab w:val="left" w:pos="417"/>
              </w:tabs>
              <w:snapToGrid w:val="0"/>
              <w:spacing w:line="480" w:lineRule="exact"/>
              <w:rPr>
                <w:sz w:val="24"/>
              </w:rPr>
            </w:pPr>
            <w:r>
              <w:rPr>
                <w:sz w:val="24"/>
              </w:rPr>
              <w:t xml:space="preserve">  一、本报告表应附以下附件、附图：</w:t>
            </w:r>
          </w:p>
          <w:p w14:paraId="6BBE7139">
            <w:pPr>
              <w:tabs>
                <w:tab w:val="left" w:pos="417"/>
              </w:tabs>
              <w:snapToGrid w:val="0"/>
              <w:spacing w:line="480" w:lineRule="exact"/>
              <w:rPr>
                <w:sz w:val="24"/>
              </w:rPr>
            </w:pPr>
            <w:r>
              <w:rPr>
                <w:sz w:val="24"/>
              </w:rPr>
              <w:t xml:space="preserve">      附件1  立项批准文件</w:t>
            </w:r>
          </w:p>
          <w:p w14:paraId="62E5D7EC">
            <w:pPr>
              <w:tabs>
                <w:tab w:val="left" w:pos="417"/>
              </w:tabs>
              <w:snapToGrid w:val="0"/>
              <w:spacing w:line="480" w:lineRule="exact"/>
              <w:rPr>
                <w:sz w:val="24"/>
              </w:rPr>
            </w:pPr>
            <w:r>
              <w:rPr>
                <w:sz w:val="24"/>
              </w:rPr>
              <w:t xml:space="preserve">      附件2  其他与环评有关的行政管理文件</w:t>
            </w:r>
          </w:p>
          <w:p w14:paraId="7139C6F6">
            <w:pPr>
              <w:tabs>
                <w:tab w:val="left" w:pos="417"/>
              </w:tabs>
              <w:snapToGrid w:val="0"/>
              <w:spacing w:line="480" w:lineRule="exact"/>
              <w:rPr>
                <w:sz w:val="24"/>
              </w:rPr>
            </w:pPr>
            <w:r>
              <w:rPr>
                <w:sz w:val="24"/>
              </w:rPr>
              <w:t xml:space="preserve">      附图1  项目地理位置图(应反映行政区划、水系、标明纳污口位置和地形地貌等)</w:t>
            </w:r>
          </w:p>
          <w:p w14:paraId="5D99F7D4">
            <w:pPr>
              <w:tabs>
                <w:tab w:val="left" w:pos="417"/>
              </w:tabs>
              <w:snapToGrid w:val="0"/>
              <w:spacing w:line="480" w:lineRule="exact"/>
              <w:rPr>
                <w:sz w:val="24"/>
              </w:rPr>
            </w:pPr>
            <w:r>
              <w:rPr>
                <w:sz w:val="24"/>
              </w:rPr>
              <w:t xml:space="preserve">      附图2  项目平面布置图</w:t>
            </w:r>
          </w:p>
          <w:p w14:paraId="3EB2F929">
            <w:pPr>
              <w:tabs>
                <w:tab w:val="left" w:pos="417"/>
              </w:tabs>
              <w:snapToGrid w:val="0"/>
              <w:spacing w:line="480" w:lineRule="exact"/>
              <w:rPr>
                <w:sz w:val="24"/>
              </w:rPr>
            </w:pPr>
            <w:r>
              <w:rPr>
                <w:sz w:val="24"/>
              </w:rPr>
              <w:t xml:space="preserve">  二、如果本报告表不能说明项目产生的污染及对环境造成的影响，应进行专项评价。根据建设项目的特点和当地环境特征，应选下列1-2项进行专项评价。</w:t>
            </w:r>
          </w:p>
          <w:p w14:paraId="405C7B49">
            <w:pPr>
              <w:tabs>
                <w:tab w:val="left" w:pos="417"/>
              </w:tabs>
              <w:snapToGrid w:val="0"/>
              <w:spacing w:line="480" w:lineRule="exact"/>
              <w:ind w:firstLine="480" w:firstLineChars="200"/>
              <w:rPr>
                <w:sz w:val="24"/>
              </w:rPr>
            </w:pPr>
            <w:r>
              <w:rPr>
                <w:sz w:val="24"/>
              </w:rPr>
              <w:t xml:space="preserve">  1、大气环境影响专项评价</w:t>
            </w:r>
          </w:p>
          <w:p w14:paraId="7BAC28C2">
            <w:pPr>
              <w:tabs>
                <w:tab w:val="left" w:pos="417"/>
              </w:tabs>
              <w:snapToGrid w:val="0"/>
              <w:spacing w:line="480" w:lineRule="exact"/>
              <w:rPr>
                <w:sz w:val="24"/>
              </w:rPr>
            </w:pPr>
            <w:r>
              <w:rPr>
                <w:sz w:val="24"/>
              </w:rPr>
              <w:t xml:space="preserve">      2、水环境影响专项评价(包括地表水和地下水)</w:t>
            </w:r>
          </w:p>
          <w:p w14:paraId="4679D6CD">
            <w:pPr>
              <w:tabs>
                <w:tab w:val="left" w:pos="417"/>
              </w:tabs>
              <w:snapToGrid w:val="0"/>
              <w:spacing w:line="480" w:lineRule="exact"/>
              <w:rPr>
                <w:sz w:val="24"/>
              </w:rPr>
            </w:pPr>
            <w:r>
              <w:rPr>
                <w:sz w:val="24"/>
              </w:rPr>
              <w:t xml:space="preserve">      3、生态影响专项评价</w:t>
            </w:r>
          </w:p>
          <w:p w14:paraId="46C0C9F0">
            <w:pPr>
              <w:tabs>
                <w:tab w:val="left" w:pos="417"/>
              </w:tabs>
              <w:snapToGrid w:val="0"/>
              <w:spacing w:line="480" w:lineRule="exact"/>
              <w:rPr>
                <w:sz w:val="24"/>
              </w:rPr>
            </w:pPr>
            <w:r>
              <w:rPr>
                <w:sz w:val="24"/>
              </w:rPr>
              <w:t xml:space="preserve">      4、声影响专项评价</w:t>
            </w:r>
          </w:p>
          <w:p w14:paraId="691D1B47">
            <w:pPr>
              <w:tabs>
                <w:tab w:val="left" w:pos="417"/>
              </w:tabs>
              <w:snapToGrid w:val="0"/>
              <w:spacing w:line="480" w:lineRule="exact"/>
              <w:rPr>
                <w:sz w:val="24"/>
              </w:rPr>
            </w:pPr>
            <w:r>
              <w:rPr>
                <w:sz w:val="24"/>
              </w:rPr>
              <w:t xml:space="preserve">      5、土壤影响专项评价</w:t>
            </w:r>
          </w:p>
          <w:p w14:paraId="6D703F28">
            <w:pPr>
              <w:tabs>
                <w:tab w:val="left" w:pos="417"/>
              </w:tabs>
              <w:snapToGrid w:val="0"/>
              <w:spacing w:line="480" w:lineRule="exact"/>
              <w:rPr>
                <w:sz w:val="24"/>
              </w:rPr>
            </w:pPr>
            <w:r>
              <w:rPr>
                <w:sz w:val="24"/>
              </w:rPr>
              <w:t xml:space="preserve">      6、固体废弃物影响专项评价</w:t>
            </w:r>
          </w:p>
          <w:p w14:paraId="0A5E1884">
            <w:pPr>
              <w:tabs>
                <w:tab w:val="left" w:pos="417"/>
              </w:tabs>
              <w:snapToGrid w:val="0"/>
              <w:spacing w:line="480" w:lineRule="exact"/>
              <w:rPr>
                <w:sz w:val="24"/>
              </w:rPr>
            </w:pPr>
            <w:r>
              <w:rPr>
                <w:sz w:val="24"/>
              </w:rPr>
              <w:t xml:space="preserve">     以上专项评价未包括的可另列专项，专项评价按照《环境影响评价技术导则》中的要求进行。</w:t>
            </w:r>
          </w:p>
          <w:p w14:paraId="3CB62BEA">
            <w:pPr>
              <w:tabs>
                <w:tab w:val="left" w:pos="417"/>
              </w:tabs>
              <w:snapToGrid w:val="0"/>
              <w:spacing w:line="480" w:lineRule="exact"/>
              <w:rPr>
                <w:sz w:val="24"/>
              </w:rPr>
            </w:pPr>
          </w:p>
          <w:p w14:paraId="4D6D9BE1">
            <w:pPr>
              <w:tabs>
                <w:tab w:val="left" w:pos="417"/>
              </w:tabs>
              <w:snapToGrid w:val="0"/>
              <w:spacing w:line="480" w:lineRule="exact"/>
              <w:rPr>
                <w:sz w:val="24"/>
              </w:rPr>
            </w:pPr>
          </w:p>
          <w:p w14:paraId="70007963">
            <w:pPr>
              <w:tabs>
                <w:tab w:val="left" w:pos="417"/>
              </w:tabs>
              <w:snapToGrid w:val="0"/>
              <w:spacing w:line="480" w:lineRule="exact"/>
              <w:rPr>
                <w:sz w:val="24"/>
              </w:rPr>
            </w:pPr>
          </w:p>
          <w:p w14:paraId="5DBE16F4">
            <w:pPr>
              <w:tabs>
                <w:tab w:val="left" w:pos="417"/>
              </w:tabs>
              <w:snapToGrid w:val="0"/>
              <w:spacing w:line="480" w:lineRule="exact"/>
              <w:rPr>
                <w:sz w:val="24"/>
              </w:rPr>
            </w:pPr>
          </w:p>
          <w:p w14:paraId="6FBF488C">
            <w:pPr>
              <w:tabs>
                <w:tab w:val="left" w:pos="417"/>
              </w:tabs>
              <w:snapToGrid w:val="0"/>
              <w:spacing w:line="480" w:lineRule="exact"/>
              <w:rPr>
                <w:sz w:val="24"/>
              </w:rPr>
            </w:pPr>
          </w:p>
          <w:p w14:paraId="50DEF975">
            <w:pPr>
              <w:tabs>
                <w:tab w:val="left" w:pos="417"/>
              </w:tabs>
              <w:snapToGrid w:val="0"/>
              <w:spacing w:line="480" w:lineRule="exact"/>
              <w:rPr>
                <w:sz w:val="24"/>
              </w:rPr>
            </w:pPr>
          </w:p>
          <w:p w14:paraId="7FB01E60">
            <w:pPr>
              <w:tabs>
                <w:tab w:val="left" w:pos="417"/>
              </w:tabs>
              <w:snapToGrid w:val="0"/>
              <w:spacing w:line="480" w:lineRule="exact"/>
              <w:rPr>
                <w:sz w:val="24"/>
              </w:rPr>
            </w:pPr>
          </w:p>
          <w:p w14:paraId="10744D40">
            <w:pPr>
              <w:tabs>
                <w:tab w:val="left" w:pos="417"/>
              </w:tabs>
              <w:snapToGrid w:val="0"/>
              <w:spacing w:line="480" w:lineRule="exact"/>
              <w:rPr>
                <w:sz w:val="24"/>
              </w:rPr>
            </w:pPr>
          </w:p>
          <w:p w14:paraId="5E02D792">
            <w:pPr>
              <w:tabs>
                <w:tab w:val="left" w:pos="417"/>
              </w:tabs>
              <w:snapToGrid w:val="0"/>
              <w:spacing w:line="480" w:lineRule="exact"/>
              <w:rPr>
                <w:sz w:val="24"/>
              </w:rPr>
            </w:pPr>
          </w:p>
          <w:p w14:paraId="0A3BC6CF">
            <w:pPr>
              <w:tabs>
                <w:tab w:val="left" w:pos="417"/>
              </w:tabs>
              <w:snapToGrid w:val="0"/>
              <w:spacing w:line="480" w:lineRule="exact"/>
              <w:rPr>
                <w:sz w:val="24"/>
              </w:rPr>
            </w:pPr>
          </w:p>
        </w:tc>
      </w:tr>
    </w:tbl>
    <w:p w14:paraId="45BE4248">
      <w:pPr>
        <w:pStyle w:val="2"/>
        <w:sectPr>
          <w:footerReference r:id="rId8" w:type="default"/>
          <w:pgSz w:w="11907" w:h="16840"/>
          <w:pgMar w:top="1402" w:right="1797" w:bottom="1558" w:left="1797" w:header="851" w:footer="992" w:gutter="0"/>
          <w:pgNumType w:fmt="decimal"/>
          <w:cols w:space="720" w:num="1"/>
          <w:docGrid w:type="lines" w:linePitch="312" w:charSpace="0"/>
        </w:sectPr>
      </w:pPr>
    </w:p>
    <w:p w14:paraId="580E3427">
      <w:pPr>
        <w:pStyle w:val="41"/>
        <w:rPr>
          <w:rFonts w:hint="default"/>
          <w:lang w:eastAsia="zh-CN"/>
        </w:rPr>
      </w:pPr>
      <w:r>
        <w:rPr>
          <w:rFonts w:hint="eastAsia" w:ascii="Times New Roman" w:hAnsi="Times New Roman" w:cs="Times New Roman"/>
          <w:color w:val="000000" w:themeColor="text1"/>
          <w:lang w:eastAsia="zh-CN"/>
          <w14:textFill>
            <w14:solidFill>
              <w14:schemeClr w14:val="tx1"/>
            </w14:solidFill>
          </w14:textFill>
        </w:rPr>
        <w:t>附件</w:t>
      </w:r>
      <w:r>
        <w:rPr>
          <w:rFonts w:hint="eastAsia" w:ascii="Times New Roman" w:hAnsi="Times New Roman" w:cs="Times New Roman"/>
          <w:color w:val="000000" w:themeColor="text1"/>
          <w:lang w:val="en-US" w:eastAsia="zh-CN"/>
          <w14:textFill>
            <w14:solidFill>
              <w14:schemeClr w14:val="tx1"/>
            </w14:solidFill>
          </w14:textFill>
        </w:rPr>
        <w:t>1：营业执照</w:t>
      </w:r>
    </w:p>
    <w:p w14:paraId="3B74666F">
      <w:pPr>
        <w:rPr>
          <w:rFonts w:hint="default" w:ascii="Times New Roman" w:hAnsi="Times New Roman" w:eastAsia="FangSong_GB2312" w:cs="Times New Roman"/>
          <w:color w:val="auto"/>
          <w:sz w:val="24"/>
          <w:lang w:eastAsia="zh-CN"/>
        </w:rPr>
      </w:pPr>
      <w:r>
        <w:rPr>
          <w:rFonts w:hint="default" w:ascii="Times New Roman" w:hAnsi="Times New Roman" w:eastAsia="FangSong_GB2312" w:cs="Times New Roman"/>
          <w:color w:val="auto"/>
          <w:sz w:val="24"/>
          <w:lang w:eastAsia="zh-CN"/>
        </w:rPr>
        <w:drawing>
          <wp:inline distT="0" distB="0" distL="114300" distR="114300">
            <wp:extent cx="5719445" cy="7626350"/>
            <wp:effectExtent l="0" t="0" r="14605" b="12700"/>
            <wp:docPr id="1" name="图片 1" descr="4bc13e4705d874fb30cfbe70c658c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4bc13e4705d874fb30cfbe70c658cea"/>
                    <pic:cNvPicPr>
                      <a:picLocks noChangeAspect="1"/>
                    </pic:cNvPicPr>
                  </pic:nvPicPr>
                  <pic:blipFill>
                    <a:blip r:embed="rId19"/>
                    <a:stretch>
                      <a:fillRect/>
                    </a:stretch>
                  </pic:blipFill>
                  <pic:spPr>
                    <a:xfrm>
                      <a:off x="0" y="0"/>
                      <a:ext cx="5719445" cy="7626350"/>
                    </a:xfrm>
                    <a:prstGeom prst="rect">
                      <a:avLst/>
                    </a:prstGeom>
                    <a:noFill/>
                    <a:ln>
                      <a:noFill/>
                    </a:ln>
                  </pic:spPr>
                </pic:pic>
              </a:graphicData>
            </a:graphic>
          </wp:inline>
        </w:drawing>
      </w:r>
    </w:p>
    <w:p w14:paraId="4D21D161">
      <w:pPr>
        <w:pStyle w:val="2"/>
        <w:rPr>
          <w:rFonts w:hint="default" w:ascii="Times New Roman" w:hAnsi="Times New Roman" w:eastAsia="FangSong_GB2312" w:cs="Times New Roman"/>
          <w:color w:val="auto"/>
          <w:sz w:val="24"/>
          <w:lang w:eastAsia="zh-CN"/>
        </w:rPr>
      </w:pPr>
    </w:p>
    <w:p w14:paraId="3210BB04">
      <w:pPr>
        <w:pStyle w:val="3"/>
        <w:rPr>
          <w:rFonts w:hint="default"/>
          <w:lang w:eastAsia="zh-CN"/>
        </w:rPr>
      </w:pPr>
    </w:p>
    <w:p w14:paraId="01D5EEF4">
      <w:pPr>
        <w:rPr>
          <w:rFonts w:hint="default" w:ascii="Times New Roman" w:hAnsi="Times New Roman" w:cs="Times New Roman" w:eastAsiaTheme="minorEastAsia"/>
          <w:color w:val="auto"/>
          <w:sz w:val="24"/>
          <w:lang w:eastAsia="zh-CN"/>
        </w:rPr>
      </w:pPr>
    </w:p>
    <w:p w14:paraId="2E6BF9CA">
      <w:pPr>
        <w:rPr>
          <w:rFonts w:hint="default" w:ascii="Times New Roman" w:hAnsi="Times New Roman" w:cs="Times New Roman" w:eastAsiaTheme="minorEastAsia"/>
          <w:color w:val="auto"/>
          <w:sz w:val="24"/>
          <w:lang w:eastAsia="zh-CN"/>
        </w:rPr>
      </w:pPr>
    </w:p>
    <w:p w14:paraId="1C48C5A0">
      <w:pPr>
        <w:pStyle w:val="3"/>
        <w:ind w:left="0" w:leftChars="0" w:firstLine="0" w:firstLineChars="0"/>
        <w:rPr>
          <w:rFonts w:hint="eastAsia" w:ascii="Times New Roman" w:cs="Times New Roman" w:eastAsiaTheme="minorEastAsia"/>
          <w:color w:val="auto"/>
          <w:sz w:val="24"/>
          <w:highlight w:val="none"/>
          <w:lang w:val="en-US" w:eastAsia="zh-CN"/>
        </w:rPr>
      </w:pPr>
      <w:r>
        <w:rPr>
          <w:rFonts w:hint="eastAsia" w:ascii="Times New Roman" w:cs="Times New Roman" w:eastAsiaTheme="minorEastAsia"/>
          <w:color w:val="auto"/>
          <w:sz w:val="24"/>
          <w:highlight w:val="none"/>
          <w:lang w:eastAsia="zh-CN"/>
        </w:rPr>
        <w:t>附件</w:t>
      </w:r>
      <w:r>
        <w:rPr>
          <w:rFonts w:hint="eastAsia" w:ascii="Times New Roman" w:cs="Times New Roman" w:eastAsiaTheme="minorEastAsia"/>
          <w:color w:val="auto"/>
          <w:sz w:val="24"/>
          <w:highlight w:val="none"/>
          <w:lang w:val="en-US" w:eastAsia="zh-CN"/>
        </w:rPr>
        <w:t>2：备案证明</w:t>
      </w:r>
    </w:p>
    <w:p w14:paraId="657497F2">
      <w:pPr>
        <w:jc w:val="center"/>
        <w:rPr>
          <w:rFonts w:hint="default"/>
          <w:lang w:val="en-US" w:eastAsia="zh-CN"/>
        </w:rPr>
      </w:pPr>
      <w:r>
        <w:rPr>
          <w:rFonts w:hint="default"/>
          <w:lang w:val="en-US" w:eastAsia="zh-CN"/>
        </w:rPr>
        <w:drawing>
          <wp:inline distT="0" distB="0" distL="114300" distR="114300">
            <wp:extent cx="5720715" cy="7943215"/>
            <wp:effectExtent l="0" t="0" r="13335" b="635"/>
            <wp:docPr id="111" name="图片 2" descr="16117124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2" descr="1611712428(1)"/>
                    <pic:cNvPicPr>
                      <a:picLocks noChangeAspect="1"/>
                    </pic:cNvPicPr>
                  </pic:nvPicPr>
                  <pic:blipFill>
                    <a:blip r:embed="rId20"/>
                    <a:stretch>
                      <a:fillRect/>
                    </a:stretch>
                  </pic:blipFill>
                  <pic:spPr>
                    <a:xfrm>
                      <a:off x="0" y="0"/>
                      <a:ext cx="5720715" cy="7943215"/>
                    </a:xfrm>
                    <a:prstGeom prst="rect">
                      <a:avLst/>
                    </a:prstGeom>
                    <a:noFill/>
                    <a:ln>
                      <a:noFill/>
                    </a:ln>
                  </pic:spPr>
                </pic:pic>
              </a:graphicData>
            </a:graphic>
          </wp:inline>
        </w:drawing>
      </w:r>
    </w:p>
    <w:p w14:paraId="2CDAF455">
      <w:pPr>
        <w:rPr>
          <w:rFonts w:hint="default" w:ascii="Times New Roman" w:hAnsi="Times New Roman" w:cs="Times New Roman" w:eastAsiaTheme="minorEastAsia"/>
          <w:color w:val="auto"/>
          <w:sz w:val="24"/>
          <w:lang w:eastAsia="zh-CN"/>
        </w:rPr>
      </w:pPr>
    </w:p>
    <w:p w14:paraId="06B56A1D">
      <w:pPr>
        <w:rPr>
          <w:rFonts w:hint="default"/>
          <w:lang w:eastAsia="zh-CN"/>
        </w:rPr>
      </w:pPr>
      <w:r>
        <w:rPr>
          <w:rFonts w:hint="default" w:ascii="Times New Roman" w:hAnsi="Times New Roman" w:cs="Times New Roman" w:eastAsiaTheme="minorEastAsia"/>
          <w:color w:val="auto"/>
          <w:sz w:val="24"/>
          <w:lang w:eastAsia="zh-CN"/>
        </w:rPr>
        <w:t>附件</w:t>
      </w:r>
      <w:r>
        <w:rPr>
          <w:rFonts w:hint="eastAsia" w:cs="Times New Roman" w:eastAsiaTheme="minorEastAsia"/>
          <w:color w:val="auto"/>
          <w:sz w:val="24"/>
          <w:lang w:val="en-US" w:eastAsia="zh-CN"/>
        </w:rPr>
        <w:t>3</w:t>
      </w:r>
      <w:r>
        <w:rPr>
          <w:rFonts w:hint="default" w:ascii="Times New Roman" w:hAnsi="Times New Roman" w:cs="Times New Roman" w:eastAsiaTheme="minorEastAsia"/>
          <w:color w:val="auto"/>
          <w:sz w:val="24"/>
          <w:lang w:val="en-US" w:eastAsia="zh-CN"/>
        </w:rPr>
        <w:t>：</w:t>
      </w:r>
      <w:r>
        <w:rPr>
          <w:rFonts w:hint="eastAsia" w:cs="Times New Roman" w:eastAsiaTheme="minorEastAsia"/>
          <w:color w:val="auto"/>
          <w:sz w:val="24"/>
          <w:lang w:val="en-US" w:eastAsia="zh-CN"/>
        </w:rPr>
        <w:t>房屋租赁合同</w:t>
      </w:r>
    </w:p>
    <w:p w14:paraId="0CCB91AB">
      <w:pPr>
        <w:jc w:val="center"/>
        <w:rPr>
          <w:rFonts w:hint="default" w:ascii="Times New Roman" w:hAnsi="Times New Roman" w:eastAsia="FangSong_GB2312" w:cs="Times New Roman"/>
          <w:color w:val="auto"/>
          <w:sz w:val="24"/>
          <w:lang w:eastAsia="zh-CN"/>
        </w:rPr>
      </w:pPr>
      <w:r>
        <w:rPr>
          <w:rFonts w:hint="default" w:ascii="Times New Roman" w:hAnsi="Times New Roman" w:eastAsia="FangSong_GB2312" w:cs="Times New Roman"/>
          <w:color w:val="auto"/>
          <w:sz w:val="24"/>
          <w:lang w:eastAsia="zh-CN"/>
        </w:rPr>
        <w:drawing>
          <wp:inline distT="0" distB="0" distL="114300" distR="114300">
            <wp:extent cx="5719445" cy="7626350"/>
            <wp:effectExtent l="0" t="0" r="14605" b="12700"/>
            <wp:docPr id="116" name="图片 3" descr="微信图片_202101201416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3" descr="微信图片_202101201416002"/>
                    <pic:cNvPicPr>
                      <a:picLocks noChangeAspect="1"/>
                    </pic:cNvPicPr>
                  </pic:nvPicPr>
                  <pic:blipFill>
                    <a:blip r:embed="rId21"/>
                    <a:stretch>
                      <a:fillRect/>
                    </a:stretch>
                  </pic:blipFill>
                  <pic:spPr>
                    <a:xfrm>
                      <a:off x="0" y="0"/>
                      <a:ext cx="5719445" cy="7626350"/>
                    </a:xfrm>
                    <a:prstGeom prst="rect">
                      <a:avLst/>
                    </a:prstGeom>
                    <a:noFill/>
                    <a:ln>
                      <a:noFill/>
                    </a:ln>
                  </pic:spPr>
                </pic:pic>
              </a:graphicData>
            </a:graphic>
          </wp:inline>
        </w:drawing>
      </w:r>
      <w:r>
        <w:rPr>
          <w:rFonts w:hint="default" w:ascii="Times New Roman" w:hAnsi="Times New Roman" w:eastAsia="FangSong_GB2312" w:cs="Times New Roman"/>
          <w:color w:val="auto"/>
          <w:sz w:val="24"/>
          <w:lang w:eastAsia="zh-CN"/>
        </w:rPr>
        <w:drawing>
          <wp:inline distT="0" distB="0" distL="114300" distR="114300">
            <wp:extent cx="5719445" cy="7626350"/>
            <wp:effectExtent l="0" t="0" r="14605" b="12700"/>
            <wp:docPr id="124" name="图片 4" descr="微信图片_202101201416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4" descr="微信图片_202101201416003"/>
                    <pic:cNvPicPr>
                      <a:picLocks noChangeAspect="1"/>
                    </pic:cNvPicPr>
                  </pic:nvPicPr>
                  <pic:blipFill>
                    <a:blip r:embed="rId22"/>
                    <a:stretch>
                      <a:fillRect/>
                    </a:stretch>
                  </pic:blipFill>
                  <pic:spPr>
                    <a:xfrm>
                      <a:off x="0" y="0"/>
                      <a:ext cx="5719445" cy="7626350"/>
                    </a:xfrm>
                    <a:prstGeom prst="rect">
                      <a:avLst/>
                    </a:prstGeom>
                    <a:noFill/>
                    <a:ln>
                      <a:noFill/>
                    </a:ln>
                  </pic:spPr>
                </pic:pic>
              </a:graphicData>
            </a:graphic>
          </wp:inline>
        </w:drawing>
      </w:r>
    </w:p>
    <w:p w14:paraId="0F45C445">
      <w:pPr>
        <w:jc w:val="center"/>
        <w:rPr>
          <w:rFonts w:hint="default" w:ascii="Times New Roman" w:hAnsi="Times New Roman" w:eastAsia="FangSong_GB2312" w:cs="Times New Roman"/>
          <w:color w:val="auto"/>
          <w:sz w:val="24"/>
          <w:lang w:eastAsia="zh-CN"/>
        </w:rPr>
      </w:pPr>
    </w:p>
    <w:p w14:paraId="198A7EFA">
      <w:pPr>
        <w:pStyle w:val="2"/>
        <w:rPr>
          <w:rFonts w:hint="default" w:ascii="Times New Roman" w:hAnsi="Times New Roman" w:eastAsia="FangSong_GB2312" w:cs="Times New Roman"/>
          <w:color w:val="auto"/>
          <w:sz w:val="24"/>
          <w:lang w:eastAsia="zh-CN"/>
        </w:rPr>
      </w:pPr>
    </w:p>
    <w:p w14:paraId="13D81F59">
      <w:pPr>
        <w:pStyle w:val="3"/>
        <w:ind w:left="0" w:leftChars="0" w:firstLine="0" w:firstLineChars="0"/>
        <w:rPr>
          <w:rFonts w:hint="default" w:ascii="Times New Roman" w:hAnsi="Times New Roman" w:cs="Times New Roman" w:eastAsiaTheme="minorEastAsia"/>
          <w:color w:val="auto"/>
          <w:sz w:val="24"/>
          <w:lang w:eastAsia="zh-CN"/>
        </w:rPr>
      </w:pPr>
    </w:p>
    <w:p w14:paraId="7035445D">
      <w:pPr>
        <w:pStyle w:val="3"/>
        <w:ind w:left="0" w:leftChars="0" w:firstLine="0" w:firstLineChars="0"/>
        <w:rPr>
          <w:rFonts w:hint="default" w:ascii="Times New Roman" w:hAnsi="Times New Roman" w:cs="Times New Roman" w:eastAsiaTheme="minorEastAsia"/>
          <w:color w:val="auto"/>
          <w:sz w:val="24"/>
          <w:lang w:eastAsia="zh-CN"/>
        </w:rPr>
      </w:pPr>
    </w:p>
    <w:p w14:paraId="0AC80421">
      <w:pPr>
        <w:widowControl/>
        <w:jc w:val="both"/>
        <w:rPr>
          <w:rFonts w:hint="eastAsia" w:eastAsia="宋体"/>
          <w:lang w:eastAsia="zh-CN"/>
        </w:rPr>
      </w:pPr>
    </w:p>
    <w:p w14:paraId="03A7FD80">
      <w:pPr>
        <w:pStyle w:val="3"/>
        <w:ind w:left="0" w:leftChars="0" w:firstLine="0" w:firstLineChars="0"/>
        <w:rPr>
          <w:rFonts w:hint="eastAsia" w:ascii="Times New Roman" w:cs="Times New Roman" w:eastAsiaTheme="minorEastAsia"/>
          <w:color w:val="auto"/>
          <w:sz w:val="24"/>
          <w:lang w:val="en-US" w:eastAsia="zh-CN"/>
        </w:rPr>
      </w:pPr>
      <w:r>
        <w:rPr>
          <w:rFonts w:hint="default" w:ascii="Times New Roman" w:hAnsi="Times New Roman" w:cs="Times New Roman" w:eastAsiaTheme="minorEastAsia"/>
          <w:color w:val="auto"/>
          <w:sz w:val="24"/>
          <w:lang w:eastAsia="zh-CN"/>
        </w:rPr>
        <w:t>附件</w:t>
      </w:r>
      <w:r>
        <w:rPr>
          <w:rFonts w:hint="eastAsia" w:ascii="Times New Roman" w:cs="Times New Roman" w:eastAsiaTheme="minorEastAsia"/>
          <w:color w:val="auto"/>
          <w:sz w:val="24"/>
          <w:lang w:val="en-US" w:eastAsia="zh-CN"/>
        </w:rPr>
        <w:t>4</w:t>
      </w:r>
      <w:r>
        <w:rPr>
          <w:rFonts w:hint="default" w:ascii="Times New Roman" w:hAnsi="Times New Roman" w:cs="Times New Roman" w:eastAsiaTheme="minorEastAsia"/>
          <w:color w:val="auto"/>
          <w:sz w:val="24"/>
          <w:lang w:val="en-US" w:eastAsia="zh-CN"/>
        </w:rPr>
        <w:t>：土地证</w:t>
      </w:r>
      <w:r>
        <w:rPr>
          <w:rFonts w:hint="eastAsia" w:ascii="Times New Roman" w:cs="Times New Roman" w:eastAsiaTheme="minorEastAsia"/>
          <w:color w:val="auto"/>
          <w:sz w:val="24"/>
          <w:lang w:val="en-US" w:eastAsia="zh-CN"/>
        </w:rPr>
        <w:t>相关证明</w:t>
      </w:r>
    </w:p>
    <w:p w14:paraId="2D58EDBC">
      <w:pPr>
        <w:rPr>
          <w:rFonts w:hint="eastAsia"/>
          <w:lang w:val="en-US" w:eastAsia="zh-CN"/>
        </w:rPr>
      </w:pPr>
      <w:r>
        <w:rPr>
          <w:rFonts w:hint="eastAsia" w:eastAsia="宋体"/>
          <w:lang w:eastAsia="zh-CN"/>
        </w:rPr>
        <w:drawing>
          <wp:inline distT="0" distB="0" distL="114300" distR="114300">
            <wp:extent cx="5211445" cy="7334885"/>
            <wp:effectExtent l="0" t="0" r="8255" b="18415"/>
            <wp:docPr id="126" name="图片 5" descr="f538ebf0c1341c9dfd2fae20e071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5" descr="f538ebf0c1341c9dfd2fae20e071353"/>
                    <pic:cNvPicPr>
                      <a:picLocks noChangeAspect="1"/>
                    </pic:cNvPicPr>
                  </pic:nvPicPr>
                  <pic:blipFill>
                    <a:blip r:embed="rId23"/>
                    <a:stretch>
                      <a:fillRect/>
                    </a:stretch>
                  </pic:blipFill>
                  <pic:spPr>
                    <a:xfrm>
                      <a:off x="0" y="0"/>
                      <a:ext cx="5211445" cy="7334885"/>
                    </a:xfrm>
                    <a:prstGeom prst="rect">
                      <a:avLst/>
                    </a:prstGeom>
                    <a:noFill/>
                    <a:ln>
                      <a:noFill/>
                    </a:ln>
                  </pic:spPr>
                </pic:pic>
              </a:graphicData>
            </a:graphic>
          </wp:inline>
        </w:drawing>
      </w:r>
    </w:p>
    <w:p w14:paraId="56215507">
      <w:pPr>
        <w:widowControl/>
        <w:jc w:val="center"/>
        <w:rPr>
          <w:rFonts w:hint="eastAsia" w:eastAsia="宋体"/>
          <w:lang w:eastAsia="zh-CN"/>
        </w:rPr>
      </w:pPr>
      <w:r>
        <w:rPr>
          <w:rFonts w:hint="eastAsia" w:eastAsia="宋体"/>
          <w:lang w:eastAsia="zh-CN"/>
        </w:rPr>
        <w:drawing>
          <wp:inline distT="0" distB="0" distL="114300" distR="114300">
            <wp:extent cx="5719445" cy="7689850"/>
            <wp:effectExtent l="0" t="0" r="14605" b="6350"/>
            <wp:docPr id="127" name="图片 6" descr="e86796279a69ae88a742a1328635d6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6" descr="e86796279a69ae88a742a1328635d6e"/>
                    <pic:cNvPicPr>
                      <a:picLocks noChangeAspect="1"/>
                    </pic:cNvPicPr>
                  </pic:nvPicPr>
                  <pic:blipFill>
                    <a:blip r:embed="rId24"/>
                    <a:stretch>
                      <a:fillRect/>
                    </a:stretch>
                  </pic:blipFill>
                  <pic:spPr>
                    <a:xfrm>
                      <a:off x="0" y="0"/>
                      <a:ext cx="5719445" cy="7689850"/>
                    </a:xfrm>
                    <a:prstGeom prst="rect">
                      <a:avLst/>
                    </a:prstGeom>
                    <a:noFill/>
                    <a:ln>
                      <a:noFill/>
                    </a:ln>
                  </pic:spPr>
                </pic:pic>
              </a:graphicData>
            </a:graphic>
          </wp:inline>
        </w:drawing>
      </w:r>
    </w:p>
    <w:p w14:paraId="25D92A50">
      <w:pPr>
        <w:pStyle w:val="2"/>
        <w:rPr>
          <w:rFonts w:hint="eastAsia" w:eastAsia="宋体"/>
          <w:lang w:eastAsia="zh-CN"/>
        </w:rPr>
      </w:pPr>
    </w:p>
    <w:p w14:paraId="3D2BF122">
      <w:pPr>
        <w:pStyle w:val="2"/>
        <w:rPr>
          <w:rFonts w:hint="eastAsia" w:asciiTheme="minorEastAsia" w:hAnsiTheme="minorEastAsia" w:eastAsiaTheme="minorEastAsia" w:cstheme="minorEastAsia"/>
          <w:lang w:val="en-US" w:eastAsia="zh-CN"/>
        </w:rPr>
      </w:pPr>
    </w:p>
    <w:p w14:paraId="60515037">
      <w:pPr>
        <w:pStyle w:val="2"/>
        <w:rPr>
          <w:rFonts w:hint="eastAsia" w:asciiTheme="minorEastAsia" w:hAnsiTheme="minorEastAsia" w:eastAsiaTheme="minorEastAsia" w:cstheme="minorEastAsia"/>
          <w:lang w:val="en-US" w:eastAsia="zh-CN"/>
        </w:rPr>
      </w:pPr>
    </w:p>
    <w:p w14:paraId="1F954469">
      <w:pPr>
        <w:pStyle w:val="2"/>
        <w:rPr>
          <w:rFonts w:hint="eastAsia" w:asciiTheme="minorEastAsia" w:hAnsiTheme="minorEastAsia" w:eastAsiaTheme="minorEastAsia" w:cstheme="minorEastAsia"/>
          <w:lang w:val="en-US" w:eastAsia="zh-CN"/>
        </w:rPr>
      </w:pPr>
    </w:p>
    <w:p w14:paraId="60723992">
      <w:pPr>
        <w:pStyle w:val="2"/>
        <w:rPr>
          <w:rFonts w:hint="eastAsia" w:asciiTheme="minorEastAsia" w:hAnsiTheme="minorEastAsia" w:eastAsiaTheme="minorEastAsia" w:cstheme="minorEastAsia"/>
          <w:highlight w:val="none"/>
          <w:lang w:val="en-US" w:eastAsia="zh-CN"/>
        </w:rPr>
      </w:pPr>
    </w:p>
    <w:p w14:paraId="34B704E4">
      <w:pPr>
        <w:pStyle w:val="2"/>
        <w:rPr>
          <w:rFonts w:hint="eastAsia" w:asciiTheme="minorEastAsia" w:hAnsiTheme="minorEastAsia" w:eastAsiaTheme="minorEastAsia" w:cstheme="minorEastAsia"/>
          <w:highlight w:val="none"/>
          <w:lang w:val="en-US" w:eastAsia="zh-CN"/>
        </w:rPr>
      </w:pPr>
      <w:r>
        <w:rPr>
          <w:rFonts w:hint="eastAsia" w:asciiTheme="minorEastAsia" w:hAnsiTheme="minorEastAsia" w:eastAsiaTheme="minorEastAsia" w:cstheme="minorEastAsia"/>
          <w:highlight w:val="none"/>
          <w:lang w:val="en-US" w:eastAsia="zh-CN"/>
        </w:rPr>
        <w:t>附件5  污水排污证明</w:t>
      </w:r>
    </w:p>
    <w:p w14:paraId="74F16D25">
      <w:pPr>
        <w:pStyle w:val="3"/>
        <w:ind w:left="0" w:leftChars="0" w:firstLine="0" w:firstLineChars="0"/>
        <w:rPr>
          <w:rFonts w:hint="eastAsia"/>
          <w:lang w:val="en-US" w:eastAsia="zh-CN"/>
        </w:rPr>
      </w:pPr>
      <w:r>
        <w:rPr>
          <w:rFonts w:hint="eastAsia"/>
          <w:lang w:val="en-US" w:eastAsia="zh-CN"/>
        </w:rPr>
        <w:drawing>
          <wp:inline distT="0" distB="0" distL="114300" distR="114300">
            <wp:extent cx="5719445" cy="7626350"/>
            <wp:effectExtent l="0" t="0" r="14605" b="12700"/>
            <wp:docPr id="128" name="图片 7" descr="e4a452ff0a2213aa1939c7bf35e7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7" descr="e4a452ff0a2213aa1939c7bf35e7673"/>
                    <pic:cNvPicPr>
                      <a:picLocks noChangeAspect="1"/>
                    </pic:cNvPicPr>
                  </pic:nvPicPr>
                  <pic:blipFill>
                    <a:blip r:embed="rId25"/>
                    <a:stretch>
                      <a:fillRect/>
                    </a:stretch>
                  </pic:blipFill>
                  <pic:spPr>
                    <a:xfrm>
                      <a:off x="0" y="0"/>
                      <a:ext cx="5719445" cy="7626350"/>
                    </a:xfrm>
                    <a:prstGeom prst="rect">
                      <a:avLst/>
                    </a:prstGeom>
                    <a:noFill/>
                    <a:ln>
                      <a:noFill/>
                    </a:ln>
                  </pic:spPr>
                </pic:pic>
              </a:graphicData>
            </a:graphic>
          </wp:inline>
        </w:drawing>
      </w:r>
    </w:p>
    <w:p w14:paraId="044F8C15">
      <w:pPr>
        <w:rPr>
          <w:rFonts w:hint="eastAsia"/>
          <w:lang w:val="en-US" w:eastAsia="zh-CN"/>
        </w:rPr>
      </w:pPr>
    </w:p>
    <w:p w14:paraId="0E779BE3">
      <w:pPr>
        <w:pStyle w:val="2"/>
        <w:rPr>
          <w:rFonts w:hint="eastAsia"/>
          <w:lang w:val="en-US" w:eastAsia="zh-CN"/>
        </w:rPr>
      </w:pPr>
    </w:p>
    <w:p w14:paraId="462F132D">
      <w:pPr>
        <w:pStyle w:val="3"/>
        <w:rPr>
          <w:rFonts w:hint="eastAsia"/>
          <w:lang w:val="en-US" w:eastAsia="zh-CN"/>
        </w:rPr>
      </w:pPr>
    </w:p>
    <w:p w14:paraId="2CAFB7C2">
      <w:pPr>
        <w:pStyle w:val="2"/>
        <w:rPr>
          <w:rFonts w:hint="eastAsia" w:asciiTheme="minorEastAsia" w:hAnsiTheme="minorEastAsia" w:eastAsiaTheme="minorEastAsia" w:cstheme="minorEastAsia"/>
          <w:highlight w:val="none"/>
          <w:lang w:val="en-US" w:eastAsia="zh-CN"/>
        </w:rPr>
      </w:pPr>
      <w:r>
        <w:rPr>
          <w:rFonts w:hint="eastAsia" w:asciiTheme="minorEastAsia" w:hAnsiTheme="minorEastAsia" w:eastAsiaTheme="minorEastAsia" w:cstheme="minorEastAsia"/>
          <w:highlight w:val="none"/>
          <w:lang w:val="en-US" w:eastAsia="zh-CN"/>
        </w:rPr>
        <w:t>附件6  委托书</w:t>
      </w:r>
    </w:p>
    <w:p w14:paraId="44D760DF">
      <w:pPr>
        <w:pStyle w:val="3"/>
        <w:rPr>
          <w:rFonts w:hint="eastAsia"/>
          <w:lang w:val="en-US" w:eastAsia="zh-CN"/>
        </w:rPr>
      </w:pPr>
      <w:r>
        <w:rPr>
          <w:rFonts w:hint="eastAsia"/>
          <w:lang w:val="en-US" w:eastAsia="zh-CN"/>
        </w:rPr>
        <w:drawing>
          <wp:inline distT="0" distB="0" distL="114300" distR="114300">
            <wp:extent cx="5277485" cy="7256145"/>
            <wp:effectExtent l="0" t="0" r="18415" b="1905"/>
            <wp:docPr id="130" name="图片 130" descr="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130" descr="008"/>
                    <pic:cNvPicPr>
                      <a:picLocks noChangeAspect="1"/>
                    </pic:cNvPicPr>
                  </pic:nvPicPr>
                  <pic:blipFill>
                    <a:blip r:embed="rId26"/>
                    <a:stretch>
                      <a:fillRect/>
                    </a:stretch>
                  </pic:blipFill>
                  <pic:spPr>
                    <a:xfrm>
                      <a:off x="0" y="0"/>
                      <a:ext cx="5277485" cy="7256145"/>
                    </a:xfrm>
                    <a:prstGeom prst="rect">
                      <a:avLst/>
                    </a:prstGeom>
                  </pic:spPr>
                </pic:pic>
              </a:graphicData>
            </a:graphic>
          </wp:inline>
        </w:drawing>
      </w:r>
    </w:p>
    <w:p w14:paraId="1C6256FE">
      <w:pPr>
        <w:rPr>
          <w:rFonts w:hint="eastAsia"/>
          <w:lang w:val="en-US" w:eastAsia="zh-CN"/>
        </w:rPr>
      </w:pPr>
    </w:p>
    <w:p w14:paraId="48C5FE84">
      <w:pPr>
        <w:pStyle w:val="2"/>
        <w:rPr>
          <w:rFonts w:hint="eastAsia"/>
          <w:lang w:val="en-US" w:eastAsia="zh-CN"/>
        </w:rPr>
      </w:pPr>
    </w:p>
    <w:p w14:paraId="3C5D3B66">
      <w:pPr>
        <w:pStyle w:val="3"/>
        <w:rPr>
          <w:rFonts w:hint="eastAsia"/>
          <w:lang w:val="en-US" w:eastAsia="zh-CN"/>
        </w:rPr>
      </w:pPr>
    </w:p>
    <w:p w14:paraId="1F4456E1">
      <w:pPr>
        <w:rPr>
          <w:rFonts w:hint="eastAsia"/>
          <w:lang w:val="en-US" w:eastAsia="zh-CN"/>
        </w:rPr>
      </w:pPr>
    </w:p>
    <w:p w14:paraId="0DDC5F3B">
      <w:pPr>
        <w:pStyle w:val="2"/>
        <w:rPr>
          <w:rFonts w:hint="eastAsia"/>
          <w:lang w:val="en-US" w:eastAsia="zh-CN"/>
        </w:rPr>
      </w:pPr>
    </w:p>
    <w:p w14:paraId="3877EF8A">
      <w:pPr>
        <w:pStyle w:val="3"/>
        <w:ind w:left="0" w:leftChars="0" w:firstLine="0" w:firstLineChars="0"/>
        <w:rPr>
          <w:rFonts w:hint="eastAsia"/>
          <w:sz w:val="24"/>
          <w:szCs w:val="24"/>
          <w:lang w:val="en-US" w:eastAsia="zh-CN"/>
        </w:rPr>
      </w:pPr>
      <w:r>
        <w:rPr>
          <w:rFonts w:hint="eastAsia"/>
          <w:sz w:val="24"/>
          <w:szCs w:val="24"/>
          <w:lang w:val="en-US" w:eastAsia="zh-CN"/>
        </w:rPr>
        <w:t>附件7  环境影响评价信息公开承诺书</w:t>
      </w:r>
    </w:p>
    <w:p w14:paraId="1CF3B3A8">
      <w:pPr>
        <w:rPr>
          <w:rFonts w:hint="default"/>
          <w:lang w:val="en-US" w:eastAsia="zh-CN"/>
        </w:rPr>
      </w:pPr>
      <w:r>
        <w:rPr>
          <w:rFonts w:hint="default"/>
          <w:lang w:val="en-US" w:eastAsia="zh-CN"/>
        </w:rPr>
        <w:drawing>
          <wp:inline distT="0" distB="0" distL="114300" distR="114300">
            <wp:extent cx="5277485" cy="7256145"/>
            <wp:effectExtent l="0" t="0" r="18415" b="1905"/>
            <wp:docPr id="131" name="图片 131" descr="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131" descr="009"/>
                    <pic:cNvPicPr>
                      <a:picLocks noChangeAspect="1"/>
                    </pic:cNvPicPr>
                  </pic:nvPicPr>
                  <pic:blipFill>
                    <a:blip r:embed="rId27"/>
                    <a:stretch>
                      <a:fillRect/>
                    </a:stretch>
                  </pic:blipFill>
                  <pic:spPr>
                    <a:xfrm>
                      <a:off x="0" y="0"/>
                      <a:ext cx="5277485" cy="7256145"/>
                    </a:xfrm>
                    <a:prstGeom prst="rect">
                      <a:avLst/>
                    </a:prstGeom>
                  </pic:spPr>
                </pic:pic>
              </a:graphicData>
            </a:graphic>
          </wp:inline>
        </w:drawing>
      </w:r>
    </w:p>
    <w:p w14:paraId="1DA73C65">
      <w:pPr>
        <w:pStyle w:val="2"/>
        <w:rPr>
          <w:rFonts w:hint="default"/>
          <w:lang w:val="en-US" w:eastAsia="zh-CN"/>
        </w:rPr>
      </w:pPr>
    </w:p>
    <w:p w14:paraId="600861A3">
      <w:pPr>
        <w:pStyle w:val="3"/>
        <w:rPr>
          <w:rFonts w:hint="default"/>
          <w:lang w:val="en-US" w:eastAsia="zh-CN"/>
        </w:rPr>
      </w:pPr>
    </w:p>
    <w:p w14:paraId="475DB90B">
      <w:pPr>
        <w:rPr>
          <w:rFonts w:hint="default"/>
          <w:lang w:val="en-US" w:eastAsia="zh-CN"/>
        </w:rPr>
      </w:pPr>
    </w:p>
    <w:p w14:paraId="51E82BDE">
      <w:pPr>
        <w:pStyle w:val="2"/>
        <w:rPr>
          <w:rFonts w:hint="default"/>
          <w:lang w:val="en-US" w:eastAsia="zh-CN"/>
        </w:rPr>
      </w:pPr>
    </w:p>
    <w:p w14:paraId="6B6EE23F">
      <w:pPr>
        <w:rPr>
          <w:rFonts w:hint="default"/>
          <w:lang w:val="en-US" w:eastAsia="zh-CN"/>
        </w:rPr>
      </w:pPr>
    </w:p>
    <w:p w14:paraId="43B918C8">
      <w:pPr>
        <w:pStyle w:val="2"/>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附件8  资料真实性承诺</w:t>
      </w:r>
    </w:p>
    <w:p w14:paraId="7A4DD6D8">
      <w:pPr>
        <w:pStyle w:val="3"/>
        <w:ind w:left="0" w:leftChars="0" w:firstLine="0" w:firstLineChars="0"/>
        <w:rPr>
          <w:rFonts w:hint="default"/>
          <w:lang w:val="en-US" w:eastAsia="zh-CN"/>
        </w:rPr>
      </w:pPr>
      <w:r>
        <w:rPr>
          <w:rFonts w:hint="default"/>
          <w:lang w:val="en-US" w:eastAsia="zh-CN"/>
        </w:rPr>
        <w:drawing>
          <wp:inline distT="0" distB="0" distL="114300" distR="114300">
            <wp:extent cx="5277485" cy="7256145"/>
            <wp:effectExtent l="0" t="0" r="18415" b="1905"/>
            <wp:docPr id="132" name="图片 132" descr="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132" descr="010"/>
                    <pic:cNvPicPr>
                      <a:picLocks noChangeAspect="1"/>
                    </pic:cNvPicPr>
                  </pic:nvPicPr>
                  <pic:blipFill>
                    <a:blip r:embed="rId28"/>
                    <a:stretch>
                      <a:fillRect/>
                    </a:stretch>
                  </pic:blipFill>
                  <pic:spPr>
                    <a:xfrm>
                      <a:off x="0" y="0"/>
                      <a:ext cx="5277485" cy="7256145"/>
                    </a:xfrm>
                    <a:prstGeom prst="rect">
                      <a:avLst/>
                    </a:prstGeom>
                  </pic:spPr>
                </pic:pic>
              </a:graphicData>
            </a:graphic>
          </wp:inline>
        </w:drawing>
      </w:r>
    </w:p>
    <w:p w14:paraId="207FC53A">
      <w:pPr>
        <w:rPr>
          <w:rFonts w:hint="default"/>
          <w:lang w:val="en-US" w:eastAsia="zh-CN"/>
        </w:rPr>
      </w:pPr>
    </w:p>
    <w:p w14:paraId="021BB512">
      <w:pPr>
        <w:pStyle w:val="2"/>
        <w:rPr>
          <w:rFonts w:hint="default"/>
          <w:lang w:val="en-US" w:eastAsia="zh-CN"/>
        </w:rPr>
      </w:pPr>
    </w:p>
    <w:p w14:paraId="325D363F">
      <w:pPr>
        <w:pStyle w:val="3"/>
        <w:rPr>
          <w:rFonts w:hint="default"/>
          <w:lang w:val="en-US" w:eastAsia="zh-CN"/>
        </w:rPr>
      </w:pPr>
    </w:p>
    <w:p w14:paraId="18752771">
      <w:pPr>
        <w:rPr>
          <w:rFonts w:hint="default"/>
          <w:lang w:val="en-US" w:eastAsia="zh-CN"/>
        </w:rPr>
      </w:pPr>
    </w:p>
    <w:p w14:paraId="37BB42BB">
      <w:pPr>
        <w:pStyle w:val="2"/>
        <w:rPr>
          <w:rFonts w:hint="default"/>
          <w:lang w:val="en-US" w:eastAsia="zh-CN"/>
        </w:rPr>
      </w:pPr>
    </w:p>
    <w:p w14:paraId="6058750A">
      <w:pPr>
        <w:pStyle w:val="2"/>
        <w:rPr>
          <w:rFonts w:hint="eastAsia" w:asciiTheme="minorEastAsia" w:hAnsiTheme="minorEastAsia" w:eastAsiaTheme="minorEastAsia" w:cstheme="minorEastAsia"/>
          <w:highlight w:val="none"/>
          <w:lang w:val="en-US" w:eastAsia="zh-CN"/>
        </w:rPr>
      </w:pPr>
      <w:r>
        <w:rPr>
          <w:rFonts w:hint="eastAsia" w:asciiTheme="minorEastAsia" w:hAnsiTheme="minorEastAsia" w:eastAsiaTheme="minorEastAsia" w:cstheme="minorEastAsia"/>
          <w:highlight w:val="none"/>
          <w:lang w:val="en-US" w:eastAsia="zh-CN"/>
        </w:rPr>
        <w:t>附件9  污染物总量替代证明</w:t>
      </w:r>
    </w:p>
    <w:p w14:paraId="77BC03F6">
      <w:pPr>
        <w:pStyle w:val="3"/>
        <w:ind w:left="0" w:leftChars="0" w:firstLine="0" w:firstLineChars="0"/>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drawing>
          <wp:inline distT="0" distB="0" distL="114300" distR="114300">
            <wp:extent cx="5721985" cy="7713345"/>
            <wp:effectExtent l="0" t="0" r="12065" b="1905"/>
            <wp:docPr id="129" name="图片 8" descr="859ecd292b221dc548bbe0eda32d1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8" descr="859ecd292b221dc548bbe0eda32d1df"/>
                    <pic:cNvPicPr>
                      <a:picLocks noChangeAspect="1"/>
                    </pic:cNvPicPr>
                  </pic:nvPicPr>
                  <pic:blipFill>
                    <a:blip r:embed="rId29"/>
                    <a:stretch>
                      <a:fillRect/>
                    </a:stretch>
                  </pic:blipFill>
                  <pic:spPr>
                    <a:xfrm rot="10800000">
                      <a:off x="0" y="0"/>
                      <a:ext cx="5721985" cy="7713345"/>
                    </a:xfrm>
                    <a:prstGeom prst="rect">
                      <a:avLst/>
                    </a:prstGeom>
                    <a:noFill/>
                    <a:ln>
                      <a:noFill/>
                    </a:ln>
                  </pic:spPr>
                </pic:pic>
              </a:graphicData>
            </a:graphic>
          </wp:inline>
        </w:drawing>
      </w:r>
    </w:p>
    <w:p w14:paraId="5DA16054"/>
    <w:p w14:paraId="7F3C7F3F">
      <w:pPr>
        <w:pStyle w:val="2"/>
      </w:pPr>
    </w:p>
    <w:p w14:paraId="4AE244E1">
      <w:pPr>
        <w:pStyle w:val="3"/>
      </w:pPr>
    </w:p>
    <w:p w14:paraId="25792BF0">
      <w:pPr>
        <w:pStyle w:val="2"/>
        <w:rPr>
          <w:rFonts w:hint="eastAsia" w:asciiTheme="minorEastAsia" w:hAnsiTheme="minorEastAsia" w:eastAsiaTheme="minorEastAsia" w:cstheme="minorEastAsia"/>
          <w:highlight w:val="none"/>
          <w:lang w:val="en-US" w:eastAsia="zh-CN"/>
        </w:rPr>
      </w:pPr>
      <w:r>
        <w:rPr>
          <w:rFonts w:hint="eastAsia" w:asciiTheme="minorEastAsia" w:hAnsiTheme="minorEastAsia" w:eastAsiaTheme="minorEastAsia" w:cstheme="minorEastAsia"/>
          <w:highlight w:val="none"/>
          <w:lang w:val="en-US" w:eastAsia="zh-CN"/>
        </w:rPr>
        <w:t>附件10  污染物总量确认书</w:t>
      </w:r>
    </w:p>
    <w:p w14:paraId="0BEF83B0">
      <w:pPr>
        <w:pStyle w:val="3"/>
        <w:ind w:left="0" w:leftChars="0" w:firstLine="0" w:firstLineChars="0"/>
        <w:jc w:val="center"/>
        <w:rPr>
          <w:rFonts w:hint="eastAsia"/>
          <w:lang w:val="en-US" w:eastAsia="zh-CN"/>
        </w:rPr>
        <w:sectPr>
          <w:footerReference r:id="rId9" w:type="default"/>
          <w:pgSz w:w="11907" w:h="16840"/>
          <w:pgMar w:top="1402" w:right="1797" w:bottom="1558" w:left="1797" w:header="851" w:footer="992" w:gutter="0"/>
          <w:pgNumType w:fmt="decimal"/>
          <w:cols w:space="720" w:num="1"/>
          <w:docGrid w:type="lines" w:linePitch="312" w:charSpace="0"/>
        </w:sectPr>
      </w:pPr>
      <w:r>
        <w:rPr>
          <w:rFonts w:hint="eastAsia"/>
          <w:lang w:val="en-US" w:eastAsia="zh-CN"/>
        </w:rPr>
        <w:drawing>
          <wp:inline distT="0" distB="0" distL="114300" distR="114300">
            <wp:extent cx="5277485" cy="7256145"/>
            <wp:effectExtent l="0" t="0" r="18415" b="1905"/>
            <wp:docPr id="133" name="图片 133" descr="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33" descr="011"/>
                    <pic:cNvPicPr>
                      <a:picLocks noChangeAspect="1"/>
                    </pic:cNvPicPr>
                  </pic:nvPicPr>
                  <pic:blipFill>
                    <a:blip r:embed="rId30"/>
                    <a:stretch>
                      <a:fillRect/>
                    </a:stretch>
                  </pic:blipFill>
                  <pic:spPr>
                    <a:xfrm>
                      <a:off x="0" y="0"/>
                      <a:ext cx="5277485" cy="7256145"/>
                    </a:xfrm>
                    <a:prstGeom prst="rect">
                      <a:avLst/>
                    </a:prstGeom>
                  </pic:spPr>
                </pic:pic>
              </a:graphicData>
            </a:graphic>
          </wp:inline>
        </w:drawing>
      </w:r>
      <w:r>
        <w:rPr>
          <w:rFonts w:hint="eastAsia"/>
          <w:lang w:val="en-US" w:eastAsia="zh-CN"/>
        </w:rPr>
        <w:drawing>
          <wp:inline distT="0" distB="0" distL="114300" distR="114300">
            <wp:extent cx="4295775" cy="7048500"/>
            <wp:effectExtent l="0" t="0" r="9525" b="0"/>
            <wp:docPr id="134" name="图片 134" descr="16126709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134" descr="1612670987(1)"/>
                    <pic:cNvPicPr>
                      <a:picLocks noChangeAspect="1"/>
                    </pic:cNvPicPr>
                  </pic:nvPicPr>
                  <pic:blipFill>
                    <a:blip r:embed="rId31"/>
                    <a:stretch>
                      <a:fillRect/>
                    </a:stretch>
                  </pic:blipFill>
                  <pic:spPr>
                    <a:xfrm>
                      <a:off x="0" y="0"/>
                      <a:ext cx="4295775" cy="7048500"/>
                    </a:xfrm>
                    <a:prstGeom prst="rect">
                      <a:avLst/>
                    </a:prstGeom>
                  </pic:spPr>
                </pic:pic>
              </a:graphicData>
            </a:graphic>
          </wp:inline>
        </w:drawing>
      </w:r>
      <w:r>
        <w:rPr>
          <w:rFonts w:hint="eastAsia"/>
          <w:lang w:val="en-US" w:eastAsia="zh-CN"/>
        </w:rPr>
        <w:drawing>
          <wp:inline distT="0" distB="0" distL="114300" distR="114300">
            <wp:extent cx="4257675" cy="6696075"/>
            <wp:effectExtent l="0" t="0" r="9525" b="9525"/>
            <wp:docPr id="135" name="图片 135" descr="16126710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135" descr="1612671015(1)"/>
                    <pic:cNvPicPr>
                      <a:picLocks noChangeAspect="1"/>
                    </pic:cNvPicPr>
                  </pic:nvPicPr>
                  <pic:blipFill>
                    <a:blip r:embed="rId32"/>
                    <a:stretch>
                      <a:fillRect/>
                    </a:stretch>
                  </pic:blipFill>
                  <pic:spPr>
                    <a:xfrm>
                      <a:off x="0" y="0"/>
                      <a:ext cx="4257675" cy="6696075"/>
                    </a:xfrm>
                    <a:prstGeom prst="rect">
                      <a:avLst/>
                    </a:prstGeom>
                  </pic:spPr>
                </pic:pic>
              </a:graphicData>
            </a:graphic>
          </wp:inline>
        </w:drawing>
      </w:r>
      <w:r>
        <w:rPr>
          <w:rFonts w:hint="eastAsia"/>
          <w:lang w:val="en-US" w:eastAsia="zh-CN"/>
        </w:rPr>
        <w:drawing>
          <wp:inline distT="0" distB="0" distL="114300" distR="114300">
            <wp:extent cx="4248150" cy="6953250"/>
            <wp:effectExtent l="0" t="0" r="0" b="0"/>
            <wp:docPr id="136" name="图片 136" descr="16126710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6" descr="1612671051(1)"/>
                    <pic:cNvPicPr>
                      <a:picLocks noChangeAspect="1"/>
                    </pic:cNvPicPr>
                  </pic:nvPicPr>
                  <pic:blipFill>
                    <a:blip r:embed="rId33"/>
                    <a:stretch>
                      <a:fillRect/>
                    </a:stretch>
                  </pic:blipFill>
                  <pic:spPr>
                    <a:xfrm>
                      <a:off x="0" y="0"/>
                      <a:ext cx="4248150" cy="6953250"/>
                    </a:xfrm>
                    <a:prstGeom prst="rect">
                      <a:avLst/>
                    </a:prstGeom>
                  </pic:spPr>
                </pic:pic>
              </a:graphicData>
            </a:graphic>
          </wp:inline>
        </w:drawing>
      </w:r>
      <w:r>
        <w:rPr>
          <w:rFonts w:hint="eastAsia"/>
          <w:lang w:val="en-US" w:eastAsia="zh-CN"/>
        </w:rPr>
        <w:drawing>
          <wp:inline distT="0" distB="0" distL="114300" distR="114300">
            <wp:extent cx="4257675" cy="6915150"/>
            <wp:effectExtent l="0" t="0" r="9525" b="0"/>
            <wp:docPr id="137" name="图片 137" descr="16126711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37" descr="1612671122(1)"/>
                    <pic:cNvPicPr>
                      <a:picLocks noChangeAspect="1"/>
                    </pic:cNvPicPr>
                  </pic:nvPicPr>
                  <pic:blipFill>
                    <a:blip r:embed="rId34"/>
                    <a:stretch>
                      <a:fillRect/>
                    </a:stretch>
                  </pic:blipFill>
                  <pic:spPr>
                    <a:xfrm>
                      <a:off x="0" y="0"/>
                      <a:ext cx="4257675" cy="6915150"/>
                    </a:xfrm>
                    <a:prstGeom prst="rect">
                      <a:avLst/>
                    </a:prstGeom>
                  </pic:spPr>
                </pic:pic>
              </a:graphicData>
            </a:graphic>
          </wp:inline>
        </w:drawing>
      </w:r>
      <w:r>
        <w:rPr>
          <w:rFonts w:hint="eastAsia"/>
          <w:lang w:val="en-US" w:eastAsia="zh-CN"/>
        </w:rPr>
        <w:drawing>
          <wp:inline distT="0" distB="0" distL="114300" distR="114300">
            <wp:extent cx="4124325" cy="6905625"/>
            <wp:effectExtent l="0" t="0" r="9525" b="9525"/>
            <wp:docPr id="138" name="图片 138" descr="1612671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138" descr="1612671138(1)"/>
                    <pic:cNvPicPr>
                      <a:picLocks noChangeAspect="1"/>
                    </pic:cNvPicPr>
                  </pic:nvPicPr>
                  <pic:blipFill>
                    <a:blip r:embed="rId35"/>
                    <a:stretch>
                      <a:fillRect/>
                    </a:stretch>
                  </pic:blipFill>
                  <pic:spPr>
                    <a:xfrm>
                      <a:off x="0" y="0"/>
                      <a:ext cx="4124325" cy="6905625"/>
                    </a:xfrm>
                    <a:prstGeom prst="rect">
                      <a:avLst/>
                    </a:prstGeom>
                  </pic:spPr>
                </pic:pic>
              </a:graphicData>
            </a:graphic>
          </wp:inline>
        </w:drawing>
      </w:r>
    </w:p>
    <w:p w14:paraId="4A478A04">
      <w:pPr>
        <w:widowControl/>
        <w:jc w:val="center"/>
        <w:rPr>
          <w:rFonts w:hint="eastAsia" w:eastAsia="宋体"/>
          <w:lang w:val="en-US" w:eastAsia="zh-CN"/>
        </w:rPr>
      </w:pPr>
      <w:r>
        <w:rPr>
          <w:sz w:val="21"/>
        </w:rPr>
        <mc:AlternateContent>
          <mc:Choice Requires="wps">
            <w:drawing>
              <wp:anchor distT="0" distB="0" distL="114300" distR="114300" simplePos="0" relativeHeight="251683840" behindDoc="0" locked="0" layoutInCell="1" allowOverlap="1">
                <wp:simplePos x="0" y="0"/>
                <wp:positionH relativeFrom="column">
                  <wp:posOffset>4718685</wp:posOffset>
                </wp:positionH>
                <wp:positionV relativeFrom="paragraph">
                  <wp:posOffset>2371725</wp:posOffset>
                </wp:positionV>
                <wp:extent cx="819150" cy="323850"/>
                <wp:effectExtent l="5080" t="4445" r="13970" b="433705"/>
                <wp:wrapNone/>
                <wp:docPr id="172" name="矩形标注 172"/>
                <wp:cNvGraphicFramePr/>
                <a:graphic xmlns:a="http://schemas.openxmlformats.org/drawingml/2006/main">
                  <a:graphicData uri="http://schemas.microsoft.com/office/word/2010/wordprocessingShape">
                    <wps:wsp>
                      <wps:cNvSpPr/>
                      <wps:spPr>
                        <a:xfrm>
                          <a:off x="0" y="0"/>
                          <a:ext cx="819150" cy="323850"/>
                        </a:xfrm>
                        <a:prstGeom prst="wedgeRectCallout">
                          <a:avLst>
                            <a:gd name="adj1" fmla="val -33255"/>
                            <a:gd name="adj2" fmla="val 175884"/>
                          </a:avLst>
                        </a:prstGeom>
                        <a:solidFill>
                          <a:srgbClr val="FFFFFF"/>
                        </a:solidFill>
                        <a:ln w="9525" cap="flat" cmpd="sng">
                          <a:solidFill>
                            <a:srgbClr val="000000"/>
                          </a:solidFill>
                          <a:prstDash val="solid"/>
                          <a:miter/>
                          <a:headEnd type="none" w="med" len="med"/>
                          <a:tailEnd type="none" w="med" len="med"/>
                        </a:ln>
                      </wps:spPr>
                      <wps:txbx>
                        <w:txbxContent>
                          <w:p w14:paraId="7D4251B2">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371.55pt;margin-top:186.75pt;height:25.5pt;width:64.5pt;z-index:251683840;mso-width-relative:page;mso-height-relative:page;" fillcolor="#FFFFFF" filled="t" stroked="t" coordsize="21600,21600" o:gfxdata="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gsN2WtcAAAALAQAADwAAAAAAAAABACAAAAAiAAAAZHJzL2Rv&#10;d25yZXYueG1sUEsBAhQAFAAAAAgAh07iQFpjkD47AgAAkQQAAA4AAAAAAAAAAQAgAAAAJgEAAGRy&#10;cy9lMm9Eb2MueG1sUEsFBgAAAAAGAAYAWQEAANMFAAAAAA==&#10;" adj="3617,48791">
                <v:fill on="t" focussize="0,0"/>
                <v:stroke color="#000000" joinstyle="miter"/>
                <v:imagedata o:title=""/>
                <o:lock v:ext="edit" aspectratio="f"/>
                <v:textbox>
                  <w:txbxContent>
                    <w:p w14:paraId="7D4251B2">
                      <w:pPr>
                        <w:rPr>
                          <w:rFonts w:hint="eastAsia" w:eastAsia="宋体"/>
                          <w:lang w:eastAsia="zh-CN"/>
                        </w:rPr>
                      </w:pPr>
                      <w:r>
                        <w:rPr>
                          <w:rFonts w:hint="eastAsia"/>
                          <w:lang w:eastAsia="zh-CN"/>
                        </w:rPr>
                        <w:t>项目位置</w:t>
                      </w:r>
                    </w:p>
                  </w:txbxContent>
                </v:textbox>
              </v:shape>
            </w:pict>
          </mc:Fallback>
        </mc:AlternateContent>
      </w:r>
      <w:r>
        <w:rPr>
          <w:sz w:val="21"/>
        </w:rPr>
        <mc:AlternateContent>
          <mc:Choice Requires="wps">
            <w:drawing>
              <wp:anchor distT="0" distB="0" distL="114300" distR="114300" simplePos="0" relativeHeight="251682816" behindDoc="0" locked="0" layoutInCell="1" allowOverlap="1">
                <wp:simplePos x="0" y="0"/>
                <wp:positionH relativeFrom="column">
                  <wp:posOffset>4766310</wp:posOffset>
                </wp:positionH>
                <wp:positionV relativeFrom="paragraph">
                  <wp:posOffset>3160395</wp:posOffset>
                </wp:positionV>
                <wp:extent cx="95250" cy="85725"/>
                <wp:effectExtent l="15240" t="14605" r="22860" b="13970"/>
                <wp:wrapNone/>
                <wp:docPr id="170" name="五角星 170"/>
                <wp:cNvGraphicFramePr/>
                <a:graphic xmlns:a="http://schemas.openxmlformats.org/drawingml/2006/main">
                  <a:graphicData uri="http://schemas.microsoft.com/office/word/2010/wordprocessingShape">
                    <wps:wsp>
                      <wps:cNvSpPr/>
                      <wps:spPr>
                        <a:xfrm>
                          <a:off x="0" y="0"/>
                          <a:ext cx="95250" cy="85725"/>
                        </a:xfrm>
                        <a:prstGeom prst="star5">
                          <a:avLst/>
                        </a:prstGeom>
                        <a:solidFill>
                          <a:srgbClr val="FF0000"/>
                        </a:solidFill>
                        <a:ln w="9525" cap="flat" cmpd="sng">
                          <a:solidFill>
                            <a:srgbClr val="FF0000"/>
                          </a:solidFill>
                          <a:prstDash val="solid"/>
                          <a:miter/>
                          <a:headEnd type="none" w="med" len="med"/>
                          <a:tailEnd type="none" w="med" len="med"/>
                        </a:ln>
                      </wps:spPr>
                      <wps:bodyPr upright="1"/>
                    </wps:wsp>
                  </a:graphicData>
                </a:graphic>
              </wp:anchor>
            </w:drawing>
          </mc:Choice>
          <mc:Fallback>
            <w:pict>
              <v:shape id="_x0000_s1026" o:spid="_x0000_s1026" style="position:absolute;left:0pt;margin-left:375.3pt;margin-top:248.85pt;height:6.75pt;width:7.5pt;z-index:251682816;mso-width-relative:page;mso-height-relative:page;" fillcolor="#FF0000" filled="t" stroked="t" coordsize="95250,85725" o:gfxdata="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NsaV1NgAAAALAQAADwAAAAAAAAABACAAAAAiAAAAZHJzL2Rvd25yZXYu&#10;eG1sUEsBAhQAFAAAAAgAh07iQOVwxNr7AQAAIwQAAA4AAAAAAAAAAQAgAAAAJwEAAGRycy9lMm9E&#10;b2MueG1sUEsFBgAAAAAGAAYAWQEAAJQFAAAAAA==&#10;" path="m0,32743l36382,32744,47625,0,58867,32744,95249,32743,65815,52980,77058,85724,47625,65487,18191,85724,29434,52980xe">
                <v:path o:connectlocs="47625,0;0,32743;18191,85724;77058,85724;95249,32743" o:connectangles="247,164,82,82,0"/>
                <v:fill on="t" focussize="0,0"/>
                <v:stroke color="#FF0000" joinstyle="miter"/>
                <v:imagedata o:title=""/>
                <o:lock v:ext="edit" aspectratio="f"/>
              </v:shape>
            </w:pict>
          </mc:Fallback>
        </mc:AlternateContent>
      </w:r>
      <w:r>
        <w:rPr>
          <w:rFonts w:hint="default" w:ascii="Times New Roman" w:hAnsi="Times New Roman" w:cs="Times New Roman"/>
          <w:color w:val="auto"/>
        </w:rPr>
        <w:drawing>
          <wp:anchor distT="0" distB="0" distL="114300" distR="114300" simplePos="0" relativeHeight="251679744" behindDoc="0" locked="0" layoutInCell="1" allowOverlap="1">
            <wp:simplePos x="0" y="0"/>
            <wp:positionH relativeFrom="column">
              <wp:posOffset>48260</wp:posOffset>
            </wp:positionH>
            <wp:positionV relativeFrom="paragraph">
              <wp:posOffset>116840</wp:posOffset>
            </wp:positionV>
            <wp:extent cx="712470" cy="648335"/>
            <wp:effectExtent l="0" t="0" r="11430" b="18415"/>
            <wp:wrapNone/>
            <wp:docPr id="173" name="图片 86" descr="威海风频（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86" descr="威海风频（新）"/>
                    <pic:cNvPicPr>
                      <a:picLocks noChangeAspect="1"/>
                    </pic:cNvPicPr>
                  </pic:nvPicPr>
                  <pic:blipFill>
                    <a:blip r:embed="rId36"/>
                    <a:stretch>
                      <a:fillRect/>
                    </a:stretch>
                  </pic:blipFill>
                  <pic:spPr>
                    <a:xfrm>
                      <a:off x="0" y="0"/>
                      <a:ext cx="712470" cy="648335"/>
                    </a:xfrm>
                    <a:prstGeom prst="rect">
                      <a:avLst/>
                    </a:prstGeom>
                    <a:noFill/>
                    <a:ln>
                      <a:noFill/>
                    </a:ln>
                  </pic:spPr>
                </pic:pic>
              </a:graphicData>
            </a:graphic>
          </wp:anchor>
        </w:drawing>
      </w:r>
      <w:r>
        <w:rPr>
          <w:sz w:val="21"/>
        </w:rPr>
        <mc:AlternateContent>
          <mc:Choice Requires="wps">
            <w:drawing>
              <wp:anchor distT="0" distB="0" distL="114300" distR="114300" simplePos="0" relativeHeight="251693056" behindDoc="1" locked="0" layoutInCell="1" allowOverlap="1">
                <wp:simplePos x="0" y="0"/>
                <wp:positionH relativeFrom="column">
                  <wp:posOffset>2507615</wp:posOffset>
                </wp:positionH>
                <wp:positionV relativeFrom="paragraph">
                  <wp:posOffset>2964180</wp:posOffset>
                </wp:positionV>
                <wp:extent cx="866775" cy="352425"/>
                <wp:effectExtent l="4445" t="5080" r="614680" b="4445"/>
                <wp:wrapNone/>
                <wp:docPr id="171" name="圆角矩形标注 171"/>
                <wp:cNvGraphicFramePr/>
                <a:graphic xmlns:a="http://schemas.openxmlformats.org/drawingml/2006/main">
                  <a:graphicData uri="http://schemas.microsoft.com/office/word/2010/wordprocessingShape">
                    <wps:wsp>
                      <wps:cNvSpPr/>
                      <wps:spPr>
                        <a:xfrm>
                          <a:off x="0" y="0"/>
                          <a:ext cx="866775" cy="352425"/>
                        </a:xfrm>
                        <a:prstGeom prst="wedgeRoundRectCallout">
                          <a:avLst>
                            <a:gd name="adj1" fmla="val 115440"/>
                            <a:gd name="adj2" fmla="val -32704"/>
                            <a:gd name="adj3" fmla="val 16667"/>
                          </a:avLst>
                        </a:prstGeom>
                        <a:solidFill>
                          <a:srgbClr val="FFFF00"/>
                        </a:solidFill>
                        <a:ln w="9525" cap="flat" cmpd="sng">
                          <a:solidFill>
                            <a:srgbClr val="000000"/>
                          </a:solidFill>
                          <a:prstDash val="solid"/>
                          <a:miter/>
                          <a:headEnd type="none" w="med" len="med"/>
                          <a:tailEnd type="none" w="med" len="med"/>
                        </a:ln>
                      </wps:spPr>
                      <wps:txbx>
                        <w:txbxContent>
                          <w:p w14:paraId="0FC90471">
                            <w:pPr>
                              <w:rPr>
                                <w:rFonts w:hint="default" w:eastAsia="宋体"/>
                                <w:lang w:val="en-US" w:eastAsia="zh-CN"/>
                              </w:rPr>
                            </w:pPr>
                            <w:r>
                              <w:rPr>
                                <w:rFonts w:hint="eastAsia"/>
                                <w:lang w:val="en-US" w:eastAsia="zh-CN"/>
                              </w:rPr>
                              <w:t>项目位置</w:t>
                            </w:r>
                          </w:p>
                        </w:txbxContent>
                      </wps:txbx>
                      <wps:bodyPr upright="1"/>
                    </wps:wsp>
                  </a:graphicData>
                </a:graphic>
              </wp:anchor>
            </w:drawing>
          </mc:Choice>
          <mc:Fallback>
            <w:pict>
              <v:shape id="_x0000_s1026" o:spid="_x0000_s1026" o:spt="62" type="#_x0000_t62" style="position:absolute;left:0pt;margin-left:197.45pt;margin-top:233.4pt;height:27.75pt;width:68.25pt;z-index:-251623424;mso-width-relative:page;mso-height-relative:page;" fillcolor="#FFFF00" filled="t" stroked="t" coordsize="21600,21600" o:gfxdata="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OymNSbZAAAA&#10;CwEAAA8AAAAAAAAAAQAgAAAAIgAAAGRycy9kb3ducmV2LnhtbFBLAQIUABQAAAAIAIdO4kAaOrje&#10;VQIAAMAEAAAOAAAAAAAAAAEAIAAAACgBAABkcnMvZTJvRG9jLnhtbFBLBQYAAAAABgAGAFkBAADv&#10;BQAAAAA=&#10;" adj="35735,3736,14400">
                <v:fill on="t" focussize="0,0"/>
                <v:stroke color="#000000" joinstyle="miter"/>
                <v:imagedata o:title=""/>
                <o:lock v:ext="edit" aspectratio="f"/>
                <v:textbox>
                  <w:txbxContent>
                    <w:p w14:paraId="0FC90471">
                      <w:pPr>
                        <w:rPr>
                          <w:rFonts w:hint="default" w:eastAsia="宋体"/>
                          <w:lang w:val="en-US" w:eastAsia="zh-CN"/>
                        </w:rPr>
                      </w:pPr>
                      <w:r>
                        <w:rPr>
                          <w:rFonts w:hint="eastAsia"/>
                          <w:lang w:val="en-US" w:eastAsia="zh-CN"/>
                        </w:rPr>
                        <w:t>项目位置</w:t>
                      </w:r>
                    </w:p>
                  </w:txbxContent>
                </v:textbox>
              </v:shape>
            </w:pict>
          </mc:Fallback>
        </mc:AlternateContent>
      </w:r>
      <w:r>
        <w:rPr>
          <w:rFonts w:hint="eastAsia" w:eastAsia="宋体"/>
          <w:lang w:val="en-US" w:eastAsia="zh-CN"/>
        </w:rPr>
        <w:drawing>
          <wp:inline distT="0" distB="0" distL="114300" distR="114300">
            <wp:extent cx="8825230" cy="5497830"/>
            <wp:effectExtent l="0" t="0" r="13970" b="7620"/>
            <wp:docPr id="174" name="图片 9" descr="16112968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9" descr="1611296873(1)"/>
                    <pic:cNvPicPr>
                      <a:picLocks noChangeAspect="1"/>
                    </pic:cNvPicPr>
                  </pic:nvPicPr>
                  <pic:blipFill>
                    <a:blip r:embed="rId37"/>
                    <a:stretch>
                      <a:fillRect/>
                    </a:stretch>
                  </pic:blipFill>
                  <pic:spPr>
                    <a:xfrm>
                      <a:off x="0" y="0"/>
                      <a:ext cx="8825230" cy="5497830"/>
                    </a:xfrm>
                    <a:prstGeom prst="rect">
                      <a:avLst/>
                    </a:prstGeom>
                    <a:noFill/>
                    <a:ln>
                      <a:noFill/>
                    </a:ln>
                  </pic:spPr>
                </pic:pic>
              </a:graphicData>
            </a:graphic>
          </wp:inline>
        </w:drawing>
      </w:r>
    </w:p>
    <w:p w14:paraId="3254200C">
      <w:pPr>
        <w:pStyle w:val="2"/>
        <w:jc w:val="center"/>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附图</w:t>
      </w:r>
      <w:r>
        <w:rPr>
          <w:rFonts w:hint="eastAsia" w:asciiTheme="minorEastAsia" w:hAnsiTheme="minorEastAsia" w:eastAsiaTheme="minorEastAsia" w:cstheme="minorEastAsia"/>
          <w:b/>
          <w:bCs/>
          <w:color w:val="auto"/>
          <w:sz w:val="24"/>
          <w:szCs w:val="24"/>
          <w:lang w:eastAsia="zh-CN"/>
        </w:rPr>
        <w:t>一</w:t>
      </w:r>
      <w:r>
        <w:rPr>
          <w:rFonts w:hint="eastAsia" w:asciiTheme="minorEastAsia" w:hAnsiTheme="minorEastAsia" w:eastAsiaTheme="minorEastAsia" w:cstheme="minorEastAsia"/>
          <w:b/>
          <w:bCs/>
          <w:color w:val="auto"/>
          <w:sz w:val="24"/>
          <w:szCs w:val="24"/>
          <w:lang w:val="en-US" w:eastAsia="zh-CN"/>
        </w:rPr>
        <w:t xml:space="preserve"> </w:t>
      </w:r>
      <w:r>
        <w:rPr>
          <w:rFonts w:hint="eastAsia" w:asciiTheme="minorEastAsia" w:hAnsiTheme="minorEastAsia" w:eastAsiaTheme="minorEastAsia" w:cstheme="minorEastAsia"/>
          <w:b/>
          <w:bCs/>
          <w:color w:val="auto"/>
          <w:sz w:val="24"/>
          <w:szCs w:val="24"/>
        </w:rPr>
        <w:t>项目地理位置图</w:t>
      </w:r>
    </w:p>
    <w:p w14:paraId="4A8B436C">
      <w:pPr>
        <w:widowControl/>
        <w:jc w:val="center"/>
        <w:rPr>
          <w:rFonts w:hint="eastAsia"/>
          <w:lang w:eastAsia="zh-CN"/>
        </w:rPr>
      </w:pPr>
      <w:r>
        <w:rPr>
          <w:sz w:val="21"/>
        </w:rPr>
        <mc:AlternateContent>
          <mc:Choice Requires="wps">
            <w:drawing>
              <wp:anchor distT="0" distB="0" distL="114300" distR="114300" simplePos="0" relativeHeight="251678720" behindDoc="0" locked="0" layoutInCell="1" allowOverlap="1">
                <wp:simplePos x="0" y="0"/>
                <wp:positionH relativeFrom="column">
                  <wp:posOffset>3813810</wp:posOffset>
                </wp:positionH>
                <wp:positionV relativeFrom="paragraph">
                  <wp:posOffset>2543175</wp:posOffset>
                </wp:positionV>
                <wp:extent cx="819150" cy="323850"/>
                <wp:effectExtent l="5080" t="4445" r="13970" b="281305"/>
                <wp:wrapNone/>
                <wp:docPr id="175" name="矩形标注 175"/>
                <wp:cNvGraphicFramePr/>
                <a:graphic xmlns:a="http://schemas.openxmlformats.org/drawingml/2006/main">
                  <a:graphicData uri="http://schemas.microsoft.com/office/word/2010/wordprocessingShape">
                    <wps:wsp>
                      <wps:cNvSpPr/>
                      <wps:spPr>
                        <a:xfrm>
                          <a:off x="0" y="0"/>
                          <a:ext cx="819150" cy="323850"/>
                        </a:xfrm>
                        <a:prstGeom prst="wedgeRectCallout">
                          <a:avLst>
                            <a:gd name="adj1" fmla="val -39069"/>
                            <a:gd name="adj2" fmla="val 131764"/>
                          </a:avLst>
                        </a:prstGeom>
                        <a:solidFill>
                          <a:srgbClr val="FFFFFF"/>
                        </a:solidFill>
                        <a:ln w="9525" cap="flat" cmpd="sng">
                          <a:solidFill>
                            <a:srgbClr val="000000"/>
                          </a:solidFill>
                          <a:prstDash val="solid"/>
                          <a:miter/>
                          <a:headEnd type="none" w="med" len="med"/>
                          <a:tailEnd type="none" w="med" len="med"/>
                        </a:ln>
                      </wps:spPr>
                      <wps:txbx>
                        <w:txbxContent>
                          <w:p w14:paraId="2C3AE819">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300.3pt;margin-top:200.25pt;height:25.5pt;width:64.5pt;z-index:251678720;mso-width-relative:page;mso-height-relative:page;" fillcolor="#FFFFFF" filled="t" stroked="t" coordsize="21600,21600" o:gfxdata="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mIGFitcAAAALAQAADwAAAAAAAAABACAAAAAiAAAAZHJzL2Rv&#10;d25yZXYueG1sUEsBAhQAFAAAAAgAh07iQP1vNLM7AgAAkQQAAA4AAAAAAAAAAQAgAAAAJgEAAGRy&#10;cy9lMm9Eb2MueG1sUEsFBgAAAAAGAAYAWQEAANMFAAAAAA==&#10;" adj="2361,39261">
                <v:fill on="t" focussize="0,0"/>
                <v:stroke color="#000000" joinstyle="miter"/>
                <v:imagedata o:title=""/>
                <o:lock v:ext="edit" aspectratio="f"/>
                <v:textbox>
                  <w:txbxContent>
                    <w:p w14:paraId="2C3AE819">
                      <w:pPr>
                        <w:rPr>
                          <w:rFonts w:hint="eastAsia" w:eastAsia="宋体"/>
                          <w:lang w:eastAsia="zh-CN"/>
                        </w:rPr>
                      </w:pPr>
                      <w:r>
                        <w:rPr>
                          <w:rFonts w:hint="eastAsia"/>
                          <w:lang w:eastAsia="zh-CN"/>
                        </w:rPr>
                        <w:t>项目位置</w:t>
                      </w:r>
                    </w:p>
                  </w:txbxContent>
                </v:textbox>
              </v:shape>
            </w:pict>
          </mc:Fallback>
        </mc:AlternateContent>
      </w:r>
      <w:r>
        <w:rPr>
          <w:sz w:val="21"/>
        </w:rPr>
        <mc:AlternateContent>
          <mc:Choice Requires="wps">
            <w:drawing>
              <wp:anchor distT="0" distB="0" distL="114300" distR="114300" simplePos="0" relativeHeight="251660288" behindDoc="1" locked="0" layoutInCell="1" allowOverlap="1">
                <wp:simplePos x="0" y="0"/>
                <wp:positionH relativeFrom="column">
                  <wp:posOffset>4109085</wp:posOffset>
                </wp:positionH>
                <wp:positionV relativeFrom="paragraph">
                  <wp:posOffset>2322195</wp:posOffset>
                </wp:positionV>
                <wp:extent cx="95250" cy="85725"/>
                <wp:effectExtent l="15240" t="14605" r="22860" b="13970"/>
                <wp:wrapNone/>
                <wp:docPr id="176" name="五角星 176"/>
                <wp:cNvGraphicFramePr/>
                <a:graphic xmlns:a="http://schemas.openxmlformats.org/drawingml/2006/main">
                  <a:graphicData uri="http://schemas.microsoft.com/office/word/2010/wordprocessingShape">
                    <wps:wsp>
                      <wps:cNvSpPr/>
                      <wps:spPr>
                        <a:xfrm>
                          <a:off x="0" y="0"/>
                          <a:ext cx="95250" cy="85725"/>
                        </a:xfrm>
                        <a:prstGeom prst="star5">
                          <a:avLst/>
                        </a:prstGeom>
                        <a:solidFill>
                          <a:srgbClr val="FF0000"/>
                        </a:solidFill>
                        <a:ln w="9525" cap="flat" cmpd="sng">
                          <a:solidFill>
                            <a:srgbClr val="FF0000"/>
                          </a:solidFill>
                          <a:prstDash val="solid"/>
                          <a:miter/>
                          <a:headEnd type="none" w="med" len="med"/>
                          <a:tailEnd type="none" w="med" len="med"/>
                        </a:ln>
                      </wps:spPr>
                      <wps:bodyPr upright="1"/>
                    </wps:wsp>
                  </a:graphicData>
                </a:graphic>
              </wp:anchor>
            </w:drawing>
          </mc:Choice>
          <mc:Fallback>
            <w:pict>
              <v:shape id="_x0000_s1026" o:spid="_x0000_s1026" style="position:absolute;left:0pt;margin-left:323.55pt;margin-top:182.85pt;height:6.75pt;width:7.5pt;z-index:-251656192;mso-width-relative:page;mso-height-relative:page;" fillcolor="#FF0000" filled="t" stroked="t" coordsize="95250,85725" o:gfxdata="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twG499cAAAALAQAADwAAAAAAAAABACAAAAAiAAAAZHJzL2Rvd25yZXYu&#10;eG1sUEsBAhQAFAAAAAgAh07iQDOqwuD8AQAAIwQAAA4AAAAAAAAAAQAgAAAAJgEAAGRycy9lMm9E&#10;b2MueG1sUEsFBgAAAAAGAAYAWQEAAJQFAAAAAA==&#10;" path="m0,32743l36382,32744,47625,0,58867,32744,95249,32743,65815,52980,77058,85724,47625,65487,18191,85724,29434,52980xe">
                <v:path o:connectlocs="47625,0;0,32743;18191,85724;77058,85724;95249,32743" o:connectangles="247,164,82,82,0"/>
                <v:fill on="t" focussize="0,0"/>
                <v:stroke color="#FF0000" joinstyle="miter"/>
                <v:imagedata o:title=""/>
                <o:lock v:ext="edit" aspectratio="f"/>
              </v:shape>
            </w:pict>
          </mc:Fallback>
        </mc:AlternateContent>
      </w:r>
      <w:r>
        <w:rPr>
          <w:rFonts w:hint="default" w:ascii="Times New Roman" w:hAnsi="Times New Roman" w:cs="Times New Roman"/>
          <w:color w:val="auto"/>
        </w:rPr>
        <w:drawing>
          <wp:anchor distT="0" distB="0" distL="114300" distR="114300" simplePos="0" relativeHeight="251659264" behindDoc="1" locked="0" layoutInCell="1" allowOverlap="1">
            <wp:simplePos x="0" y="0"/>
            <wp:positionH relativeFrom="column">
              <wp:posOffset>8174990</wp:posOffset>
            </wp:positionH>
            <wp:positionV relativeFrom="page">
              <wp:posOffset>748665</wp:posOffset>
            </wp:positionV>
            <wp:extent cx="712470" cy="648335"/>
            <wp:effectExtent l="0" t="0" r="11430" b="18415"/>
            <wp:wrapNone/>
            <wp:docPr id="177" name="图片 239" descr="威海风频（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239" descr="威海风频（新）"/>
                    <pic:cNvPicPr>
                      <a:picLocks noChangeAspect="1"/>
                    </pic:cNvPicPr>
                  </pic:nvPicPr>
                  <pic:blipFill>
                    <a:blip r:embed="rId36"/>
                    <a:stretch>
                      <a:fillRect/>
                    </a:stretch>
                  </pic:blipFill>
                  <pic:spPr>
                    <a:xfrm>
                      <a:off x="0" y="0"/>
                      <a:ext cx="712470" cy="648335"/>
                    </a:xfrm>
                    <a:prstGeom prst="rect">
                      <a:avLst/>
                    </a:prstGeom>
                    <a:noFill/>
                    <a:ln>
                      <a:noFill/>
                    </a:ln>
                  </pic:spPr>
                </pic:pic>
              </a:graphicData>
            </a:graphic>
          </wp:anchor>
        </w:drawing>
      </w:r>
      <w:r>
        <w:rPr>
          <w:sz w:val="21"/>
        </w:rPr>
        <mc:AlternateContent>
          <mc:Choice Requires="wps">
            <w:drawing>
              <wp:anchor distT="0" distB="0" distL="114300" distR="114300" simplePos="0" relativeHeight="251697152" behindDoc="1" locked="0" layoutInCell="1" allowOverlap="1">
                <wp:simplePos x="0" y="0"/>
                <wp:positionH relativeFrom="column">
                  <wp:posOffset>4219575</wp:posOffset>
                </wp:positionH>
                <wp:positionV relativeFrom="paragraph">
                  <wp:posOffset>1236345</wp:posOffset>
                </wp:positionV>
                <wp:extent cx="815340" cy="365760"/>
                <wp:effectExtent l="4445" t="5080" r="18415" b="86360"/>
                <wp:wrapNone/>
                <wp:docPr id="178" name="圆角矩形标注 178"/>
                <wp:cNvGraphicFramePr/>
                <a:graphic xmlns:a="http://schemas.openxmlformats.org/drawingml/2006/main">
                  <a:graphicData uri="http://schemas.microsoft.com/office/word/2010/wordprocessingShape">
                    <wps:wsp>
                      <wps:cNvSpPr/>
                      <wps:spPr>
                        <a:xfrm>
                          <a:off x="0" y="0"/>
                          <a:ext cx="815340" cy="365760"/>
                        </a:xfrm>
                        <a:prstGeom prst="wedgeRoundRectCallout">
                          <a:avLst>
                            <a:gd name="adj1" fmla="val -43750"/>
                            <a:gd name="adj2" fmla="val 70000"/>
                            <a:gd name="adj3" fmla="val 16667"/>
                          </a:avLst>
                        </a:prstGeom>
                        <a:solidFill>
                          <a:srgbClr val="FFFF00"/>
                        </a:solidFill>
                        <a:ln w="9525" cap="flat" cmpd="sng">
                          <a:solidFill>
                            <a:srgbClr val="000000"/>
                          </a:solidFill>
                          <a:prstDash val="solid"/>
                          <a:miter/>
                          <a:headEnd type="none" w="med" len="med"/>
                          <a:tailEnd type="none" w="med" len="med"/>
                        </a:ln>
                      </wps:spPr>
                      <wps:txbx>
                        <w:txbxContent>
                          <w:p w14:paraId="345B6B59">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2" type="#_x0000_t62" style="position:absolute;left:0pt;margin-left:332.25pt;margin-top:97.35pt;height:28.8pt;width:64.2pt;z-index:-251619328;mso-width-relative:page;mso-height-relative:page;" fillcolor="#FFFF00" filled="t" stroked="t" coordsize="21600,21600" o:gfxdata="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CFzoSTZAAAA&#10;CwEAAA8AAAAAAAAAAQAgAAAAIgAAAGRycy9kb3ducmV2LnhtbFBLAQIUABQAAAAIAIdO4kAXc3//&#10;VQIAAL8EAAAOAAAAAAAAAAEAIAAAACgBAABkcnMvZTJvRG9jLnhtbFBLBQYAAAAABgAGAFkBAADv&#10;BQAAAAA=&#10;" adj="1350,25920,14400">
                <v:fill on="t" focussize="0,0"/>
                <v:stroke color="#000000" joinstyle="miter"/>
                <v:imagedata o:title=""/>
                <o:lock v:ext="edit" aspectratio="f"/>
                <v:textbox>
                  <w:txbxContent>
                    <w:p w14:paraId="345B6B59">
                      <w:pPr>
                        <w:rPr>
                          <w:rFonts w:hint="eastAsia" w:eastAsia="宋体"/>
                          <w:lang w:eastAsia="zh-CN"/>
                        </w:rPr>
                      </w:pPr>
                      <w:r>
                        <w:rPr>
                          <w:rFonts w:hint="eastAsia"/>
                          <w:lang w:eastAsia="zh-CN"/>
                        </w:rPr>
                        <w:t>项目位置</w:t>
                      </w:r>
                    </w:p>
                  </w:txbxContent>
                </v:textbox>
              </v:shape>
            </w:pict>
          </mc:Fallback>
        </mc:AlternateContent>
      </w:r>
      <w:r>
        <w:rPr>
          <w:sz w:val="21"/>
        </w:rPr>
        <mc:AlternateContent>
          <mc:Choice Requires="wps">
            <w:drawing>
              <wp:anchor distT="0" distB="0" distL="114300" distR="114300" simplePos="0" relativeHeight="251698176" behindDoc="1" locked="0" layoutInCell="1" allowOverlap="1">
                <wp:simplePos x="0" y="0"/>
                <wp:positionH relativeFrom="column">
                  <wp:posOffset>3362960</wp:posOffset>
                </wp:positionH>
                <wp:positionV relativeFrom="paragraph">
                  <wp:posOffset>1605280</wp:posOffset>
                </wp:positionV>
                <wp:extent cx="828040" cy="948055"/>
                <wp:effectExtent l="80010" t="69850" r="82550" b="86995"/>
                <wp:wrapNone/>
                <wp:docPr id="179" name="文本框 179"/>
                <wp:cNvGraphicFramePr/>
                <a:graphic xmlns:a="http://schemas.openxmlformats.org/drawingml/2006/main">
                  <a:graphicData uri="http://schemas.microsoft.com/office/word/2010/wordprocessingShape">
                    <wps:wsp>
                      <wps:cNvSpPr txBox="1"/>
                      <wps:spPr>
                        <a:xfrm rot="540000">
                          <a:off x="0" y="0"/>
                          <a:ext cx="828040" cy="948055"/>
                        </a:xfrm>
                        <a:prstGeom prst="rect">
                          <a:avLst/>
                        </a:prstGeom>
                        <a:noFill/>
                        <a:ln w="19050" cap="flat" cmpd="sng">
                          <a:solidFill>
                            <a:srgbClr val="FFFF00"/>
                          </a:solidFill>
                          <a:prstDash val="solid"/>
                          <a:miter/>
                          <a:headEnd type="none" w="med" len="med"/>
                          <a:tailEnd type="none" w="med" len="med"/>
                        </a:ln>
                      </wps:spPr>
                      <wps:txbx>
                        <w:txbxContent>
                          <w:p w14:paraId="6B8EE0B5"/>
                        </w:txbxContent>
                      </wps:txbx>
                      <wps:bodyPr upright="1"/>
                    </wps:wsp>
                  </a:graphicData>
                </a:graphic>
              </wp:anchor>
            </w:drawing>
          </mc:Choice>
          <mc:Fallback>
            <w:pict>
              <v:shape id="_x0000_s1026" o:spid="_x0000_s1026" o:spt="202" type="#_x0000_t202" style="position:absolute;left:0pt;margin-left:264.8pt;margin-top:126.4pt;height:74.65pt;width:65.2pt;rotation:589824f;z-index:-251618304;mso-width-relative:page;mso-height-relative:page;" filled="f" stroked="t" coordsize="21600,21600" o:gfxdata="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BF1bhLaAAAACwEAAA8AAAAAAAAA&#10;AQAgAAAAIgAAAGRycy9kb3ducmV2LnhtbFBLAQIUABQAAAAIAIdO4kAJ+7EZDwIAAB4EAAAOAAAA&#10;AAAAAAEAIAAAACkBAABkcnMvZTJvRG9jLnhtbFBLBQYAAAAABgAGAFkBAACqBQAAAAA=&#10;">
                <v:fill on="f" focussize="0,0"/>
                <v:stroke weight="1.5pt" color="#FFFF00" joinstyle="miter"/>
                <v:imagedata o:title=""/>
                <o:lock v:ext="edit" aspectratio="f"/>
                <v:textbox>
                  <w:txbxContent>
                    <w:p w14:paraId="6B8EE0B5"/>
                  </w:txbxContent>
                </v:textbox>
              </v:shape>
            </w:pict>
          </mc:Fallback>
        </mc:AlternateContent>
      </w:r>
      <w:r>
        <w:rPr>
          <w:rFonts w:hint="eastAsia"/>
          <w:lang w:eastAsia="zh-CN"/>
        </w:rPr>
        <w:drawing>
          <wp:inline distT="0" distB="0" distL="114300" distR="114300">
            <wp:extent cx="8524875" cy="5591175"/>
            <wp:effectExtent l="0" t="0" r="9525" b="9525"/>
            <wp:docPr id="180" name="图片 10" descr="16112969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0" descr="1611296945(1)"/>
                    <pic:cNvPicPr>
                      <a:picLocks noChangeAspect="1"/>
                    </pic:cNvPicPr>
                  </pic:nvPicPr>
                  <pic:blipFill>
                    <a:blip r:embed="rId38"/>
                    <a:stretch>
                      <a:fillRect/>
                    </a:stretch>
                  </pic:blipFill>
                  <pic:spPr>
                    <a:xfrm>
                      <a:off x="0" y="0"/>
                      <a:ext cx="8524875" cy="5591175"/>
                    </a:xfrm>
                    <a:prstGeom prst="rect">
                      <a:avLst/>
                    </a:prstGeom>
                    <a:noFill/>
                    <a:ln>
                      <a:noFill/>
                    </a:ln>
                  </pic:spPr>
                </pic:pic>
              </a:graphicData>
            </a:graphic>
          </wp:inline>
        </w:drawing>
      </w:r>
    </w:p>
    <w:p w14:paraId="0FF68A22">
      <w:pPr>
        <w:pStyle w:val="2"/>
        <w:jc w:val="center"/>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附图</w:t>
      </w:r>
      <w:r>
        <w:rPr>
          <w:rFonts w:hint="eastAsia" w:asciiTheme="minorEastAsia" w:hAnsiTheme="minorEastAsia" w:eastAsiaTheme="minorEastAsia" w:cstheme="minorEastAsia"/>
          <w:b/>
          <w:bCs/>
          <w:color w:val="auto"/>
          <w:sz w:val="24"/>
          <w:szCs w:val="24"/>
          <w:lang w:eastAsia="zh-CN"/>
        </w:rPr>
        <w:t>二</w:t>
      </w:r>
      <w:r>
        <w:rPr>
          <w:rFonts w:hint="eastAsia" w:asciiTheme="minorEastAsia" w:hAnsiTheme="minorEastAsia" w:eastAsiaTheme="minorEastAsia" w:cstheme="minorEastAsia"/>
          <w:b/>
          <w:bCs/>
          <w:color w:val="auto"/>
          <w:sz w:val="24"/>
          <w:szCs w:val="24"/>
          <w:lang w:val="en-US" w:eastAsia="zh-CN"/>
        </w:rPr>
        <w:t xml:space="preserve"> </w:t>
      </w:r>
      <w:r>
        <w:rPr>
          <w:rFonts w:hint="eastAsia" w:asciiTheme="minorEastAsia" w:hAnsiTheme="minorEastAsia" w:eastAsiaTheme="minorEastAsia" w:cstheme="minorEastAsia"/>
          <w:b/>
          <w:bCs/>
          <w:color w:val="auto"/>
          <w:sz w:val="24"/>
          <w:szCs w:val="24"/>
        </w:rPr>
        <w:t>项目</w:t>
      </w:r>
      <w:r>
        <w:rPr>
          <w:rFonts w:hint="eastAsia" w:asciiTheme="minorEastAsia" w:hAnsiTheme="minorEastAsia" w:eastAsiaTheme="minorEastAsia" w:cstheme="minorEastAsia"/>
          <w:b/>
          <w:bCs/>
          <w:color w:val="auto"/>
          <w:sz w:val="24"/>
          <w:szCs w:val="24"/>
          <w:lang w:eastAsia="zh-CN"/>
        </w:rPr>
        <w:t>周边环境现状</w:t>
      </w:r>
      <w:r>
        <w:rPr>
          <w:rFonts w:hint="eastAsia" w:asciiTheme="minorEastAsia" w:hAnsiTheme="minorEastAsia" w:eastAsiaTheme="minorEastAsia" w:cstheme="minorEastAsia"/>
          <w:b/>
          <w:bCs/>
          <w:color w:val="auto"/>
          <w:sz w:val="24"/>
          <w:szCs w:val="24"/>
        </w:rPr>
        <w:t>图</w:t>
      </w:r>
    </w:p>
    <w:p w14:paraId="0299C1BA">
      <w:pPr>
        <w:widowControl/>
        <w:jc w:val="center"/>
      </w:pPr>
      <w:r>
        <w:rPr>
          <w:rFonts w:hint="default" w:ascii="Times New Roman" w:hAnsi="Times New Roman" w:cs="Times New Roman"/>
          <w:color w:val="auto"/>
        </w:rPr>
        <mc:AlternateContent>
          <mc:Choice Requires="wps">
            <w:drawing>
              <wp:anchor distT="0" distB="0" distL="114300" distR="114300" simplePos="0" relativeHeight="251680768" behindDoc="0" locked="0" layoutInCell="1" allowOverlap="1">
                <wp:simplePos x="0" y="0"/>
                <wp:positionH relativeFrom="column">
                  <wp:posOffset>-79375</wp:posOffset>
                </wp:positionH>
                <wp:positionV relativeFrom="paragraph">
                  <wp:posOffset>4787900</wp:posOffset>
                </wp:positionV>
                <wp:extent cx="1593850" cy="419100"/>
                <wp:effectExtent l="0" t="0" r="0" b="0"/>
                <wp:wrapNone/>
                <wp:docPr id="181" name="文本框 181"/>
                <wp:cNvGraphicFramePr/>
                <a:graphic xmlns:a="http://schemas.openxmlformats.org/drawingml/2006/main">
                  <a:graphicData uri="http://schemas.microsoft.com/office/word/2010/wordprocessingShape">
                    <wps:wsp>
                      <wps:cNvSpPr txBox="1"/>
                      <wps:spPr>
                        <a:xfrm>
                          <a:off x="0" y="0"/>
                          <a:ext cx="1593850" cy="419100"/>
                        </a:xfrm>
                        <a:prstGeom prst="rect">
                          <a:avLst/>
                        </a:prstGeom>
                        <a:noFill/>
                        <a:ln>
                          <a:noFill/>
                        </a:ln>
                      </wps:spPr>
                      <wps:txbx>
                        <w:txbxContent>
                          <w:p w14:paraId="62925FF0"/>
                        </w:txbxContent>
                      </wps:txbx>
                      <wps:bodyPr upright="1"/>
                    </wps:wsp>
                  </a:graphicData>
                </a:graphic>
              </wp:anchor>
            </w:drawing>
          </mc:Choice>
          <mc:Fallback>
            <w:pict>
              <v:shape id="_x0000_s1026" o:spid="_x0000_s1026" o:spt="202" type="#_x0000_t202" style="position:absolute;left:0pt;margin-left:-6.25pt;margin-top:377pt;height:33pt;width:125.5pt;z-index:251680768;mso-width-relative:page;mso-height-relative:page;" filled="f" stroked="f" coordsize="21600,21600" o:gfxdata="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Xc+PxtYA&#10;AAALAQAADwAAAAAAAAABACAAAAAiAAAAZHJzL2Rvd25yZXYueG1sUEsBAhQAFAAAAAgAh07iQM1G&#10;k8ivAQAAUgMAAA4AAAAAAAAAAQAgAAAAJQEAAGRycy9lMm9Eb2MueG1sUEsFBgAAAAAGAAYAWQEA&#10;AEYFAAAAAA==&#10;">
                <v:fill on="f" focussize="0,0"/>
                <v:stroke on="f"/>
                <v:imagedata o:title=""/>
                <o:lock v:ext="edit" aspectratio="f"/>
                <v:textbox>
                  <w:txbxContent>
                    <w:p w14:paraId="62925FF0"/>
                  </w:txbxContent>
                </v:textbox>
              </v:shape>
            </w:pict>
          </mc:Fallback>
        </mc:AlternateContent>
      </w:r>
    </w:p>
    <w:p w14:paraId="62079121">
      <w:pPr>
        <w:ind w:right="210" w:rightChars="100"/>
        <w:rPr>
          <w:rFonts w:hint="default" w:ascii="Times New Roman" w:hAnsi="Times New Roman" w:cs="Times New Roman"/>
          <w:color w:val="auto"/>
          <w:sz w:val="28"/>
          <w:lang w:eastAsia="zh-CN"/>
        </w:rPr>
      </w:pPr>
      <w:r>
        <w:rPr>
          <w:sz w:val="21"/>
        </w:rPr>
        <mc:AlternateContent>
          <mc:Choice Requires="wps">
            <w:drawing>
              <wp:anchor distT="0" distB="0" distL="114300" distR="114300" simplePos="0" relativeHeight="251689984" behindDoc="1" locked="0" layoutInCell="1" allowOverlap="1">
                <wp:simplePos x="0" y="0"/>
                <wp:positionH relativeFrom="column">
                  <wp:posOffset>5033010</wp:posOffset>
                </wp:positionH>
                <wp:positionV relativeFrom="paragraph">
                  <wp:posOffset>1570355</wp:posOffset>
                </wp:positionV>
                <wp:extent cx="819150" cy="323850"/>
                <wp:effectExtent l="5080" t="4445" r="13970" b="281305"/>
                <wp:wrapNone/>
                <wp:docPr id="182" name="矩形标注 182"/>
                <wp:cNvGraphicFramePr/>
                <a:graphic xmlns:a="http://schemas.openxmlformats.org/drawingml/2006/main">
                  <a:graphicData uri="http://schemas.microsoft.com/office/word/2010/wordprocessingShape">
                    <wps:wsp>
                      <wps:cNvSpPr/>
                      <wps:spPr>
                        <a:xfrm>
                          <a:off x="0" y="0"/>
                          <a:ext cx="819150" cy="323850"/>
                        </a:xfrm>
                        <a:prstGeom prst="wedgeRectCallout">
                          <a:avLst>
                            <a:gd name="adj1" fmla="val -39069"/>
                            <a:gd name="adj2" fmla="val 131764"/>
                          </a:avLst>
                        </a:prstGeom>
                        <a:solidFill>
                          <a:srgbClr val="FFFFFF"/>
                        </a:solidFill>
                        <a:ln w="9525" cap="flat" cmpd="sng">
                          <a:solidFill>
                            <a:srgbClr val="000000"/>
                          </a:solidFill>
                          <a:prstDash val="solid"/>
                          <a:miter/>
                          <a:headEnd type="none" w="med" len="med"/>
                          <a:tailEnd type="none" w="med" len="med"/>
                        </a:ln>
                      </wps:spPr>
                      <wps:txbx>
                        <w:txbxContent>
                          <w:p w14:paraId="125DCEE8">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396.3pt;margin-top:123.65pt;height:25.5pt;width:64.5pt;z-index:-251626496;mso-width-relative:page;mso-height-relative:page;" fillcolor="#FFFFFF" filled="t" stroked="t" coordsize="21600,21600" o:gfxdata="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EO+/xXYAAAACwEAAA8AAAAAAAAAAQAgAAAAIgAAAGRycy9k&#10;b3ducmV2LnhtbFBLAQIUABQAAAAIAIdO4kBJRMfJOwIAAJEEAAAOAAAAAAAAAAEAIAAAACcBAABk&#10;cnMvZTJvRG9jLnhtbFBLBQYAAAAABgAGAFkBAADUBQAAAAA=&#10;" adj="2361,39261">
                <v:fill on="t" focussize="0,0"/>
                <v:stroke color="#000000" joinstyle="miter"/>
                <v:imagedata o:title=""/>
                <o:lock v:ext="edit" aspectratio="f"/>
                <v:textbox>
                  <w:txbxContent>
                    <w:p w14:paraId="125DCEE8">
                      <w:pPr>
                        <w:rPr>
                          <w:rFonts w:hint="eastAsia" w:eastAsia="宋体"/>
                          <w:lang w:eastAsia="zh-CN"/>
                        </w:rPr>
                      </w:pPr>
                      <w:r>
                        <w:rPr>
                          <w:rFonts w:hint="eastAsia"/>
                          <w:lang w:eastAsia="zh-CN"/>
                        </w:rPr>
                        <w:t>项目位置</w:t>
                      </w:r>
                    </w:p>
                  </w:txbxContent>
                </v:textbox>
              </v:shape>
            </w:pict>
          </mc:Fallback>
        </mc:AlternateContent>
      </w:r>
      <w:r>
        <w:rPr>
          <w:sz w:val="21"/>
        </w:rPr>
        <mc:AlternateContent>
          <mc:Choice Requires="wps">
            <w:drawing>
              <wp:anchor distT="0" distB="0" distL="114300" distR="114300" simplePos="0" relativeHeight="251689984" behindDoc="1" locked="0" layoutInCell="1" allowOverlap="1">
                <wp:simplePos x="0" y="0"/>
                <wp:positionH relativeFrom="column">
                  <wp:posOffset>4166235</wp:posOffset>
                </wp:positionH>
                <wp:positionV relativeFrom="paragraph">
                  <wp:posOffset>1056005</wp:posOffset>
                </wp:positionV>
                <wp:extent cx="819150" cy="323850"/>
                <wp:effectExtent l="5080" t="4445" r="13970" b="433705"/>
                <wp:wrapNone/>
                <wp:docPr id="183" name="矩形标注 183"/>
                <wp:cNvGraphicFramePr/>
                <a:graphic xmlns:a="http://schemas.openxmlformats.org/drawingml/2006/main">
                  <a:graphicData uri="http://schemas.microsoft.com/office/word/2010/wordprocessingShape">
                    <wps:wsp>
                      <wps:cNvSpPr/>
                      <wps:spPr>
                        <a:xfrm>
                          <a:off x="0" y="0"/>
                          <a:ext cx="819150" cy="323850"/>
                        </a:xfrm>
                        <a:prstGeom prst="wedgeRectCallout">
                          <a:avLst>
                            <a:gd name="adj1" fmla="val -33255"/>
                            <a:gd name="adj2" fmla="val 175884"/>
                          </a:avLst>
                        </a:prstGeom>
                        <a:solidFill>
                          <a:srgbClr val="FFFFFF"/>
                        </a:solidFill>
                        <a:ln w="9525" cap="flat" cmpd="sng">
                          <a:solidFill>
                            <a:srgbClr val="000000"/>
                          </a:solidFill>
                          <a:prstDash val="solid"/>
                          <a:miter/>
                          <a:headEnd type="none" w="med" len="med"/>
                          <a:tailEnd type="none" w="med" len="med"/>
                        </a:ln>
                      </wps:spPr>
                      <wps:txbx>
                        <w:txbxContent>
                          <w:p w14:paraId="63A59EB3">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328.05pt;margin-top:83.15pt;height:25.5pt;width:64.5pt;z-index:-251626496;mso-width-relative:page;mso-height-relative:page;" fillcolor="#FFFFFF" filled="t" stroked="t" coordsize="21600,21600" o:gfxdata="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Bzi9hN1wAAAAsBAAAPAAAAAAAAAAEAIAAAACIAAABkcnMvZG93&#10;bnJldi54bWxQSwECFAAUAAAACACHTuJADW9J3DoCAACRBAAADgAAAAAAAAABACAAAAAmAQAAZHJz&#10;L2Uyb0RvYy54bWxQSwUGAAAAAAYABgBZAQAA0gUAAAAA&#10;" adj="3617,48791">
                <v:fill on="t" focussize="0,0"/>
                <v:stroke color="#000000" joinstyle="miter"/>
                <v:imagedata o:title=""/>
                <o:lock v:ext="edit" aspectratio="f"/>
                <v:textbox>
                  <w:txbxContent>
                    <w:p w14:paraId="63A59EB3">
                      <w:pPr>
                        <w:rPr>
                          <w:rFonts w:hint="eastAsia" w:eastAsia="宋体"/>
                          <w:lang w:eastAsia="zh-CN"/>
                        </w:rPr>
                      </w:pPr>
                      <w:r>
                        <w:rPr>
                          <w:rFonts w:hint="eastAsia"/>
                          <w:lang w:eastAsia="zh-CN"/>
                        </w:rPr>
                        <w:t>项目位置</w:t>
                      </w:r>
                    </w:p>
                  </w:txbxContent>
                </v:textbox>
              </v:shape>
            </w:pict>
          </mc:Fallback>
        </mc:AlternateContent>
      </w:r>
      <w:r>
        <w:rPr>
          <w:sz w:val="28"/>
        </w:rPr>
        <mc:AlternateContent>
          <mc:Choice Requires="wps">
            <w:drawing>
              <wp:anchor distT="0" distB="0" distL="114300" distR="114300" simplePos="0" relativeHeight="251694080" behindDoc="1" locked="0" layoutInCell="1" allowOverlap="1">
                <wp:simplePos x="0" y="0"/>
                <wp:positionH relativeFrom="column">
                  <wp:posOffset>2381885</wp:posOffset>
                </wp:positionH>
                <wp:positionV relativeFrom="paragraph">
                  <wp:posOffset>1817370</wp:posOffset>
                </wp:positionV>
                <wp:extent cx="904875" cy="400050"/>
                <wp:effectExtent l="4445" t="5080" r="557530" b="13970"/>
                <wp:wrapNone/>
                <wp:docPr id="184" name="圆角矩形标注 184"/>
                <wp:cNvGraphicFramePr/>
                <a:graphic xmlns:a="http://schemas.openxmlformats.org/drawingml/2006/main">
                  <a:graphicData uri="http://schemas.microsoft.com/office/word/2010/wordprocessingShape">
                    <wps:wsp>
                      <wps:cNvSpPr/>
                      <wps:spPr>
                        <a:xfrm>
                          <a:off x="0" y="0"/>
                          <a:ext cx="904875" cy="400050"/>
                        </a:xfrm>
                        <a:prstGeom prst="wedgeRoundRectCallout">
                          <a:avLst>
                            <a:gd name="adj1" fmla="val 106773"/>
                            <a:gd name="adj2" fmla="val -41903"/>
                            <a:gd name="adj3" fmla="val 16667"/>
                          </a:avLst>
                        </a:prstGeom>
                        <a:solidFill>
                          <a:srgbClr val="FFFF00"/>
                        </a:solidFill>
                        <a:ln w="9525" cap="flat" cmpd="sng">
                          <a:solidFill>
                            <a:srgbClr val="000000"/>
                          </a:solidFill>
                          <a:prstDash val="solid"/>
                          <a:miter/>
                          <a:headEnd type="none" w="med" len="med"/>
                          <a:tailEnd type="none" w="med" len="med"/>
                        </a:ln>
                      </wps:spPr>
                      <wps:txbx>
                        <w:txbxContent>
                          <w:p w14:paraId="5AD58F73">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2" type="#_x0000_t62" style="position:absolute;left:0pt;margin-left:187.55pt;margin-top:143.1pt;height:31.5pt;width:71.25pt;z-index:-251622400;mso-width-relative:page;mso-height-relative:page;" fillcolor="#FFFF00" filled="t" stroked="t" coordsize="21600,21600" o:gfxdata="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CGer5h1wAAAAsB&#10;AAAPAAAAAAAAAAEAIAAAACIAAABkcnMvZG93bnJldi54bWxQSwECFAAUAAAACACHTuJAHsLRA1UC&#10;AADABAAADgAAAAAAAAABACAAAAAmAQAAZHJzL2Uyb0RvYy54bWxQSwUGAAAAAAYABgBZAQAA7QUA&#10;AAAA&#10;" adj="33863,1749,14400">
                <v:fill on="t" focussize="0,0"/>
                <v:stroke color="#000000" joinstyle="miter"/>
                <v:imagedata o:title=""/>
                <o:lock v:ext="edit" aspectratio="f"/>
                <v:textbox>
                  <w:txbxContent>
                    <w:p w14:paraId="5AD58F73">
                      <w:pPr>
                        <w:rPr>
                          <w:rFonts w:hint="eastAsia" w:eastAsia="宋体"/>
                          <w:lang w:eastAsia="zh-CN"/>
                        </w:rPr>
                      </w:pPr>
                      <w:r>
                        <w:rPr>
                          <w:rFonts w:hint="eastAsia"/>
                          <w:lang w:eastAsia="zh-CN"/>
                        </w:rPr>
                        <w:t>项目位置</w:t>
                      </w:r>
                    </w:p>
                  </w:txbxContent>
                </v:textbox>
              </v:shape>
            </w:pict>
          </mc:Fallback>
        </mc:AlternateContent>
      </w:r>
      <w:r>
        <w:rPr>
          <w:rFonts w:hint="default" w:ascii="Times New Roman" w:hAnsi="Times New Roman" w:cs="Times New Roman"/>
          <w:color w:val="auto"/>
          <w:sz w:val="28"/>
          <w:lang w:eastAsia="zh-CN"/>
        </w:rPr>
        <w:drawing>
          <wp:inline distT="0" distB="0" distL="114300" distR="114300">
            <wp:extent cx="8820150" cy="5360035"/>
            <wp:effectExtent l="0" t="0" r="0" b="12065"/>
            <wp:docPr id="185" name="图片 11" descr="城市规划区范围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1" descr="城市规划区范围图"/>
                    <pic:cNvPicPr>
                      <a:picLocks noChangeAspect="1"/>
                    </pic:cNvPicPr>
                  </pic:nvPicPr>
                  <pic:blipFill>
                    <a:blip r:embed="rId39"/>
                    <a:stretch>
                      <a:fillRect/>
                    </a:stretch>
                  </pic:blipFill>
                  <pic:spPr>
                    <a:xfrm>
                      <a:off x="0" y="0"/>
                      <a:ext cx="8820150" cy="5360035"/>
                    </a:xfrm>
                    <a:prstGeom prst="rect">
                      <a:avLst/>
                    </a:prstGeom>
                    <a:noFill/>
                    <a:ln>
                      <a:noFill/>
                    </a:ln>
                  </pic:spPr>
                </pic:pic>
              </a:graphicData>
            </a:graphic>
          </wp:inline>
        </w:drawing>
      </w:r>
    </w:p>
    <w:p w14:paraId="65C5A37B">
      <w:pPr>
        <w:jc w:val="center"/>
        <w:rPr>
          <w:rFonts w:hint="eastAsia" w:eastAsia="宋体"/>
          <w:b/>
          <w:bCs/>
          <w:sz w:val="24"/>
          <w:szCs w:val="24"/>
          <w:lang w:eastAsia="zh-CN"/>
        </w:rPr>
      </w:pPr>
      <w:r>
        <w:rPr>
          <w:rFonts w:hint="eastAsia"/>
          <w:b/>
          <w:bCs/>
          <w:sz w:val="24"/>
          <w:szCs w:val="24"/>
          <w:lang w:eastAsia="zh-CN"/>
        </w:rPr>
        <w:t>附图</w:t>
      </w:r>
      <w:r>
        <w:rPr>
          <w:rFonts w:hint="eastAsia"/>
          <w:b/>
          <w:bCs/>
          <w:sz w:val="24"/>
          <w:szCs w:val="24"/>
          <w:lang w:val="en-US" w:eastAsia="zh-CN"/>
        </w:rPr>
        <w:t>三  项目与城市总体规划的位置关系</w:t>
      </w:r>
    </w:p>
    <w:p w14:paraId="1B1EE6BA">
      <w:pPr>
        <w:pStyle w:val="2"/>
        <w:jc w:val="center"/>
        <w:rPr>
          <w:rFonts w:hint="eastAsia"/>
          <w:lang w:eastAsia="zh-CN"/>
        </w:rPr>
      </w:pPr>
      <w:r>
        <w:rPr>
          <w:sz w:val="21"/>
        </w:rPr>
        <mc:AlternateContent>
          <mc:Choice Requires="wps">
            <w:drawing>
              <wp:anchor distT="0" distB="0" distL="114300" distR="114300" simplePos="0" relativeHeight="251668480" behindDoc="0" locked="0" layoutInCell="1" allowOverlap="1">
                <wp:simplePos x="0" y="0"/>
                <wp:positionH relativeFrom="column">
                  <wp:posOffset>5101590</wp:posOffset>
                </wp:positionH>
                <wp:positionV relativeFrom="paragraph">
                  <wp:posOffset>1264285</wp:posOffset>
                </wp:positionV>
                <wp:extent cx="819150" cy="323850"/>
                <wp:effectExtent l="5080" t="4445" r="13970" b="281305"/>
                <wp:wrapNone/>
                <wp:docPr id="186" name="矩形标注 186"/>
                <wp:cNvGraphicFramePr/>
                <a:graphic xmlns:a="http://schemas.openxmlformats.org/drawingml/2006/main">
                  <a:graphicData uri="http://schemas.microsoft.com/office/word/2010/wordprocessingShape">
                    <wps:wsp>
                      <wps:cNvSpPr/>
                      <wps:spPr>
                        <a:xfrm>
                          <a:off x="0" y="0"/>
                          <a:ext cx="819150" cy="323850"/>
                        </a:xfrm>
                        <a:prstGeom prst="wedgeRectCallout">
                          <a:avLst>
                            <a:gd name="adj1" fmla="val -39069"/>
                            <a:gd name="adj2" fmla="val 131764"/>
                          </a:avLst>
                        </a:prstGeom>
                        <a:solidFill>
                          <a:srgbClr val="FFFFFF"/>
                        </a:solidFill>
                        <a:ln w="9525" cap="flat" cmpd="sng">
                          <a:solidFill>
                            <a:srgbClr val="000000"/>
                          </a:solidFill>
                          <a:prstDash val="solid"/>
                          <a:miter/>
                          <a:headEnd type="none" w="med" len="med"/>
                          <a:tailEnd type="none" w="med" len="med"/>
                        </a:ln>
                      </wps:spPr>
                      <wps:txbx>
                        <w:txbxContent>
                          <w:p w14:paraId="4045B6D6">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401.7pt;margin-top:99.55pt;height:25.5pt;width:64.5pt;z-index:251668480;mso-width-relative:page;mso-height-relative:page;" fillcolor="#FFFFFF" filled="t" stroked="t" coordsize="21600,21600" o:gfxdata="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IBsrHdgAAAALAQAADwAAAAAAAAABACAAAAAiAAAAZHJzL2Rv&#10;d25yZXYueG1sUEsBAhQAFAAAAAgAh07iQDSD25A6AgAAkQQAAA4AAAAAAAAAAQAgAAAAJwEAAGRy&#10;cy9lMm9Eb2MueG1sUEsFBgAAAAAGAAYAWQEAANMFAAAAAA==&#10;" adj="2361,39261">
                <v:fill on="t" focussize="0,0"/>
                <v:stroke color="#000000" joinstyle="miter"/>
                <v:imagedata o:title=""/>
                <o:lock v:ext="edit" aspectratio="f"/>
                <v:textbox>
                  <w:txbxContent>
                    <w:p w14:paraId="4045B6D6">
                      <w:pPr>
                        <w:rPr>
                          <w:rFonts w:hint="eastAsia" w:eastAsia="宋体"/>
                          <w:lang w:eastAsia="zh-CN"/>
                        </w:rPr>
                      </w:pPr>
                      <w:r>
                        <w:rPr>
                          <w:rFonts w:hint="eastAsia"/>
                          <w:lang w:eastAsia="zh-CN"/>
                        </w:rPr>
                        <w:t>项目位置</w:t>
                      </w:r>
                    </w:p>
                  </w:txbxContent>
                </v:textbox>
              </v:shape>
            </w:pict>
          </mc:Fallback>
        </mc:AlternateContent>
      </w:r>
      <w:r>
        <w:rPr>
          <w:sz w:val="24"/>
        </w:rPr>
        <mc:AlternateContent>
          <mc:Choice Requires="wps">
            <w:drawing>
              <wp:anchor distT="0" distB="0" distL="114300" distR="114300" simplePos="0" relativeHeight="251700224" behindDoc="1" locked="0" layoutInCell="1" allowOverlap="1">
                <wp:simplePos x="0" y="0"/>
                <wp:positionH relativeFrom="column">
                  <wp:posOffset>2794635</wp:posOffset>
                </wp:positionH>
                <wp:positionV relativeFrom="paragraph">
                  <wp:posOffset>1417320</wp:posOffset>
                </wp:positionV>
                <wp:extent cx="830580" cy="373380"/>
                <wp:effectExtent l="4445" t="5080" r="422275" b="21590"/>
                <wp:wrapNone/>
                <wp:docPr id="187" name="圆角矩形标注 187"/>
                <wp:cNvGraphicFramePr/>
                <a:graphic xmlns:a="http://schemas.openxmlformats.org/drawingml/2006/main">
                  <a:graphicData uri="http://schemas.microsoft.com/office/word/2010/wordprocessingShape">
                    <wps:wsp>
                      <wps:cNvSpPr/>
                      <wps:spPr>
                        <a:xfrm>
                          <a:off x="0" y="0"/>
                          <a:ext cx="830580" cy="373380"/>
                        </a:xfrm>
                        <a:prstGeom prst="wedgeRoundRectCallout">
                          <a:avLst>
                            <a:gd name="adj1" fmla="val 94250"/>
                            <a:gd name="adj2" fmla="val -7481"/>
                            <a:gd name="adj3" fmla="val 16667"/>
                          </a:avLst>
                        </a:prstGeom>
                        <a:solidFill>
                          <a:srgbClr val="FF0000"/>
                        </a:solidFill>
                        <a:ln w="9525" cap="flat" cmpd="sng">
                          <a:solidFill>
                            <a:srgbClr val="000000"/>
                          </a:solidFill>
                          <a:prstDash val="solid"/>
                          <a:miter/>
                          <a:headEnd type="none" w="med" len="med"/>
                          <a:tailEnd type="none" w="med" len="med"/>
                        </a:ln>
                      </wps:spPr>
                      <wps:txbx>
                        <w:txbxContent>
                          <w:p w14:paraId="50F24DAD">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2" type="#_x0000_t62" style="position:absolute;left:0pt;margin-left:220.05pt;margin-top:111.6pt;height:29.4pt;width:65.4pt;z-index:-251616256;mso-width-relative:page;mso-height-relative:page;" fillcolor="#FF0000" filled="t" stroked="t" coordsize="21600,21600" o:gfxdata="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5HhtgNkAAAAL&#10;AQAADwAAAAAAAAABACAAAAAiAAAAZHJzL2Rvd25yZXYueG1sUEsBAhQAFAAAAAgAh07iQEa05wdU&#10;AgAAvgQAAA4AAAAAAAAAAQAgAAAAKAEAAGRycy9lMm9Eb2MueG1sUEsFBgAAAAAGAAYAWQEAAO4F&#10;AAAAAA==&#10;" adj="31158,9184,14400">
                <v:fill on="t" focussize="0,0"/>
                <v:stroke color="#000000" joinstyle="miter"/>
                <v:imagedata o:title=""/>
                <o:lock v:ext="edit" aspectratio="f"/>
                <v:textbox>
                  <w:txbxContent>
                    <w:p w14:paraId="50F24DAD">
                      <w:pPr>
                        <w:rPr>
                          <w:rFonts w:hint="eastAsia" w:eastAsia="宋体"/>
                          <w:lang w:eastAsia="zh-CN"/>
                        </w:rPr>
                      </w:pPr>
                      <w:r>
                        <w:rPr>
                          <w:rFonts w:hint="eastAsia"/>
                          <w:lang w:eastAsia="zh-CN"/>
                        </w:rPr>
                        <w:t>项目位置</w:t>
                      </w:r>
                    </w:p>
                  </w:txbxContent>
                </v:textbox>
              </v:shape>
            </w:pict>
          </mc:Fallback>
        </mc:AlternateContent>
      </w:r>
      <w:r>
        <w:rPr>
          <w:sz w:val="24"/>
        </w:rPr>
        <mc:AlternateContent>
          <mc:Choice Requires="wps">
            <w:drawing>
              <wp:anchor distT="0" distB="0" distL="114300" distR="114300" simplePos="0" relativeHeight="251699200" behindDoc="1" locked="0" layoutInCell="1" allowOverlap="1">
                <wp:simplePos x="0" y="0"/>
                <wp:positionH relativeFrom="column">
                  <wp:posOffset>2817495</wp:posOffset>
                </wp:positionH>
                <wp:positionV relativeFrom="paragraph">
                  <wp:posOffset>5387340</wp:posOffset>
                </wp:positionV>
                <wp:extent cx="3618230" cy="419100"/>
                <wp:effectExtent l="4445" t="5080" r="15875" b="13970"/>
                <wp:wrapNone/>
                <wp:docPr id="188" name="文本框 188"/>
                <wp:cNvGraphicFramePr/>
                <a:graphic xmlns:a="http://schemas.openxmlformats.org/drawingml/2006/main">
                  <a:graphicData uri="http://schemas.microsoft.com/office/word/2010/wordprocessingShape">
                    <wps:wsp>
                      <wps:cNvSpPr txBox="1"/>
                      <wps:spPr>
                        <a:xfrm>
                          <a:off x="0" y="0"/>
                          <a:ext cx="3618230" cy="4191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8AFE7C3">
                            <w:pPr>
                              <w:spacing w:line="360" w:lineRule="auto"/>
                              <w:jc w:val="center"/>
                              <w:rPr>
                                <w:b/>
                                <w:bCs/>
                                <w:sz w:val="24"/>
                              </w:rPr>
                            </w:pPr>
                            <w:r>
                              <w:rPr>
                                <w:rFonts w:hint="eastAsia"/>
                                <w:b/>
                                <w:bCs/>
                                <w:sz w:val="24"/>
                                <w:lang w:eastAsia="zh-CN"/>
                              </w:rPr>
                              <w:t>附图四</w:t>
                            </w:r>
                            <w:r>
                              <w:rPr>
                                <w:rFonts w:hint="eastAsia"/>
                                <w:b/>
                                <w:bCs/>
                                <w:sz w:val="24"/>
                                <w:lang w:val="en-US" w:eastAsia="zh-CN"/>
                              </w:rPr>
                              <w:t xml:space="preserve"> </w:t>
                            </w:r>
                            <w:r>
                              <w:rPr>
                                <w:b/>
                                <w:bCs/>
                                <w:sz w:val="24"/>
                              </w:rPr>
                              <w:t>项目</w:t>
                            </w:r>
                            <w:r>
                              <w:rPr>
                                <w:rFonts w:hint="eastAsia"/>
                                <w:b/>
                                <w:bCs/>
                                <w:sz w:val="24"/>
                              </w:rPr>
                              <w:t>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p w14:paraId="79913EF6"/>
                        </w:txbxContent>
                      </wps:txbx>
                      <wps:bodyPr upright="1"/>
                    </wps:wsp>
                  </a:graphicData>
                </a:graphic>
              </wp:anchor>
            </w:drawing>
          </mc:Choice>
          <mc:Fallback>
            <w:pict>
              <v:shape id="_x0000_s1026" o:spid="_x0000_s1026" o:spt="202" type="#_x0000_t202" style="position:absolute;left:0pt;margin-left:221.85pt;margin-top:424.2pt;height:33pt;width:284.9pt;z-index:-251617280;mso-width-relative:page;mso-height-relative:page;" fillcolor="#FFFFFF" filled="t" stroked="t" coordsize="21600,21600" o:gfxdata="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3tjfrdkAAAAMAQAADwAAAAAAAAAB&#10;ACAAAAAiAAAAZHJzL2Rvd25yZXYueG1sUEsBAhQAFAAAAAgAh07iQG0KvDUPAgAAOgQAAA4AAAAA&#10;AAAAAQAgAAAAKAEAAGRycy9lMm9Eb2MueG1sUEsFBgAAAAAGAAYAWQEAAKkFAAAAAA==&#10;">
                <v:fill on="t" focussize="0,0"/>
                <v:stroke color="#000000" joinstyle="miter"/>
                <v:imagedata o:title=""/>
                <o:lock v:ext="edit" aspectratio="f"/>
                <v:textbox>
                  <w:txbxContent>
                    <w:p w14:paraId="38AFE7C3">
                      <w:pPr>
                        <w:spacing w:line="360" w:lineRule="auto"/>
                        <w:jc w:val="center"/>
                        <w:rPr>
                          <w:b/>
                          <w:bCs/>
                          <w:sz w:val="24"/>
                        </w:rPr>
                      </w:pPr>
                      <w:r>
                        <w:rPr>
                          <w:rFonts w:hint="eastAsia"/>
                          <w:b/>
                          <w:bCs/>
                          <w:sz w:val="24"/>
                          <w:lang w:eastAsia="zh-CN"/>
                        </w:rPr>
                        <w:t>附图四</w:t>
                      </w:r>
                      <w:r>
                        <w:rPr>
                          <w:rFonts w:hint="eastAsia"/>
                          <w:b/>
                          <w:bCs/>
                          <w:sz w:val="24"/>
                          <w:lang w:val="en-US" w:eastAsia="zh-CN"/>
                        </w:rPr>
                        <w:t xml:space="preserve"> </w:t>
                      </w:r>
                      <w:r>
                        <w:rPr>
                          <w:b/>
                          <w:bCs/>
                          <w:sz w:val="24"/>
                        </w:rPr>
                        <w:t>项目</w:t>
                      </w:r>
                      <w:r>
                        <w:rPr>
                          <w:rFonts w:hint="eastAsia"/>
                          <w:b/>
                          <w:bCs/>
                          <w:sz w:val="24"/>
                        </w:rPr>
                        <w:t>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p w14:paraId="79913EF6"/>
                  </w:txbxContent>
                </v:textbox>
              </v:shape>
            </w:pict>
          </mc:Fallback>
        </mc:AlternateContent>
      </w:r>
      <w:r>
        <w:rPr>
          <w:rFonts w:hint="default" w:ascii="Times New Roman" w:hAnsi="Times New Roman" w:cs="Times New Roman"/>
          <w:color w:val="auto"/>
          <w:sz w:val="24"/>
        </w:rPr>
        <w:drawing>
          <wp:inline distT="0" distB="0" distL="114300" distR="114300">
            <wp:extent cx="8719820" cy="5861685"/>
            <wp:effectExtent l="0" t="0" r="5080" b="5715"/>
            <wp:docPr id="189" name="图片 12"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12" descr="图片"/>
                    <pic:cNvPicPr>
                      <a:picLocks noChangeAspect="1"/>
                    </pic:cNvPicPr>
                  </pic:nvPicPr>
                  <pic:blipFill>
                    <a:blip r:embed="rId40"/>
                    <a:srcRect l="966" t="1518" r="752" b="5013"/>
                    <a:stretch>
                      <a:fillRect/>
                    </a:stretch>
                  </pic:blipFill>
                  <pic:spPr>
                    <a:xfrm>
                      <a:off x="0" y="0"/>
                      <a:ext cx="8719820" cy="5861685"/>
                    </a:xfrm>
                    <a:prstGeom prst="rect">
                      <a:avLst/>
                    </a:prstGeom>
                    <a:noFill/>
                    <a:ln>
                      <a:noFill/>
                    </a:ln>
                  </pic:spPr>
                </pic:pic>
              </a:graphicData>
            </a:graphic>
          </wp:inline>
        </w:drawing>
      </w:r>
      <w:r>
        <w:rPr>
          <w:rFonts w:hint="default" w:ascii="Times New Roman" w:hAnsi="Times New Roman" w:eastAsia="黑体" w:cs="Times New Roman"/>
          <w:bCs/>
          <w:color w:val="auto"/>
          <w:sz w:val="24"/>
        </w:rPr>
        <mc:AlternateContent>
          <mc:Choice Requires="wps">
            <w:drawing>
              <wp:anchor distT="0" distB="0" distL="114300" distR="114300" simplePos="0" relativeHeight="251677696" behindDoc="0" locked="0" layoutInCell="1" allowOverlap="1">
                <wp:simplePos x="0" y="0"/>
                <wp:positionH relativeFrom="column">
                  <wp:posOffset>2419350</wp:posOffset>
                </wp:positionH>
                <wp:positionV relativeFrom="paragraph">
                  <wp:posOffset>5526405</wp:posOffset>
                </wp:positionV>
                <wp:extent cx="3685540" cy="381000"/>
                <wp:effectExtent l="0" t="0" r="0" b="0"/>
                <wp:wrapNone/>
                <wp:docPr id="190" name="文本框 190"/>
                <wp:cNvGraphicFramePr/>
                <a:graphic xmlns:a="http://schemas.openxmlformats.org/drawingml/2006/main">
                  <a:graphicData uri="http://schemas.microsoft.com/office/word/2010/wordprocessingShape">
                    <wps:wsp>
                      <wps:cNvSpPr txBox="1"/>
                      <wps:spPr>
                        <a:xfrm>
                          <a:off x="0" y="0"/>
                          <a:ext cx="3676650" cy="381000"/>
                        </a:xfrm>
                        <a:prstGeom prst="rect">
                          <a:avLst/>
                        </a:prstGeom>
                        <a:noFill/>
                        <a:ln w="9525">
                          <a:noFill/>
                        </a:ln>
                        <a:effectLst/>
                      </wps:spPr>
                      <wps:txbx>
                        <w:txbxContent>
                          <w:p w14:paraId="3C9C736F">
                            <w:pPr>
                              <w:spacing w:line="360" w:lineRule="auto"/>
                              <w:jc w:val="center"/>
                              <w:rPr>
                                <w:b/>
                                <w:bCs/>
                                <w:sz w:val="24"/>
                              </w:rPr>
                            </w:pPr>
                            <w:r>
                              <w:rPr>
                                <w:rFonts w:hint="eastAsia"/>
                                <w:b/>
                                <w:bCs/>
                                <w:sz w:val="24"/>
                                <w:lang w:eastAsia="zh-CN"/>
                              </w:rPr>
                              <w:t>附图四</w:t>
                            </w:r>
                            <w:r>
                              <w:rPr>
                                <w:rFonts w:hint="eastAsia"/>
                                <w:b/>
                                <w:bCs/>
                                <w:sz w:val="24"/>
                                <w:lang w:val="en-US" w:eastAsia="zh-CN"/>
                              </w:rPr>
                              <w:t xml:space="preserve"> </w:t>
                            </w:r>
                            <w:r>
                              <w:rPr>
                                <w:b/>
                                <w:bCs/>
                                <w:sz w:val="24"/>
                              </w:rPr>
                              <w:t>项目</w:t>
                            </w:r>
                            <w:r>
                              <w:rPr>
                                <w:rFonts w:hint="eastAsia"/>
                                <w:b/>
                                <w:bCs/>
                                <w:sz w:val="24"/>
                              </w:rPr>
                              <w:t>位置与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txbxContent>
                      </wps:txbx>
                      <wps:bodyPr wrap="square" upright="1"/>
                    </wps:wsp>
                  </a:graphicData>
                </a:graphic>
              </wp:anchor>
            </w:drawing>
          </mc:Choice>
          <mc:Fallback>
            <w:pict>
              <v:shape id="_x0000_s1026" o:spid="_x0000_s1026" o:spt="202" type="#_x0000_t202" style="position:absolute;left:0pt;margin-left:190.5pt;margin-top:435.15pt;height:30pt;width:290.2pt;z-index:251677696;mso-width-relative:page;mso-height-relative:page;" filled="f" stroked="f" coordsize="21600,21600" o:gfxdata="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PTFDNPYAAAACwEAAA8AAAAAAAAAAQAgAAAAIgAAAGRycy9kb3du&#10;cmV2LnhtbFBLAQIUABQAAAAIAIdO4kCLQl40xgEAAHcDAAAOAAAAAAAAAAEAIAAAACcBAABkcnMv&#10;ZTJvRG9jLnhtbFBLBQYAAAAABgAGAFkBAABfBQAAAAA=&#10;">
                <v:fill on="f" focussize="0,0"/>
                <v:stroke on="f"/>
                <v:imagedata o:title=""/>
                <o:lock v:ext="edit" aspectratio="f"/>
                <v:textbox>
                  <w:txbxContent>
                    <w:p w14:paraId="3C9C736F">
                      <w:pPr>
                        <w:spacing w:line="360" w:lineRule="auto"/>
                        <w:jc w:val="center"/>
                        <w:rPr>
                          <w:b/>
                          <w:bCs/>
                          <w:sz w:val="24"/>
                        </w:rPr>
                      </w:pPr>
                      <w:r>
                        <w:rPr>
                          <w:rFonts w:hint="eastAsia"/>
                          <w:b/>
                          <w:bCs/>
                          <w:sz w:val="24"/>
                          <w:lang w:eastAsia="zh-CN"/>
                        </w:rPr>
                        <w:t>附图四</w:t>
                      </w:r>
                      <w:r>
                        <w:rPr>
                          <w:rFonts w:hint="eastAsia"/>
                          <w:b/>
                          <w:bCs/>
                          <w:sz w:val="24"/>
                          <w:lang w:val="en-US" w:eastAsia="zh-CN"/>
                        </w:rPr>
                        <w:t xml:space="preserve"> </w:t>
                      </w:r>
                      <w:r>
                        <w:rPr>
                          <w:b/>
                          <w:bCs/>
                          <w:sz w:val="24"/>
                        </w:rPr>
                        <w:t>项目</w:t>
                      </w:r>
                      <w:r>
                        <w:rPr>
                          <w:rFonts w:hint="eastAsia"/>
                          <w:b/>
                          <w:bCs/>
                          <w:sz w:val="24"/>
                        </w:rPr>
                        <w:t>位置与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txbxContent>
                </v:textbox>
              </v:shape>
            </w:pict>
          </mc:Fallback>
        </mc:AlternateContent>
      </w:r>
    </w:p>
    <w:p w14:paraId="6F0BFB58">
      <w:pPr>
        <w:ind w:right="210" w:rightChars="100"/>
        <w:jc w:val="center"/>
        <w:rPr>
          <w:rFonts w:hint="eastAsia" w:eastAsia="宋体"/>
          <w:lang w:eastAsia="zh-CN"/>
        </w:rPr>
      </w:pPr>
      <w:r>
        <w:rPr>
          <w:rFonts w:hint="default" w:ascii="Times New Roman" w:hAnsi="Times New Roman" w:cs="Times New Roman"/>
          <w:color w:val="auto"/>
        </w:rPr>
        <w:drawing>
          <wp:anchor distT="0" distB="0" distL="114300" distR="114300" simplePos="0" relativeHeight="251661312" behindDoc="0" locked="0" layoutInCell="1" allowOverlap="1">
            <wp:simplePos x="0" y="0"/>
            <wp:positionH relativeFrom="column">
              <wp:posOffset>8405495</wp:posOffset>
            </wp:positionH>
            <wp:positionV relativeFrom="page">
              <wp:posOffset>909320</wp:posOffset>
            </wp:positionV>
            <wp:extent cx="712470" cy="648335"/>
            <wp:effectExtent l="0" t="0" r="11430" b="18415"/>
            <wp:wrapNone/>
            <wp:docPr id="191" name="图片 245" descr="威海风频（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245" descr="威海风频（新）"/>
                    <pic:cNvPicPr>
                      <a:picLocks noChangeAspect="1"/>
                    </pic:cNvPicPr>
                  </pic:nvPicPr>
                  <pic:blipFill>
                    <a:blip r:embed="rId36"/>
                    <a:stretch>
                      <a:fillRect/>
                    </a:stretch>
                  </pic:blipFill>
                  <pic:spPr>
                    <a:xfrm>
                      <a:off x="0" y="0"/>
                      <a:ext cx="712470" cy="648335"/>
                    </a:xfrm>
                    <a:prstGeom prst="rect">
                      <a:avLst/>
                    </a:prstGeom>
                    <a:noFill/>
                    <a:ln>
                      <a:noFill/>
                    </a:ln>
                  </pic:spPr>
                </pic:pic>
              </a:graphicData>
            </a:graphic>
          </wp:anchor>
        </w:drawing>
      </w:r>
      <w:r>
        <w:rPr>
          <w:sz w:val="21"/>
        </w:rPr>
        <mc:AlternateContent>
          <mc:Choice Requires="wps">
            <w:drawing>
              <wp:anchor distT="0" distB="0" distL="114300" distR="114300" simplePos="0" relativeHeight="251676672" behindDoc="0" locked="0" layoutInCell="1" allowOverlap="1">
                <wp:simplePos x="0" y="0"/>
                <wp:positionH relativeFrom="column">
                  <wp:posOffset>4323715</wp:posOffset>
                </wp:positionH>
                <wp:positionV relativeFrom="paragraph">
                  <wp:posOffset>3159760</wp:posOffset>
                </wp:positionV>
                <wp:extent cx="809625" cy="313690"/>
                <wp:effectExtent l="73660" t="140335" r="12065" b="22225"/>
                <wp:wrapNone/>
                <wp:docPr id="192" name="矩形标注 192"/>
                <wp:cNvGraphicFramePr/>
                <a:graphic xmlns:a="http://schemas.openxmlformats.org/drawingml/2006/main">
                  <a:graphicData uri="http://schemas.microsoft.com/office/word/2010/wordprocessingShape">
                    <wps:wsp>
                      <wps:cNvSpPr/>
                      <wps:spPr>
                        <a:xfrm>
                          <a:off x="0" y="0"/>
                          <a:ext cx="809625" cy="313690"/>
                        </a:xfrm>
                        <a:prstGeom prst="wedgeRectCallout">
                          <a:avLst>
                            <a:gd name="adj1" fmla="val -55486"/>
                            <a:gd name="adj2" fmla="val -89995"/>
                          </a:avLst>
                        </a:prstGeom>
                        <a:solidFill>
                          <a:srgbClr val="FFFFFF"/>
                        </a:solidFill>
                        <a:ln w="9525" cap="flat" cmpd="sng">
                          <a:solidFill>
                            <a:srgbClr val="000000"/>
                          </a:solidFill>
                          <a:prstDash val="solid"/>
                          <a:miter/>
                          <a:headEnd type="none" w="med" len="med"/>
                          <a:tailEnd type="none" w="med" len="med"/>
                        </a:ln>
                      </wps:spPr>
                      <wps:txbx>
                        <w:txbxContent>
                          <w:p w14:paraId="0A8F9DBB">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1" type="#_x0000_t61" style="position:absolute;left:0pt;margin-left:340.45pt;margin-top:248.8pt;height:24.7pt;width:63.75pt;z-index:251676672;mso-width-relative:page;mso-height-relative:page;" fillcolor="#FFFFFF" filled="t" stroked="t" coordsize="21600,21600" o:gfxdata="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JxJuk2gAAAAsBAAAPAAAAAAAAAAEAIAAAACIAAABkcnMv&#10;ZG93bnJldi54bWxQSwECFAAUAAAACACHTuJAfFG0/ToCAACRBAAADgAAAAAAAAABACAAAAApAQAA&#10;ZHJzL2Uyb0RvYy54bWxQSwUGAAAAAAYABgBZAQAA1QUAAAAA&#10;" adj="-1185,-8639">
                <v:fill on="t" focussize="0,0"/>
                <v:stroke color="#000000" joinstyle="miter"/>
                <v:imagedata o:title=""/>
                <o:lock v:ext="edit" aspectratio="f"/>
                <v:textbox>
                  <w:txbxContent>
                    <w:p w14:paraId="0A8F9DBB">
                      <w:pPr>
                        <w:rPr>
                          <w:rFonts w:hint="eastAsia" w:eastAsia="宋体"/>
                          <w:lang w:eastAsia="zh-CN"/>
                        </w:rPr>
                      </w:pPr>
                      <w:r>
                        <w:rPr>
                          <w:rFonts w:hint="eastAsia"/>
                          <w:lang w:eastAsia="zh-CN"/>
                        </w:rPr>
                        <w:t>项目位置</w:t>
                      </w:r>
                    </w:p>
                  </w:txbxContent>
                </v:textbox>
              </v:shape>
            </w:pict>
          </mc:Fallback>
        </mc:AlternateContent>
      </w:r>
      <w:r>
        <w:rPr>
          <w:sz w:val="21"/>
        </w:rPr>
        <mc:AlternateContent>
          <mc:Choice Requires="wps">
            <w:drawing>
              <wp:anchor distT="0" distB="0" distL="114300" distR="114300" simplePos="0" relativeHeight="251675648" behindDoc="0" locked="0" layoutInCell="1" allowOverlap="1">
                <wp:simplePos x="0" y="0"/>
                <wp:positionH relativeFrom="column">
                  <wp:posOffset>4037965</wp:posOffset>
                </wp:positionH>
                <wp:positionV relativeFrom="paragraph">
                  <wp:posOffset>2959735</wp:posOffset>
                </wp:positionV>
                <wp:extent cx="247650" cy="85090"/>
                <wp:effectExtent l="4445" t="4445" r="14605" b="5715"/>
                <wp:wrapNone/>
                <wp:docPr id="193" name="矩形 193"/>
                <wp:cNvGraphicFramePr/>
                <a:graphic xmlns:a="http://schemas.openxmlformats.org/drawingml/2006/main">
                  <a:graphicData uri="http://schemas.microsoft.com/office/word/2010/wordprocessingShape">
                    <wps:wsp>
                      <wps:cNvSpPr/>
                      <wps:spPr>
                        <a:xfrm>
                          <a:off x="0" y="0"/>
                          <a:ext cx="247650" cy="85090"/>
                        </a:xfrm>
                        <a:prstGeom prst="rect">
                          <a:avLst/>
                        </a:prstGeom>
                        <a:solidFill>
                          <a:srgbClr val="FF0000"/>
                        </a:solidFill>
                        <a:ln w="9525" cap="flat" cmpd="sng">
                          <a:solidFill>
                            <a:srgbClr val="000000"/>
                          </a:solidFill>
                          <a:prstDash val="solid"/>
                          <a:miter/>
                          <a:headEnd type="none" w="med" len="med"/>
                          <a:tailEnd type="none" w="med" len="med"/>
                        </a:ln>
                      </wps:spPr>
                      <wps:bodyPr upright="1"/>
                    </wps:wsp>
                  </a:graphicData>
                </a:graphic>
              </wp:anchor>
            </w:drawing>
          </mc:Choice>
          <mc:Fallback>
            <w:pict>
              <v:rect id="_x0000_s1026" o:spid="_x0000_s1026" o:spt="1" style="position:absolute;left:0pt;margin-left:317.95pt;margin-top:233.05pt;height:6.7pt;width:19.5pt;z-index:251675648;mso-width-relative:page;mso-height-relative:page;" fillcolor="#FF0000" filled="t" stroked="t" coordsize="21600,21600" o:gfxdata="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AvHKPtgAAAALAQAADwAAAAAAAAABACAAAAAiAAAAZHJzL2Rvd25y&#10;ZXYueG1sUEsBAhQAFAAAAAgAh07iQKBGmZz+AQAAIAQAAA4AAAAAAAAAAQAgAAAAJwEAAGRycy9l&#10;Mm9Eb2MueG1sUEsFBgAAAAAGAAYAWQEAAJcFAAAAAA==&#10;">
                <v:fill on="t" focussize="0,0"/>
                <v:stroke color="#000000" joinstyle="miter"/>
                <v:imagedata o:title=""/>
                <o:lock v:ext="edit" aspectratio="f"/>
              </v:rect>
            </w:pict>
          </mc:Fallback>
        </mc:AlternateContent>
      </w:r>
      <w:r>
        <w:rPr>
          <w:sz w:val="21"/>
        </w:rPr>
        <mc:AlternateContent>
          <mc:Choice Requires="wps">
            <w:drawing>
              <wp:anchor distT="0" distB="0" distL="114300" distR="114300" simplePos="0" relativeHeight="251674624" behindDoc="0" locked="0" layoutInCell="1" allowOverlap="1">
                <wp:simplePos x="0" y="0"/>
                <wp:positionH relativeFrom="column">
                  <wp:posOffset>2980690</wp:posOffset>
                </wp:positionH>
                <wp:positionV relativeFrom="paragraph">
                  <wp:posOffset>3893185</wp:posOffset>
                </wp:positionV>
                <wp:extent cx="790575" cy="323850"/>
                <wp:effectExtent l="4445" t="4445" r="5080" b="14605"/>
                <wp:wrapNone/>
                <wp:docPr id="194" name="矩形 194"/>
                <wp:cNvGraphicFramePr/>
                <a:graphic xmlns:a="http://schemas.openxmlformats.org/drawingml/2006/main">
                  <a:graphicData uri="http://schemas.microsoft.com/office/word/2010/wordprocessingShape">
                    <wps:wsp>
                      <wps:cNvSpPr/>
                      <wps:spPr>
                        <a:xfrm>
                          <a:off x="0" y="0"/>
                          <a:ext cx="790575" cy="3238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06A64BD">
                            <w:pPr>
                              <w:rPr>
                                <w:rFonts w:hint="eastAsia" w:eastAsia="宋体"/>
                                <w:lang w:eastAsia="zh-CN"/>
                              </w:rPr>
                            </w:pPr>
                            <w:r>
                              <w:rPr>
                                <w:rFonts w:hint="eastAsia"/>
                                <w:lang w:eastAsia="zh-CN"/>
                              </w:rPr>
                              <w:t>小南山村</w:t>
                            </w:r>
                          </w:p>
                        </w:txbxContent>
                      </wps:txbx>
                      <wps:bodyPr upright="1"/>
                    </wps:wsp>
                  </a:graphicData>
                </a:graphic>
              </wp:anchor>
            </w:drawing>
          </mc:Choice>
          <mc:Fallback>
            <w:pict>
              <v:rect id="_x0000_s1026" o:spid="_x0000_s1026" o:spt="1" style="position:absolute;left:0pt;margin-left:234.7pt;margin-top:306.55pt;height:25.5pt;width:62.25pt;z-index:251674624;mso-width-relative:page;mso-height-relative:page;" fillcolor="#FFFFFF" filled="t" stroked="t" coordsize="21600,21600" o:gfxdata="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Tk22L2QAAAAsBAAAPAAAAAAAAAAEAIAAAACIAAABk&#10;cnMvZG93bnJldi54bWxQSwECFAAUAAAACACHTuJAJKFZ5wUCAAAsBAAADgAAAAAAAAABACAAAAAo&#10;AQAAZHJzL2Uyb0RvYy54bWxQSwUGAAAAAAYABgBZAQAAnwUAAAAA&#10;">
                <v:fill on="t" focussize="0,0"/>
                <v:stroke color="#000000" joinstyle="miter"/>
                <v:imagedata o:title=""/>
                <o:lock v:ext="edit" aspectratio="f"/>
                <v:textbox>
                  <w:txbxContent>
                    <w:p w14:paraId="006A64BD">
                      <w:pPr>
                        <w:rPr>
                          <w:rFonts w:hint="eastAsia" w:eastAsia="宋体"/>
                          <w:lang w:eastAsia="zh-CN"/>
                        </w:rPr>
                      </w:pPr>
                      <w:r>
                        <w:rPr>
                          <w:rFonts w:hint="eastAsia"/>
                          <w:lang w:eastAsia="zh-CN"/>
                        </w:rPr>
                        <w:t>小南山村</w:t>
                      </w:r>
                    </w:p>
                  </w:txbxContent>
                </v:textbox>
              </v:rect>
            </w:pict>
          </mc:Fallback>
        </mc:AlternateContent>
      </w:r>
      <w:r>
        <w:rPr>
          <w:sz w:val="21"/>
        </w:rPr>
        <mc:AlternateContent>
          <mc:Choice Requires="wps">
            <w:drawing>
              <wp:anchor distT="0" distB="0" distL="114300" distR="114300" simplePos="0" relativeHeight="251673600" behindDoc="0" locked="0" layoutInCell="1" allowOverlap="1">
                <wp:simplePos x="0" y="0"/>
                <wp:positionH relativeFrom="column">
                  <wp:posOffset>4285615</wp:posOffset>
                </wp:positionH>
                <wp:positionV relativeFrom="paragraph">
                  <wp:posOffset>1607185</wp:posOffset>
                </wp:positionV>
                <wp:extent cx="1028700" cy="323850"/>
                <wp:effectExtent l="4445" t="4445" r="14605" b="14605"/>
                <wp:wrapNone/>
                <wp:docPr id="195" name="矩形 195"/>
                <wp:cNvGraphicFramePr/>
                <a:graphic xmlns:a="http://schemas.openxmlformats.org/drawingml/2006/main">
                  <a:graphicData uri="http://schemas.microsoft.com/office/word/2010/wordprocessingShape">
                    <wps:wsp>
                      <wps:cNvSpPr/>
                      <wps:spPr>
                        <a:xfrm>
                          <a:off x="0" y="0"/>
                          <a:ext cx="1028700" cy="3238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3858E28">
                            <w:pPr>
                              <w:rPr>
                                <w:rFonts w:hint="eastAsia" w:eastAsia="宋体"/>
                                <w:lang w:eastAsia="zh-CN"/>
                              </w:rPr>
                            </w:pPr>
                            <w:r>
                              <w:rPr>
                                <w:rFonts w:hint="eastAsia"/>
                                <w:lang w:eastAsia="zh-CN"/>
                              </w:rPr>
                              <w:t>威胜南苑泉都</w:t>
                            </w:r>
                          </w:p>
                        </w:txbxContent>
                      </wps:txbx>
                      <wps:bodyPr upright="1"/>
                    </wps:wsp>
                  </a:graphicData>
                </a:graphic>
              </wp:anchor>
            </w:drawing>
          </mc:Choice>
          <mc:Fallback>
            <w:pict>
              <v:rect id="_x0000_s1026" o:spid="_x0000_s1026" o:spt="1" style="position:absolute;left:0pt;margin-left:337.45pt;margin-top:126.55pt;height:25.5pt;width:81pt;z-index:251673600;mso-width-relative:page;mso-height-relative:page;" fillcolor="#FFFFFF" filled="t" stroked="t" coordsize="21600,21600" o:gfxdata="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4QSMNkAAAALAQAADwAAAAAAAAABACAAAAAiAAAA&#10;ZHJzL2Rvd25yZXYueG1sUEsBAhQAFAAAAAgAh07iQBubi7kGAgAALQQAAA4AAAAAAAAAAQAgAAAA&#10;KAEAAGRycy9lMm9Eb2MueG1sUEsFBgAAAAAGAAYAWQEAAKAFAAAAAA==&#10;">
                <v:fill on="t" focussize="0,0"/>
                <v:stroke color="#000000" joinstyle="miter"/>
                <v:imagedata o:title=""/>
                <o:lock v:ext="edit" aspectratio="f"/>
                <v:textbox>
                  <w:txbxContent>
                    <w:p w14:paraId="23858E28">
                      <w:pPr>
                        <w:rPr>
                          <w:rFonts w:hint="eastAsia" w:eastAsia="宋体"/>
                          <w:lang w:eastAsia="zh-CN"/>
                        </w:rPr>
                      </w:pPr>
                      <w:r>
                        <w:rPr>
                          <w:rFonts w:hint="eastAsia"/>
                          <w:lang w:eastAsia="zh-CN"/>
                        </w:rPr>
                        <w:t>威胜南苑泉都</w:t>
                      </w:r>
                    </w:p>
                  </w:txbxContent>
                </v:textbox>
              </v:rect>
            </w:pict>
          </mc:Fallback>
        </mc:AlternateContent>
      </w:r>
      <w:r>
        <w:rPr>
          <w:sz w:val="21"/>
        </w:rPr>
        <mc:AlternateContent>
          <mc:Choice Requires="wps">
            <w:drawing>
              <wp:anchor distT="0" distB="0" distL="114300" distR="114300" simplePos="0" relativeHeight="251672576" behindDoc="0" locked="0" layoutInCell="1" allowOverlap="1">
                <wp:simplePos x="0" y="0"/>
                <wp:positionH relativeFrom="column">
                  <wp:posOffset>3428365</wp:posOffset>
                </wp:positionH>
                <wp:positionV relativeFrom="paragraph">
                  <wp:posOffset>2178685</wp:posOffset>
                </wp:positionV>
                <wp:extent cx="790575" cy="323850"/>
                <wp:effectExtent l="4445" t="4445" r="5080" b="14605"/>
                <wp:wrapNone/>
                <wp:docPr id="196" name="矩形 196"/>
                <wp:cNvGraphicFramePr/>
                <a:graphic xmlns:a="http://schemas.openxmlformats.org/drawingml/2006/main">
                  <a:graphicData uri="http://schemas.microsoft.com/office/word/2010/wordprocessingShape">
                    <wps:wsp>
                      <wps:cNvSpPr/>
                      <wps:spPr>
                        <a:xfrm>
                          <a:off x="0" y="0"/>
                          <a:ext cx="790575" cy="3238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0B6C0D9">
                            <w:pPr>
                              <w:rPr>
                                <w:rFonts w:hint="eastAsia" w:eastAsia="宋体"/>
                                <w:lang w:eastAsia="zh-CN"/>
                              </w:rPr>
                            </w:pPr>
                            <w:r>
                              <w:rPr>
                                <w:rFonts w:hint="eastAsia"/>
                                <w:lang w:eastAsia="zh-CN"/>
                              </w:rPr>
                              <w:t>刘家台村</w:t>
                            </w:r>
                          </w:p>
                        </w:txbxContent>
                      </wps:txbx>
                      <wps:bodyPr upright="1"/>
                    </wps:wsp>
                  </a:graphicData>
                </a:graphic>
              </wp:anchor>
            </w:drawing>
          </mc:Choice>
          <mc:Fallback>
            <w:pict>
              <v:rect id="_x0000_s1026" o:spid="_x0000_s1026" o:spt="1" style="position:absolute;left:0pt;margin-left:269.95pt;margin-top:171.55pt;height:25.5pt;width:62.25pt;z-index:251672576;mso-width-relative:page;mso-height-relative:page;" fillcolor="#FFFFFF" filled="t" stroked="t" coordsize="21600,21600" o:gfxdata="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kLCFt2QAAAAsBAAAPAAAAAAAAAAEAIAAAACIAAABk&#10;cnMvZG93bnJldi54bWxQSwECFAAUAAAACACHTuJAIAxTKwUCAAAsBAAADgAAAAAAAAABACAAAAAo&#10;AQAAZHJzL2Uyb0RvYy54bWxQSwUGAAAAAAYABgBZAQAAnwUAAAAA&#10;">
                <v:fill on="t" focussize="0,0"/>
                <v:stroke color="#000000" joinstyle="miter"/>
                <v:imagedata o:title=""/>
                <o:lock v:ext="edit" aspectratio="f"/>
                <v:textbox>
                  <w:txbxContent>
                    <w:p w14:paraId="10B6C0D9">
                      <w:pPr>
                        <w:rPr>
                          <w:rFonts w:hint="eastAsia" w:eastAsia="宋体"/>
                          <w:lang w:eastAsia="zh-CN"/>
                        </w:rPr>
                      </w:pPr>
                      <w:r>
                        <w:rPr>
                          <w:rFonts w:hint="eastAsia"/>
                          <w:lang w:eastAsia="zh-CN"/>
                        </w:rPr>
                        <w:t>刘家台村</w:t>
                      </w:r>
                    </w:p>
                  </w:txbxContent>
                </v:textbox>
              </v:rect>
            </w:pict>
          </mc:Fallback>
        </mc:AlternateContent>
      </w:r>
      <w:r>
        <w:rPr>
          <w:sz w:val="21"/>
        </w:rPr>
        <mc:AlternateContent>
          <mc:Choice Requires="wps">
            <w:drawing>
              <wp:anchor distT="0" distB="0" distL="114300" distR="114300" simplePos="0" relativeHeight="251671552" behindDoc="0" locked="0" layoutInCell="1" allowOverlap="1">
                <wp:simplePos x="0" y="0"/>
                <wp:positionH relativeFrom="column">
                  <wp:posOffset>4104640</wp:posOffset>
                </wp:positionH>
                <wp:positionV relativeFrom="paragraph">
                  <wp:posOffset>1216660</wp:posOffset>
                </wp:positionV>
                <wp:extent cx="895350" cy="914400"/>
                <wp:effectExtent l="4445" t="4445" r="14605" b="14605"/>
                <wp:wrapNone/>
                <wp:docPr id="197" name="任意多边形 197"/>
                <wp:cNvGraphicFramePr/>
                <a:graphic xmlns:a="http://schemas.openxmlformats.org/drawingml/2006/main">
                  <a:graphicData uri="http://schemas.microsoft.com/office/word/2010/wordprocessingShape">
                    <wps:wsp>
                      <wps:cNvSpPr/>
                      <wps:spPr>
                        <a:xfrm>
                          <a:off x="0" y="0"/>
                          <a:ext cx="895350" cy="914400"/>
                        </a:xfrm>
                        <a:custGeom>
                          <a:avLst/>
                          <a:gdLst/>
                          <a:ahLst/>
                          <a:cxnLst/>
                          <a:pathLst>
                            <a:path w="1410" h="1440">
                              <a:moveTo>
                                <a:pt x="330" y="0"/>
                              </a:moveTo>
                              <a:lnTo>
                                <a:pt x="0" y="705"/>
                              </a:lnTo>
                              <a:lnTo>
                                <a:pt x="180" y="705"/>
                              </a:lnTo>
                              <a:lnTo>
                                <a:pt x="180" y="1380"/>
                              </a:lnTo>
                              <a:lnTo>
                                <a:pt x="1410" y="1440"/>
                              </a:lnTo>
                              <a:lnTo>
                                <a:pt x="1215" y="540"/>
                              </a:lnTo>
                              <a:lnTo>
                                <a:pt x="330" y="0"/>
                              </a:lnTo>
                              <a:close/>
                            </a:path>
                          </a:pathLst>
                        </a:custGeom>
                        <a:solidFill>
                          <a:srgbClr val="FF0000">
                            <a:alpha val="43999"/>
                          </a:srgbClr>
                        </a:solidFill>
                        <a:ln w="9525" cap="flat" cmpd="sng">
                          <a:solidFill>
                            <a:srgbClr val="000000"/>
                          </a:solidFill>
                          <a:prstDash val="solid"/>
                          <a:headEnd type="none" w="med" len="med"/>
                          <a:tailEnd type="none" w="med" len="med"/>
                        </a:ln>
                      </wps:spPr>
                      <wps:bodyPr upright="1"/>
                    </wps:wsp>
                  </a:graphicData>
                </a:graphic>
              </wp:anchor>
            </w:drawing>
          </mc:Choice>
          <mc:Fallback>
            <w:pict>
              <v:shape id="_x0000_s1026" o:spid="_x0000_s1026" o:spt="100" style="position:absolute;left:0pt;margin-left:323.2pt;margin-top:95.8pt;height:72pt;width:70.5pt;z-index:251671552;mso-width-relative:page;mso-height-relative:page;" fillcolor="#FF0000" filled="t" stroked="t" coordsize="1410,1440" o:gfxdata="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GlCqcbaAAAACwEAAA8AAAAAAAAAAQAg&#10;AAAAIgAAAGRycy9kb3ducmV2LnhtbFBLAQIUABQAAAAIAIdO4kBvSE4kfgIAALIFAAAOAAAAAAAA&#10;AAEAIAAAACkBAABkcnMvZTJvRG9jLnhtbFBLBQYAAAAABgAGAFkBAAAZBgAAAAA=&#10;" path="m330,0l0,705,180,705,180,1380,1410,1440,1215,540,330,0xe">
                <v:fill on="t" opacity="28835f" focussize="0,0"/>
                <v:stroke color="#000000" joinstyle="round"/>
                <v:imagedata o:title=""/>
                <o:lock v:ext="edit" aspectratio="f"/>
              </v:shape>
            </w:pict>
          </mc:Fallback>
        </mc:AlternateContent>
      </w:r>
      <w:r>
        <w:rPr>
          <w:sz w:val="21"/>
        </w:rPr>
        <mc:AlternateContent>
          <mc:Choice Requires="wps">
            <w:drawing>
              <wp:anchor distT="0" distB="0" distL="114300" distR="114300" simplePos="0" relativeHeight="251670528" behindDoc="0" locked="0" layoutInCell="1" allowOverlap="1">
                <wp:simplePos x="0" y="0"/>
                <wp:positionH relativeFrom="column">
                  <wp:posOffset>2885440</wp:posOffset>
                </wp:positionH>
                <wp:positionV relativeFrom="paragraph">
                  <wp:posOffset>3797935</wp:posOffset>
                </wp:positionV>
                <wp:extent cx="962025" cy="638175"/>
                <wp:effectExtent l="4445" t="4445" r="5080" b="5080"/>
                <wp:wrapNone/>
                <wp:docPr id="198" name="任意多边形 198"/>
                <wp:cNvGraphicFramePr/>
                <a:graphic xmlns:a="http://schemas.openxmlformats.org/drawingml/2006/main">
                  <a:graphicData uri="http://schemas.microsoft.com/office/word/2010/wordprocessingShape">
                    <wps:wsp>
                      <wps:cNvSpPr/>
                      <wps:spPr>
                        <a:xfrm>
                          <a:off x="0" y="0"/>
                          <a:ext cx="962025" cy="638175"/>
                        </a:xfrm>
                        <a:custGeom>
                          <a:avLst/>
                          <a:gdLst/>
                          <a:ahLst/>
                          <a:cxnLst/>
                          <a:pathLst>
                            <a:path w="1515" h="1005">
                              <a:moveTo>
                                <a:pt x="0" y="300"/>
                              </a:moveTo>
                              <a:lnTo>
                                <a:pt x="525" y="225"/>
                              </a:lnTo>
                              <a:lnTo>
                                <a:pt x="540" y="120"/>
                              </a:lnTo>
                              <a:lnTo>
                                <a:pt x="690" y="120"/>
                              </a:lnTo>
                              <a:lnTo>
                                <a:pt x="675" y="195"/>
                              </a:lnTo>
                              <a:lnTo>
                                <a:pt x="1455" y="0"/>
                              </a:lnTo>
                              <a:lnTo>
                                <a:pt x="1515" y="555"/>
                              </a:lnTo>
                              <a:lnTo>
                                <a:pt x="1425" y="555"/>
                              </a:lnTo>
                              <a:lnTo>
                                <a:pt x="1425" y="600"/>
                              </a:lnTo>
                              <a:lnTo>
                                <a:pt x="930" y="735"/>
                              </a:lnTo>
                              <a:lnTo>
                                <a:pt x="960" y="1005"/>
                              </a:lnTo>
                              <a:lnTo>
                                <a:pt x="675" y="1005"/>
                              </a:lnTo>
                              <a:lnTo>
                                <a:pt x="615" y="810"/>
                              </a:lnTo>
                              <a:lnTo>
                                <a:pt x="0" y="870"/>
                              </a:lnTo>
                              <a:lnTo>
                                <a:pt x="0" y="510"/>
                              </a:lnTo>
                              <a:lnTo>
                                <a:pt x="45" y="495"/>
                              </a:lnTo>
                              <a:lnTo>
                                <a:pt x="0" y="300"/>
                              </a:lnTo>
                              <a:close/>
                            </a:path>
                          </a:pathLst>
                        </a:custGeom>
                        <a:solidFill>
                          <a:srgbClr val="FF0000">
                            <a:alpha val="43999"/>
                          </a:srgbClr>
                        </a:solidFill>
                        <a:ln w="9525" cap="flat" cmpd="sng">
                          <a:solidFill>
                            <a:srgbClr val="000000"/>
                          </a:solidFill>
                          <a:prstDash val="solid"/>
                          <a:headEnd type="none" w="med" len="med"/>
                          <a:tailEnd type="none" w="med" len="med"/>
                        </a:ln>
                      </wps:spPr>
                      <wps:bodyPr upright="1"/>
                    </wps:wsp>
                  </a:graphicData>
                </a:graphic>
              </wp:anchor>
            </w:drawing>
          </mc:Choice>
          <mc:Fallback>
            <w:pict>
              <v:shape id="_x0000_s1026" o:spid="_x0000_s1026" o:spt="100" style="position:absolute;left:0pt;margin-left:227.2pt;margin-top:299.05pt;height:50.25pt;width:75.75pt;z-index:251670528;mso-width-relative:page;mso-height-relative:page;" fillcolor="#FF0000" filled="t" stroked="t" coordsize="1515,1005" o:gfxdata="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D&#10;mpAJ2gAAAAsBAAAPAAAAAAAAAAEAIAAAACIAAABkcnMvZG93bnJldi54bWxQSwECFAAUAAAACACH&#10;TuJAN+yqes0CAAA/BwAADgAAAAAAAAABACAAAAApAQAAZHJzL2Uyb0RvYy54bWxQSwUGAAAAAAYA&#10;BgBZAQAAaAYAAAAA&#10;" path="m0,300l525,225,540,120,690,120,675,195,1455,0,1515,555,1425,555,1425,600,930,735,960,1005,675,1005,615,810,0,870,0,510,45,495,0,300xe">
                <v:fill on="t" opacity="28835f" focussize="0,0"/>
                <v:stroke color="#000000" joinstyle="round"/>
                <v:imagedata o:title=""/>
                <o:lock v:ext="edit" aspectratio="f"/>
              </v:shape>
            </w:pict>
          </mc:Fallback>
        </mc:AlternateContent>
      </w:r>
      <w:r>
        <w:rPr>
          <w:sz w:val="21"/>
        </w:rPr>
        <mc:AlternateContent>
          <mc:Choice Requires="wps">
            <w:drawing>
              <wp:anchor distT="0" distB="0" distL="114300" distR="114300" simplePos="0" relativeHeight="251669504" behindDoc="0" locked="0" layoutInCell="1" allowOverlap="1">
                <wp:simplePos x="0" y="0"/>
                <wp:positionH relativeFrom="column">
                  <wp:posOffset>3447415</wp:posOffset>
                </wp:positionH>
                <wp:positionV relativeFrom="paragraph">
                  <wp:posOffset>1711960</wp:posOffset>
                </wp:positionV>
                <wp:extent cx="952500" cy="1200150"/>
                <wp:effectExtent l="4445" t="4445" r="14605" b="14605"/>
                <wp:wrapNone/>
                <wp:docPr id="199" name="任意多边形 199"/>
                <wp:cNvGraphicFramePr/>
                <a:graphic xmlns:a="http://schemas.openxmlformats.org/drawingml/2006/main">
                  <a:graphicData uri="http://schemas.microsoft.com/office/word/2010/wordprocessingShape">
                    <wps:wsp>
                      <wps:cNvSpPr/>
                      <wps:spPr>
                        <a:xfrm>
                          <a:off x="0" y="0"/>
                          <a:ext cx="952500" cy="1200150"/>
                        </a:xfrm>
                        <a:custGeom>
                          <a:avLst/>
                          <a:gdLst/>
                          <a:ahLst/>
                          <a:cxnLst/>
                          <a:pathLst>
                            <a:path w="1500" h="1890">
                              <a:moveTo>
                                <a:pt x="105" y="135"/>
                              </a:moveTo>
                              <a:lnTo>
                                <a:pt x="1155" y="0"/>
                              </a:lnTo>
                              <a:lnTo>
                                <a:pt x="1200" y="720"/>
                              </a:lnTo>
                              <a:lnTo>
                                <a:pt x="1500" y="720"/>
                              </a:lnTo>
                              <a:lnTo>
                                <a:pt x="1500" y="1575"/>
                              </a:lnTo>
                              <a:lnTo>
                                <a:pt x="900" y="1575"/>
                              </a:lnTo>
                              <a:lnTo>
                                <a:pt x="870" y="1890"/>
                              </a:lnTo>
                              <a:lnTo>
                                <a:pt x="0" y="1830"/>
                              </a:lnTo>
                              <a:lnTo>
                                <a:pt x="105" y="135"/>
                              </a:lnTo>
                              <a:close/>
                            </a:path>
                          </a:pathLst>
                        </a:custGeom>
                        <a:solidFill>
                          <a:srgbClr val="FF0000">
                            <a:alpha val="43999"/>
                          </a:srgbClr>
                        </a:solidFill>
                        <a:ln w="9525" cap="flat" cmpd="sng">
                          <a:solidFill>
                            <a:srgbClr val="000000"/>
                          </a:solidFill>
                          <a:prstDash val="solid"/>
                          <a:headEnd type="none" w="med" len="med"/>
                          <a:tailEnd type="none" w="med" len="med"/>
                        </a:ln>
                      </wps:spPr>
                      <wps:bodyPr upright="1"/>
                    </wps:wsp>
                  </a:graphicData>
                </a:graphic>
              </wp:anchor>
            </w:drawing>
          </mc:Choice>
          <mc:Fallback>
            <w:pict>
              <v:shape id="_x0000_s1026" o:spid="_x0000_s1026" o:spt="100" style="position:absolute;left:0pt;margin-left:271.45pt;margin-top:134.8pt;height:94.5pt;width:75pt;z-index:251669504;mso-width-relative:page;mso-height-relative:page;" fillcolor="#FF0000" filled="t" stroked="t" coordsize="1500,1890" o:gfxdata="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" path="m105,135l1155,0,1200,720,1500,720,1500,1575,900,1575,870,1890,0,1830,105,135xe">
                <v:fill on="t" opacity="28835f" focussize="0,0"/>
                <v:stroke color="#000000" joinstyle="round"/>
                <v:imagedata o:title=""/>
                <o:lock v:ext="edit" aspectratio="f"/>
              </v:shape>
            </w:pict>
          </mc:Fallback>
        </mc:AlternateContent>
      </w:r>
      <w:r>
        <w:rPr>
          <w:sz w:val="21"/>
        </w:rPr>
        <mc:AlternateContent>
          <mc:Choice Requires="wps">
            <w:drawing>
              <wp:anchor distT="0" distB="0" distL="114300" distR="114300" simplePos="0" relativeHeight="251692032" behindDoc="1" locked="0" layoutInCell="1" allowOverlap="1">
                <wp:simplePos x="0" y="0"/>
                <wp:positionH relativeFrom="column">
                  <wp:posOffset>7328535</wp:posOffset>
                </wp:positionH>
                <wp:positionV relativeFrom="paragraph">
                  <wp:posOffset>4387850</wp:posOffset>
                </wp:positionV>
                <wp:extent cx="781685" cy="314325"/>
                <wp:effectExtent l="5080" t="4445" r="13335" b="5080"/>
                <wp:wrapNone/>
                <wp:docPr id="200" name="矩形 200"/>
                <wp:cNvGraphicFramePr/>
                <a:graphic xmlns:a="http://schemas.openxmlformats.org/drawingml/2006/main">
                  <a:graphicData uri="http://schemas.microsoft.com/office/word/2010/wordprocessingShape">
                    <wps:wsp>
                      <wps:cNvSpPr/>
                      <wps:spPr>
                        <a:xfrm>
                          <a:off x="0" y="0"/>
                          <a:ext cx="781685" cy="3143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847CF0A">
                            <w:pPr>
                              <w:rPr>
                                <w:rFonts w:hint="eastAsia" w:eastAsia="宋体"/>
                                <w:lang w:eastAsia="zh-CN"/>
                              </w:rPr>
                            </w:pPr>
                            <w:r>
                              <w:rPr>
                                <w:rFonts w:hint="eastAsia"/>
                                <w:lang w:eastAsia="zh-CN"/>
                              </w:rPr>
                              <w:t>王家河村</w:t>
                            </w:r>
                          </w:p>
                        </w:txbxContent>
                      </wps:txbx>
                      <wps:bodyPr upright="1"/>
                    </wps:wsp>
                  </a:graphicData>
                </a:graphic>
              </wp:anchor>
            </w:drawing>
          </mc:Choice>
          <mc:Fallback>
            <w:pict>
              <v:rect id="_x0000_s1026" o:spid="_x0000_s1026" o:spt="1" style="position:absolute;left:0pt;margin-left:577.05pt;margin-top:345.5pt;height:24.75pt;width:61.55pt;z-index:-251624448;mso-width-relative:page;mso-height-relative:page;" fillcolor="#FFFFFF" filled="t" stroked="t" coordsize="21600,21600" o:gfxdata="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q39oe2gAAAA0BAAAPAAAAAAAAAAEAIAAAACIAAABkcnMv&#10;ZG93bnJldi54bWxQSwECFAAUAAAACACHTuJAg/+q/QECAAAsBAAADgAAAAAAAAABACAAAAApAQAA&#10;ZHJzL2Uyb0RvYy54bWxQSwUGAAAAAAYABgBZAQAAnAUAAAAA&#10;">
                <v:fill on="t" focussize="0,0"/>
                <v:stroke color="#000000" joinstyle="miter"/>
                <v:imagedata o:title=""/>
                <o:lock v:ext="edit" aspectratio="f"/>
                <v:textbox>
                  <w:txbxContent>
                    <w:p w14:paraId="4847CF0A">
                      <w:pPr>
                        <w:rPr>
                          <w:rFonts w:hint="eastAsia" w:eastAsia="宋体"/>
                          <w:lang w:eastAsia="zh-CN"/>
                        </w:rPr>
                      </w:pPr>
                      <w:r>
                        <w:rPr>
                          <w:rFonts w:hint="eastAsia"/>
                          <w:lang w:eastAsia="zh-CN"/>
                        </w:rPr>
                        <w:t>王家河村</w:t>
                      </w:r>
                    </w:p>
                  </w:txbxContent>
                </v:textbox>
              </v:rect>
            </w:pict>
          </mc:Fallback>
        </mc:AlternateContent>
      </w:r>
      <w:r>
        <w:rPr>
          <w:sz w:val="21"/>
        </w:rPr>
        <mc:AlternateContent>
          <mc:Choice Requires="wps">
            <w:drawing>
              <wp:anchor distT="0" distB="0" distL="114300" distR="114300" simplePos="0" relativeHeight="251691008" behindDoc="1" locked="0" layoutInCell="1" allowOverlap="1">
                <wp:simplePos x="0" y="0"/>
                <wp:positionH relativeFrom="column">
                  <wp:posOffset>4242435</wp:posOffset>
                </wp:positionH>
                <wp:positionV relativeFrom="paragraph">
                  <wp:posOffset>1483995</wp:posOffset>
                </wp:positionV>
                <wp:extent cx="85725" cy="95250"/>
                <wp:effectExtent l="12700" t="17780" r="15875" b="20320"/>
                <wp:wrapNone/>
                <wp:docPr id="201" name="五角星 201"/>
                <wp:cNvGraphicFramePr/>
                <a:graphic xmlns:a="http://schemas.openxmlformats.org/drawingml/2006/main">
                  <a:graphicData uri="http://schemas.microsoft.com/office/word/2010/wordprocessingShape">
                    <wps:wsp>
                      <wps:cNvSpPr/>
                      <wps:spPr>
                        <a:xfrm>
                          <a:off x="0" y="0"/>
                          <a:ext cx="85725" cy="95250"/>
                        </a:xfrm>
                        <a:prstGeom prst="star5">
                          <a:avLst/>
                        </a:prstGeom>
                        <a:solidFill>
                          <a:srgbClr val="FF0000"/>
                        </a:solidFill>
                        <a:ln w="9525" cap="flat" cmpd="sng">
                          <a:solidFill>
                            <a:srgbClr val="FF0000"/>
                          </a:solidFill>
                          <a:prstDash val="solid"/>
                          <a:miter/>
                          <a:headEnd type="none" w="med" len="med"/>
                          <a:tailEnd type="none" w="med" len="med"/>
                        </a:ln>
                      </wps:spPr>
                      <wps:bodyPr upright="1"/>
                    </wps:wsp>
                  </a:graphicData>
                </a:graphic>
              </wp:anchor>
            </w:drawing>
          </mc:Choice>
          <mc:Fallback>
            <w:pict>
              <v:shape id="_x0000_s1026" o:spid="_x0000_s1026" style="position:absolute;left:0pt;margin-left:334.05pt;margin-top:116.85pt;height:7.5pt;width:6.75pt;z-index:-251625472;mso-width-relative:page;mso-height-relative:page;" fillcolor="#FF0000" filled="t" stroked="t" coordsize="85725,95250" o:gfxdata="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NaN7znYAAAACwEAAA8AAAAAAAAAAQAgAAAAIgAAAGRycy9kb3ducmV2&#10;LnhtbFBLAQIUABQAAAAIAIdO4kAQkuzm/AEAACMEAAAOAAAAAAAAAAEAIAAAACcBAABkcnMvZTJv&#10;RG9jLnhtbFBLBQYAAAAABgAGAFkBAACVBQAAAAA=&#10;" path="m0,36382l32744,36382,42862,0,52980,36382,85724,36382,59234,58867,69352,95249,42862,72764,16372,95249,26490,58867xe">
                <v:path o:connectlocs="42862,0;0,36382;16372,95249;69352,95249;85724,36382" o:connectangles="247,164,82,82,0"/>
                <v:fill on="t" focussize="0,0"/>
                <v:stroke color="#FF0000" joinstyle="miter"/>
                <v:imagedata o:title=""/>
                <o:lock v:ext="edit" aspectratio="f"/>
              </v:shape>
            </w:pict>
          </mc:Fallback>
        </mc:AlternateContent>
      </w:r>
      <w:r>
        <w:rPr>
          <w:sz w:val="21"/>
        </w:rPr>
        <mc:AlternateContent>
          <mc:Choice Requires="wps">
            <w:drawing>
              <wp:anchor distT="0" distB="0" distL="114300" distR="114300" simplePos="0" relativeHeight="251688960" behindDoc="1" locked="0" layoutInCell="1" allowOverlap="1">
                <wp:simplePos x="0" y="0"/>
                <wp:positionH relativeFrom="column">
                  <wp:posOffset>3183255</wp:posOffset>
                </wp:positionH>
                <wp:positionV relativeFrom="paragraph">
                  <wp:posOffset>3856355</wp:posOffset>
                </wp:positionV>
                <wp:extent cx="1264285" cy="281940"/>
                <wp:effectExtent l="0" t="0" r="0" b="0"/>
                <wp:wrapNone/>
                <wp:docPr id="202" name="文本框 202"/>
                <wp:cNvGraphicFramePr/>
                <a:graphic xmlns:a="http://schemas.openxmlformats.org/drawingml/2006/main">
                  <a:graphicData uri="http://schemas.microsoft.com/office/word/2010/wordprocessingShape">
                    <wps:wsp>
                      <wps:cNvSpPr txBox="1"/>
                      <wps:spPr>
                        <a:xfrm>
                          <a:off x="0" y="0"/>
                          <a:ext cx="1264285" cy="281940"/>
                        </a:xfrm>
                        <a:prstGeom prst="rect">
                          <a:avLst/>
                        </a:prstGeom>
                        <a:noFill/>
                        <a:ln>
                          <a:noFill/>
                        </a:ln>
                      </wps:spPr>
                      <wps:txbx>
                        <w:txbxContent>
                          <w:p w14:paraId="49C5A9E2">
                            <w:pPr>
                              <w:rPr>
                                <w:rFonts w:hint="default" w:eastAsia="宋体"/>
                                <w:b/>
                                <w:bCs/>
                                <w:color w:val="FFFF00"/>
                                <w:highlight w:val="red"/>
                                <w:lang w:val="en-US" w:eastAsia="zh-CN"/>
                              </w:rPr>
                            </w:pPr>
                            <w:r>
                              <w:rPr>
                                <w:rFonts w:hint="eastAsia"/>
                                <w:b/>
                                <w:bCs/>
                                <w:color w:val="FFFF00"/>
                                <w:highlight w:val="red"/>
                                <w:lang w:eastAsia="zh-CN"/>
                              </w:rPr>
                              <w:t>鹿道口村</w:t>
                            </w:r>
                            <w:r>
                              <w:rPr>
                                <w:rFonts w:hint="eastAsia"/>
                                <w:b/>
                                <w:bCs/>
                                <w:color w:val="FFFF00"/>
                                <w:highlight w:val="red"/>
                                <w:lang w:val="en-US" w:eastAsia="zh-CN"/>
                              </w:rPr>
                              <w:t>850m</w:t>
                            </w:r>
                          </w:p>
                        </w:txbxContent>
                      </wps:txbx>
                      <wps:bodyPr upright="1"/>
                    </wps:wsp>
                  </a:graphicData>
                </a:graphic>
              </wp:anchor>
            </w:drawing>
          </mc:Choice>
          <mc:Fallback>
            <w:pict>
              <v:shape id="_x0000_s1026" o:spid="_x0000_s1026" o:spt="202" type="#_x0000_t202" style="position:absolute;left:0pt;margin-left:250.65pt;margin-top:303.65pt;height:22.2pt;width:99.55pt;z-index:-251627520;mso-width-relative:page;mso-height-relative:page;" filled="f" stroked="f" coordsize="21600,21600" o:gfxdata="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CNQoTm&#10;1wAAAAsBAAAPAAAAAAAAAAEAIAAAACIAAABkcnMvZG93bnJldi54bWxQSwECFAAUAAAACACHTuJA&#10;LPhFHrABAABSAwAADgAAAAAAAAABACAAAAAmAQAAZHJzL2Uyb0RvYy54bWxQSwUGAAAAAAYABgBZ&#10;AQAASAUAAAAA&#10;">
                <v:fill on="f" focussize="0,0"/>
                <v:stroke on="f"/>
                <v:imagedata o:title=""/>
                <o:lock v:ext="edit" aspectratio="f"/>
                <v:textbox>
                  <w:txbxContent>
                    <w:p w14:paraId="49C5A9E2">
                      <w:pPr>
                        <w:rPr>
                          <w:rFonts w:hint="default" w:eastAsia="宋体"/>
                          <w:b/>
                          <w:bCs/>
                          <w:color w:val="FFFF00"/>
                          <w:highlight w:val="red"/>
                          <w:lang w:val="en-US" w:eastAsia="zh-CN"/>
                        </w:rPr>
                      </w:pPr>
                      <w:r>
                        <w:rPr>
                          <w:rFonts w:hint="eastAsia"/>
                          <w:b/>
                          <w:bCs/>
                          <w:color w:val="FFFF00"/>
                          <w:highlight w:val="red"/>
                          <w:lang w:eastAsia="zh-CN"/>
                        </w:rPr>
                        <w:t>鹿道口村</w:t>
                      </w:r>
                      <w:r>
                        <w:rPr>
                          <w:rFonts w:hint="eastAsia"/>
                          <w:b/>
                          <w:bCs/>
                          <w:color w:val="FFFF00"/>
                          <w:highlight w:val="red"/>
                          <w:lang w:val="en-US" w:eastAsia="zh-CN"/>
                        </w:rPr>
                        <w:t>850m</w:t>
                      </w:r>
                    </w:p>
                  </w:txbxContent>
                </v:textbox>
              </v:shape>
            </w:pict>
          </mc:Fallback>
        </mc:AlternateContent>
      </w:r>
      <w:r>
        <w:rPr>
          <w:sz w:val="21"/>
        </w:rPr>
        <mc:AlternateContent>
          <mc:Choice Requires="wps">
            <w:drawing>
              <wp:anchor distT="0" distB="0" distL="114300" distR="114300" simplePos="0" relativeHeight="251686912" behindDoc="1" locked="0" layoutInCell="1" allowOverlap="1">
                <wp:simplePos x="0" y="0"/>
                <wp:positionH relativeFrom="column">
                  <wp:posOffset>3465195</wp:posOffset>
                </wp:positionH>
                <wp:positionV relativeFrom="paragraph">
                  <wp:posOffset>3491230</wp:posOffset>
                </wp:positionV>
                <wp:extent cx="610870" cy="273685"/>
                <wp:effectExtent l="9525" t="9525" r="27305" b="21590"/>
                <wp:wrapNone/>
                <wp:docPr id="203" name="文本框 203"/>
                <wp:cNvGraphicFramePr/>
                <a:graphic xmlns:a="http://schemas.openxmlformats.org/drawingml/2006/main">
                  <a:graphicData uri="http://schemas.microsoft.com/office/word/2010/wordprocessingShape">
                    <wps:wsp>
                      <wps:cNvSpPr txBox="1"/>
                      <wps:spPr>
                        <a:xfrm>
                          <a:off x="0" y="0"/>
                          <a:ext cx="610870" cy="273685"/>
                        </a:xfrm>
                        <a:prstGeom prst="rect">
                          <a:avLst/>
                        </a:prstGeom>
                        <a:noFill/>
                        <a:ln w="19050" cap="flat" cmpd="sng">
                          <a:solidFill>
                            <a:srgbClr val="FFFF00"/>
                          </a:solidFill>
                          <a:prstDash val="solid"/>
                          <a:miter/>
                          <a:headEnd type="none" w="med" len="med"/>
                          <a:tailEnd type="none" w="med" len="med"/>
                        </a:ln>
                      </wps:spPr>
                      <wps:txbx>
                        <w:txbxContent>
                          <w:p w14:paraId="0F3694FC">
                            <w:pPr>
                              <w:rPr>
                                <w:rFonts w:hint="eastAsia" w:eastAsia="宋体"/>
                                <w:b/>
                                <w:bCs/>
                                <w:color w:val="FFFF00"/>
                                <w:sz w:val="18"/>
                                <w:szCs w:val="18"/>
                                <w:lang w:eastAsia="zh-CN"/>
                              </w:rPr>
                            </w:pPr>
                          </w:p>
                        </w:txbxContent>
                      </wps:txbx>
                      <wps:bodyPr upright="1"/>
                    </wps:wsp>
                  </a:graphicData>
                </a:graphic>
              </wp:anchor>
            </w:drawing>
          </mc:Choice>
          <mc:Fallback>
            <w:pict>
              <v:shape id="_x0000_s1026" o:spid="_x0000_s1026" o:spt="202" type="#_x0000_t202" style="position:absolute;left:0pt;margin-left:272.85pt;margin-top:274.9pt;height:21.55pt;width:48.1pt;z-index:-251629568;mso-width-relative:page;mso-height-relative:page;" filled="f" stroked="t" coordsize="21600,21600" o:gfxdata="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LXtTtgAAAALAQAADwAAAAAAAAABACAAAAAi&#10;AAAAZHJzL2Rvd25yZXYueG1sUEsBAhQAFAAAAAgAh07iQMGpfKsKAgAAEQQAAA4AAAAAAAAAAQAg&#10;AAAAJwEAAGRycy9lMm9Eb2MueG1sUEsFBgAAAAAGAAYAWQEAAKMFAAAAAA==&#10;">
                <v:fill on="f" focussize="0,0"/>
                <v:stroke weight="1.5pt" color="#FFFF00" joinstyle="miter"/>
                <v:imagedata o:title=""/>
                <o:lock v:ext="edit" aspectratio="f"/>
                <v:textbox>
                  <w:txbxContent>
                    <w:p w14:paraId="0F3694FC">
                      <w:pPr>
                        <w:rPr>
                          <w:rFonts w:hint="eastAsia" w:eastAsia="宋体"/>
                          <w:b/>
                          <w:bCs/>
                          <w:color w:val="FFFF00"/>
                          <w:sz w:val="18"/>
                          <w:szCs w:val="18"/>
                          <w:lang w:eastAsia="zh-CN"/>
                        </w:rPr>
                      </w:pPr>
                    </w:p>
                  </w:txbxContent>
                </v:textbox>
              </v:shape>
            </w:pict>
          </mc:Fallback>
        </mc:AlternateContent>
      </w:r>
      <w:r>
        <w:rPr>
          <w:sz w:val="21"/>
        </w:rPr>
        <mc:AlternateContent>
          <mc:Choice Requires="wps">
            <w:drawing>
              <wp:anchor distT="0" distB="0" distL="114300" distR="114300" simplePos="0" relativeHeight="251687936" behindDoc="1" locked="0" layoutInCell="1" allowOverlap="1">
                <wp:simplePos x="0" y="0"/>
                <wp:positionH relativeFrom="column">
                  <wp:posOffset>4524375</wp:posOffset>
                </wp:positionH>
                <wp:positionV relativeFrom="paragraph">
                  <wp:posOffset>960755</wp:posOffset>
                </wp:positionV>
                <wp:extent cx="1165225" cy="281940"/>
                <wp:effectExtent l="0" t="0" r="0" b="0"/>
                <wp:wrapNone/>
                <wp:docPr id="204" name="文本框 204"/>
                <wp:cNvGraphicFramePr/>
                <a:graphic xmlns:a="http://schemas.openxmlformats.org/drawingml/2006/main">
                  <a:graphicData uri="http://schemas.microsoft.com/office/word/2010/wordprocessingShape">
                    <wps:wsp>
                      <wps:cNvSpPr txBox="1"/>
                      <wps:spPr>
                        <a:xfrm>
                          <a:off x="0" y="0"/>
                          <a:ext cx="1165225" cy="281940"/>
                        </a:xfrm>
                        <a:prstGeom prst="rect">
                          <a:avLst/>
                        </a:prstGeom>
                        <a:noFill/>
                        <a:ln>
                          <a:noFill/>
                        </a:ln>
                      </wps:spPr>
                      <wps:txbx>
                        <w:txbxContent>
                          <w:p w14:paraId="17DAEF11">
                            <w:pPr>
                              <w:rPr>
                                <w:rFonts w:hint="default" w:eastAsia="宋体"/>
                                <w:b/>
                                <w:bCs/>
                                <w:color w:val="FFFF00"/>
                                <w:highlight w:val="red"/>
                                <w:lang w:val="en-US" w:eastAsia="zh-CN"/>
                              </w:rPr>
                            </w:pPr>
                            <w:r>
                              <w:rPr>
                                <w:rFonts w:hint="eastAsia"/>
                                <w:b/>
                                <w:bCs/>
                                <w:color w:val="FFFF00"/>
                                <w:highlight w:val="red"/>
                                <w:lang w:eastAsia="zh-CN"/>
                              </w:rPr>
                              <w:t>海岸山庄</w:t>
                            </w:r>
                            <w:r>
                              <w:rPr>
                                <w:rFonts w:hint="eastAsia"/>
                                <w:b/>
                                <w:bCs/>
                                <w:color w:val="FFFF00"/>
                                <w:highlight w:val="red"/>
                                <w:lang w:val="en-US" w:eastAsia="zh-CN"/>
                              </w:rPr>
                              <w:t>860m</w:t>
                            </w:r>
                          </w:p>
                        </w:txbxContent>
                      </wps:txbx>
                      <wps:bodyPr upright="1"/>
                    </wps:wsp>
                  </a:graphicData>
                </a:graphic>
              </wp:anchor>
            </w:drawing>
          </mc:Choice>
          <mc:Fallback>
            <w:pict>
              <v:shape id="_x0000_s1026" o:spid="_x0000_s1026" o:spt="202" type="#_x0000_t202" style="position:absolute;left:0pt;margin-left:356.25pt;margin-top:75.65pt;height:22.2pt;width:91.75pt;z-index:-251628544;mso-width-relative:page;mso-height-relative:page;" filled="f" stroked="f" coordsize="21600,21600" o:gfxdata="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6Lmd&#10;YNgAAAALAQAADwAAAAAAAAABACAAAAAiAAAAZHJzL2Rvd25yZXYueG1sUEsBAhQAFAAAAAgAh07i&#10;QGUSLVuwAQAAUgMAAA4AAAAAAAAAAQAgAAAAJwEAAGRycy9lMm9Eb2MueG1sUEsFBgAAAAAGAAYA&#10;WQEAAEkFAAAAAA==&#10;">
                <v:fill on="f" focussize="0,0"/>
                <v:stroke on="f"/>
                <v:imagedata o:title=""/>
                <o:lock v:ext="edit" aspectratio="f"/>
                <v:textbox>
                  <w:txbxContent>
                    <w:p w14:paraId="17DAEF11">
                      <w:pPr>
                        <w:rPr>
                          <w:rFonts w:hint="default" w:eastAsia="宋体"/>
                          <w:b/>
                          <w:bCs/>
                          <w:color w:val="FFFF00"/>
                          <w:highlight w:val="red"/>
                          <w:lang w:val="en-US" w:eastAsia="zh-CN"/>
                        </w:rPr>
                      </w:pPr>
                      <w:r>
                        <w:rPr>
                          <w:rFonts w:hint="eastAsia"/>
                          <w:b/>
                          <w:bCs/>
                          <w:color w:val="FFFF00"/>
                          <w:highlight w:val="red"/>
                          <w:lang w:eastAsia="zh-CN"/>
                        </w:rPr>
                        <w:t>海岸山庄</w:t>
                      </w:r>
                      <w:r>
                        <w:rPr>
                          <w:rFonts w:hint="eastAsia"/>
                          <w:b/>
                          <w:bCs/>
                          <w:color w:val="FFFF00"/>
                          <w:highlight w:val="red"/>
                          <w:lang w:val="en-US" w:eastAsia="zh-CN"/>
                        </w:rPr>
                        <w:t>860m</w:t>
                      </w:r>
                    </w:p>
                  </w:txbxContent>
                </v:textbox>
              </v:shape>
            </w:pict>
          </mc:Fallback>
        </mc:AlternateContent>
      </w:r>
      <w:r>
        <w:rPr>
          <w:sz w:val="21"/>
        </w:rPr>
        <mc:AlternateContent>
          <mc:Choice Requires="wps">
            <w:drawing>
              <wp:anchor distT="0" distB="0" distL="114300" distR="114300" simplePos="0" relativeHeight="251701248" behindDoc="1" locked="0" layoutInCell="1" allowOverlap="1">
                <wp:simplePos x="0" y="0"/>
                <wp:positionH relativeFrom="column">
                  <wp:posOffset>4730115</wp:posOffset>
                </wp:positionH>
                <wp:positionV relativeFrom="paragraph">
                  <wp:posOffset>678815</wp:posOffset>
                </wp:positionV>
                <wp:extent cx="457200" cy="236220"/>
                <wp:effectExtent l="9525" t="9525" r="9525" b="20955"/>
                <wp:wrapNone/>
                <wp:docPr id="205" name="文本框 205"/>
                <wp:cNvGraphicFramePr/>
                <a:graphic xmlns:a="http://schemas.openxmlformats.org/drawingml/2006/main">
                  <a:graphicData uri="http://schemas.microsoft.com/office/word/2010/wordprocessingShape">
                    <wps:wsp>
                      <wps:cNvSpPr txBox="1"/>
                      <wps:spPr>
                        <a:xfrm>
                          <a:off x="0" y="0"/>
                          <a:ext cx="457200" cy="236220"/>
                        </a:xfrm>
                        <a:prstGeom prst="rect">
                          <a:avLst/>
                        </a:prstGeom>
                        <a:noFill/>
                        <a:ln w="19050" cap="flat" cmpd="sng">
                          <a:solidFill>
                            <a:srgbClr val="FFFF00"/>
                          </a:solidFill>
                          <a:prstDash val="solid"/>
                          <a:miter/>
                          <a:headEnd type="none" w="med" len="med"/>
                          <a:tailEnd type="none" w="med" len="med"/>
                        </a:ln>
                      </wps:spPr>
                      <wps:txbx>
                        <w:txbxContent>
                          <w:p w14:paraId="74F01F23"/>
                        </w:txbxContent>
                      </wps:txbx>
                      <wps:bodyPr upright="1"/>
                    </wps:wsp>
                  </a:graphicData>
                </a:graphic>
              </wp:anchor>
            </w:drawing>
          </mc:Choice>
          <mc:Fallback>
            <w:pict>
              <v:shape id="_x0000_s1026" o:spid="_x0000_s1026" o:spt="202" type="#_x0000_t202" style="position:absolute;left:0pt;margin-left:372.45pt;margin-top:53.45pt;height:18.6pt;width:36pt;z-index:-251615232;mso-width-relative:page;mso-height-relative:page;" filled="f" stroked="t" coordsize="21600,21600" o:gfxdata="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mN06dtcAAAALAQAADwAAAAAAAAABACAAAAAiAAAA&#10;ZHJzL2Rvd25yZXYueG1sUEsBAhQAFAAAAAgAh07iQOqH8xIIAgAAEQQAAA4AAAAAAAAAAQAgAAAA&#10;JgEAAGRycy9lMm9Eb2MueG1sUEsFBgAAAAAGAAYAWQEAAKAFAAAAAA==&#10;">
                <v:fill on="f" focussize="0,0"/>
                <v:stroke weight="1.5pt" color="#FFFF00" joinstyle="miter"/>
                <v:imagedata o:title=""/>
                <o:lock v:ext="edit" aspectratio="f"/>
                <v:textbox>
                  <w:txbxContent>
                    <w:p w14:paraId="74F01F23"/>
                  </w:txbxContent>
                </v:textbox>
              </v:shape>
            </w:pict>
          </mc:Fallback>
        </mc:AlternateContent>
      </w:r>
      <w:r>
        <w:rPr>
          <w:sz w:val="21"/>
        </w:rPr>
        <mc:AlternateContent>
          <mc:Choice Requires="wps">
            <w:drawing>
              <wp:anchor distT="0" distB="0" distL="114300" distR="114300" simplePos="0" relativeHeight="251696128" behindDoc="1" locked="0" layoutInCell="1" allowOverlap="1">
                <wp:simplePos x="0" y="0"/>
                <wp:positionH relativeFrom="column">
                  <wp:posOffset>4051935</wp:posOffset>
                </wp:positionH>
                <wp:positionV relativeFrom="paragraph">
                  <wp:posOffset>1760220</wp:posOffset>
                </wp:positionV>
                <wp:extent cx="829945" cy="320040"/>
                <wp:effectExtent l="4445" t="5080" r="22860" b="74930"/>
                <wp:wrapNone/>
                <wp:docPr id="206" name="圆角矩形标注 206"/>
                <wp:cNvGraphicFramePr/>
                <a:graphic xmlns:a="http://schemas.openxmlformats.org/drawingml/2006/main">
                  <a:graphicData uri="http://schemas.microsoft.com/office/word/2010/wordprocessingShape">
                    <wps:wsp>
                      <wps:cNvSpPr/>
                      <wps:spPr>
                        <a:xfrm>
                          <a:off x="0" y="0"/>
                          <a:ext cx="829945" cy="320040"/>
                        </a:xfrm>
                        <a:prstGeom prst="wedgeRoundRectCallout">
                          <a:avLst>
                            <a:gd name="adj1" fmla="val -43750"/>
                            <a:gd name="adj2" fmla="val 70000"/>
                            <a:gd name="adj3" fmla="val 16667"/>
                          </a:avLst>
                        </a:prstGeom>
                        <a:solidFill>
                          <a:srgbClr val="FF0000"/>
                        </a:solidFill>
                        <a:ln w="9525" cap="flat" cmpd="sng">
                          <a:solidFill>
                            <a:srgbClr val="000000"/>
                          </a:solidFill>
                          <a:prstDash val="solid"/>
                          <a:miter/>
                          <a:headEnd type="none" w="med" len="med"/>
                          <a:tailEnd type="none" w="med" len="med"/>
                        </a:ln>
                      </wps:spPr>
                      <wps:txbx>
                        <w:txbxContent>
                          <w:p w14:paraId="75BCA94C">
                            <w:pPr>
                              <w:rPr>
                                <w:rFonts w:hint="eastAsia" w:eastAsia="宋体"/>
                                <w:lang w:eastAsia="zh-CN"/>
                              </w:rPr>
                            </w:pPr>
                            <w:r>
                              <w:rPr>
                                <w:rFonts w:hint="eastAsia"/>
                                <w:lang w:eastAsia="zh-CN"/>
                              </w:rPr>
                              <w:t>项目位置</w:t>
                            </w:r>
                          </w:p>
                        </w:txbxContent>
                      </wps:txbx>
                      <wps:bodyPr upright="1"/>
                    </wps:wsp>
                  </a:graphicData>
                </a:graphic>
              </wp:anchor>
            </w:drawing>
          </mc:Choice>
          <mc:Fallback>
            <w:pict>
              <v:shape id="_x0000_s1026" o:spid="_x0000_s1026" o:spt="62" type="#_x0000_t62" style="position:absolute;left:0pt;margin-left:319.05pt;margin-top:138.6pt;height:25.2pt;width:65.35pt;z-index:-251620352;mso-width-relative:page;mso-height-relative:page;" fillcolor="#FF0000" filled="t" stroked="t" coordsize="21600,21600" o:gfxdata="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dyLQ2QAA&#10;AAsBAAAPAAAAAAAAAAEAIAAAACIAAABkcnMvZG93bnJldi54bWxQSwECFAAUAAAACACHTuJAVBAr&#10;2VYCAAC/BAAADgAAAAAAAAABACAAAAAoAQAAZHJzL2Uyb0RvYy54bWxQSwUGAAAAAAYABgBZAQAA&#10;8AUAAAAA&#10;" adj="1350,25920,14400">
                <v:fill on="t" focussize="0,0"/>
                <v:stroke color="#000000" joinstyle="miter"/>
                <v:imagedata o:title=""/>
                <o:lock v:ext="edit" aspectratio="f"/>
                <v:textbox>
                  <w:txbxContent>
                    <w:p w14:paraId="75BCA94C">
                      <w:pPr>
                        <w:rPr>
                          <w:rFonts w:hint="eastAsia" w:eastAsia="宋体"/>
                          <w:lang w:eastAsia="zh-CN"/>
                        </w:rPr>
                      </w:pPr>
                      <w:r>
                        <w:rPr>
                          <w:rFonts w:hint="eastAsia"/>
                          <w:lang w:eastAsia="zh-CN"/>
                        </w:rPr>
                        <w:t>项目位置</w:t>
                      </w:r>
                    </w:p>
                  </w:txbxContent>
                </v:textbox>
              </v:shape>
            </w:pict>
          </mc:Fallback>
        </mc:AlternateContent>
      </w:r>
      <w:r>
        <w:rPr>
          <w:sz w:val="21"/>
        </w:rPr>
        <mc:AlternateContent>
          <mc:Choice Requires="wps">
            <w:drawing>
              <wp:anchor distT="0" distB="0" distL="114300" distR="114300" simplePos="0" relativeHeight="251695104" behindDoc="1" locked="0" layoutInCell="1" allowOverlap="1">
                <wp:simplePos x="0" y="0"/>
                <wp:positionH relativeFrom="column">
                  <wp:posOffset>3952875</wp:posOffset>
                </wp:positionH>
                <wp:positionV relativeFrom="paragraph">
                  <wp:posOffset>2125980</wp:posOffset>
                </wp:positionV>
                <wp:extent cx="137160" cy="141605"/>
                <wp:effectExtent l="14605" t="13970" r="19685" b="15875"/>
                <wp:wrapNone/>
                <wp:docPr id="207" name="文本框 207"/>
                <wp:cNvGraphicFramePr/>
                <a:graphic xmlns:a="http://schemas.openxmlformats.org/drawingml/2006/main">
                  <a:graphicData uri="http://schemas.microsoft.com/office/word/2010/wordprocessingShape">
                    <wps:wsp>
                      <wps:cNvSpPr txBox="1"/>
                      <wps:spPr>
                        <a:xfrm rot="480000">
                          <a:off x="0" y="0"/>
                          <a:ext cx="137160" cy="141605"/>
                        </a:xfrm>
                        <a:prstGeom prst="rect">
                          <a:avLst/>
                        </a:prstGeom>
                        <a:solidFill>
                          <a:srgbClr val="FF0000"/>
                        </a:solidFill>
                        <a:ln w="9525" cap="flat" cmpd="sng">
                          <a:solidFill>
                            <a:srgbClr val="000000"/>
                          </a:solidFill>
                          <a:prstDash val="solid"/>
                          <a:miter/>
                          <a:headEnd type="none" w="med" len="med"/>
                          <a:tailEnd type="none" w="med" len="med"/>
                        </a:ln>
                      </wps:spPr>
                      <wps:txbx>
                        <w:txbxContent>
                          <w:p w14:paraId="7ED6D16E"/>
                        </w:txbxContent>
                      </wps:txbx>
                      <wps:bodyPr upright="1"/>
                    </wps:wsp>
                  </a:graphicData>
                </a:graphic>
              </wp:anchor>
            </w:drawing>
          </mc:Choice>
          <mc:Fallback>
            <w:pict>
              <v:shape id="_x0000_s1026" o:spid="_x0000_s1026" o:spt="202" type="#_x0000_t202" style="position:absolute;left:0pt;margin-left:311.25pt;margin-top:167.4pt;height:11.15pt;width:10.8pt;rotation:524288f;z-index:-251621376;mso-width-relative:page;mso-height-relative:page;" fillcolor="#FF0000" filled="t" stroked="t" coordsize="21600,21600" o:gfxdata="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Bdtb8nZAAAACwEAAA8A&#10;AAAAAAAAAQAgAAAAIgAAAGRycy9kb3ducmV2LnhtbFBLAQIUABQAAAAIAIdO4kDRYTxTFgIAAEYE&#10;AAAOAAAAAAAAAAEAIAAAACgBAABkcnMvZTJvRG9jLnhtbFBLBQYAAAAABgAGAFkBAACwBQAAAAA=&#10;">
                <v:fill on="t" focussize="0,0"/>
                <v:stroke color="#000000" joinstyle="miter"/>
                <v:imagedata o:title=""/>
                <o:lock v:ext="edit" aspectratio="f"/>
                <v:textbox>
                  <w:txbxContent>
                    <w:p w14:paraId="7ED6D16E"/>
                  </w:txbxContent>
                </v:textbox>
              </v:shape>
            </w:pict>
          </mc:Fallback>
        </mc:AlternateContent>
      </w:r>
      <w:r>
        <w:rPr>
          <w:sz w:val="21"/>
        </w:rPr>
        <mc:AlternateContent>
          <mc:Choice Requires="wps">
            <w:drawing>
              <wp:anchor distT="0" distB="0" distL="114300" distR="114300" simplePos="0" relativeHeight="251685888" behindDoc="1" locked="0" layoutInCell="1" allowOverlap="1">
                <wp:simplePos x="0" y="0"/>
                <wp:positionH relativeFrom="column">
                  <wp:posOffset>1280160</wp:posOffset>
                </wp:positionH>
                <wp:positionV relativeFrom="paragraph">
                  <wp:posOffset>4465320</wp:posOffset>
                </wp:positionV>
                <wp:extent cx="790575" cy="333375"/>
                <wp:effectExtent l="4445" t="4445" r="5080" b="5080"/>
                <wp:wrapNone/>
                <wp:docPr id="208" name="矩形 208"/>
                <wp:cNvGraphicFramePr/>
                <a:graphic xmlns:a="http://schemas.openxmlformats.org/drawingml/2006/main">
                  <a:graphicData uri="http://schemas.microsoft.com/office/word/2010/wordprocessingShape">
                    <wps:wsp>
                      <wps:cNvSpPr/>
                      <wps:spPr>
                        <a:xfrm>
                          <a:off x="0" y="0"/>
                          <a:ext cx="790575" cy="3333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8D3F1D9">
                            <w:pPr>
                              <w:rPr>
                                <w:rFonts w:hint="eastAsia" w:eastAsia="宋体"/>
                                <w:lang w:eastAsia="zh-CN"/>
                              </w:rPr>
                            </w:pPr>
                            <w:r>
                              <w:rPr>
                                <w:rFonts w:hint="eastAsia"/>
                                <w:lang w:eastAsia="zh-CN"/>
                              </w:rPr>
                              <w:t>北江疃村</w:t>
                            </w:r>
                          </w:p>
                        </w:txbxContent>
                      </wps:txbx>
                      <wps:bodyPr upright="1"/>
                    </wps:wsp>
                  </a:graphicData>
                </a:graphic>
              </wp:anchor>
            </w:drawing>
          </mc:Choice>
          <mc:Fallback>
            <w:pict>
              <v:rect id="_x0000_s1026" o:spid="_x0000_s1026" o:spt="1" style="position:absolute;left:0pt;margin-left:100.8pt;margin-top:351.6pt;height:26.25pt;width:62.25pt;z-index:-251630592;mso-width-relative:page;mso-height-relative:page;" fillcolor="#FFFFFF" filled="t" stroked="t" coordsize="21600,21600" o:gfxdata="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OUdIt3ZAAAACwEAAA8AAAAAAAAAAQAgAAAAIgAAAGRycy9kb3du&#10;cmV2LnhtbFBLAQIUABQAAAAIAIdO4kBvxAx0/gEAACwEAAAOAAAAAAAAAAEAIAAAACgBAABkcnMv&#10;ZTJvRG9jLnhtbFBLBQYAAAAABgAGAFkBAACYBQAAAAA=&#10;">
                <v:fill on="t" focussize="0,0"/>
                <v:stroke color="#000000" joinstyle="miter"/>
                <v:imagedata o:title=""/>
                <o:lock v:ext="edit" aspectratio="f"/>
                <v:textbox>
                  <w:txbxContent>
                    <w:p w14:paraId="48D3F1D9">
                      <w:pPr>
                        <w:rPr>
                          <w:rFonts w:hint="eastAsia" w:eastAsia="宋体"/>
                          <w:lang w:eastAsia="zh-CN"/>
                        </w:rPr>
                      </w:pPr>
                      <w:r>
                        <w:rPr>
                          <w:rFonts w:hint="eastAsia"/>
                          <w:lang w:eastAsia="zh-CN"/>
                        </w:rPr>
                        <w:t>北江疃村</w:t>
                      </w:r>
                    </w:p>
                  </w:txbxContent>
                </v:textbox>
              </v:rect>
            </w:pict>
          </mc:Fallback>
        </mc:AlternateContent>
      </w:r>
      <w:r>
        <w:rPr>
          <w:rFonts w:hint="eastAsia" w:eastAsia="宋体"/>
          <w:lang w:eastAsia="zh-CN"/>
        </w:rPr>
        <w:drawing>
          <wp:inline distT="0" distB="0" distL="114300" distR="114300">
            <wp:extent cx="8191500" cy="5629275"/>
            <wp:effectExtent l="0" t="0" r="0" b="9525"/>
            <wp:docPr id="209" name="图片 13" descr="16112972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13" descr="1611297283(1)"/>
                    <pic:cNvPicPr>
                      <a:picLocks noChangeAspect="1"/>
                    </pic:cNvPicPr>
                  </pic:nvPicPr>
                  <pic:blipFill>
                    <a:blip r:embed="rId41"/>
                    <a:stretch>
                      <a:fillRect/>
                    </a:stretch>
                  </pic:blipFill>
                  <pic:spPr>
                    <a:xfrm>
                      <a:off x="0" y="0"/>
                      <a:ext cx="8191500" cy="5629275"/>
                    </a:xfrm>
                    <a:prstGeom prst="rect">
                      <a:avLst/>
                    </a:prstGeom>
                    <a:noFill/>
                    <a:ln>
                      <a:noFill/>
                    </a:ln>
                  </pic:spPr>
                </pic:pic>
              </a:graphicData>
            </a:graphic>
          </wp:inline>
        </w:drawing>
      </w:r>
    </w:p>
    <w:p w14:paraId="4199345C">
      <w:pPr>
        <w:pStyle w:val="2"/>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color w:val="auto"/>
          <w:sz w:val="24"/>
          <w:szCs w:val="24"/>
          <w:lang w:eastAsia="zh-CN"/>
        </w:rPr>
        <w:t>附图五</w:t>
      </w:r>
      <w:r>
        <w:rPr>
          <w:rFonts w:hint="eastAsia" w:asciiTheme="minorEastAsia" w:hAnsiTheme="minorEastAsia" w:eastAsiaTheme="minorEastAsia" w:cstheme="minorEastAsia"/>
          <w:b/>
          <w:bCs/>
          <w:color w:val="auto"/>
          <w:sz w:val="24"/>
          <w:szCs w:val="24"/>
        </w:rPr>
        <w:t xml:space="preserve">  </w:t>
      </w:r>
      <w:r>
        <w:rPr>
          <w:rFonts w:hint="eastAsia" w:asciiTheme="minorEastAsia" w:hAnsiTheme="minorEastAsia" w:eastAsiaTheme="minorEastAsia" w:cstheme="minorEastAsia"/>
          <w:b/>
          <w:bCs/>
          <w:color w:val="auto"/>
          <w:sz w:val="24"/>
          <w:szCs w:val="24"/>
          <w:lang w:eastAsia="zh-CN"/>
        </w:rPr>
        <w:t>项目</w:t>
      </w:r>
      <w:r>
        <w:rPr>
          <w:rFonts w:hint="eastAsia" w:asciiTheme="minorEastAsia" w:hAnsiTheme="minorEastAsia" w:eastAsiaTheme="minorEastAsia" w:cstheme="minorEastAsia"/>
          <w:b/>
          <w:bCs/>
          <w:color w:val="auto"/>
          <w:sz w:val="24"/>
          <w:szCs w:val="24"/>
        </w:rPr>
        <w:t>周边敏感目标</w:t>
      </w:r>
      <w:r>
        <w:rPr>
          <w:rFonts w:hint="eastAsia" w:asciiTheme="minorEastAsia" w:hAnsiTheme="minorEastAsia" w:eastAsiaTheme="minorEastAsia" w:cstheme="minorEastAsia"/>
          <w:b/>
          <w:bCs/>
          <w:color w:val="auto"/>
          <w:sz w:val="24"/>
          <w:szCs w:val="24"/>
          <w:lang w:eastAsia="zh-CN"/>
        </w:rPr>
        <w:t>位置</w:t>
      </w:r>
      <w:r>
        <w:rPr>
          <w:rFonts w:hint="eastAsia" w:asciiTheme="minorEastAsia" w:hAnsiTheme="minorEastAsia" w:eastAsiaTheme="minorEastAsia" w:cstheme="minorEastAsia"/>
          <w:b/>
          <w:bCs/>
          <w:color w:val="auto"/>
          <w:sz w:val="24"/>
          <w:szCs w:val="24"/>
        </w:rPr>
        <w:t>图</w:t>
      </w:r>
    </w:p>
    <w:p w14:paraId="1AE9068C">
      <w:pPr>
        <w:jc w:val="both"/>
        <w:rPr>
          <w:rFonts w:hint="eastAsia"/>
          <w:b/>
          <w:bCs/>
          <w:sz w:val="24"/>
          <w:szCs w:val="24"/>
          <w:lang w:eastAsia="zh-CN"/>
        </w:rPr>
      </w:pPr>
    </w:p>
    <w:p w14:paraId="42B58A36">
      <w:pPr>
        <w:jc w:val="center"/>
        <w:rPr>
          <w:rFonts w:hint="eastAsia" w:ascii="Times New Roman" w:hAnsi="Times New Roman" w:eastAsia="宋体" w:cs="Times New Roman"/>
          <w:color w:val="auto"/>
          <w:sz w:val="28"/>
          <w:lang w:eastAsia="zh-CN"/>
        </w:rPr>
      </w:pPr>
      <w:r>
        <mc:AlternateContent>
          <mc:Choice Requires="wps">
            <w:drawing>
              <wp:anchor distT="0" distB="0" distL="114300" distR="114300" simplePos="0" relativeHeight="251684864" behindDoc="0" locked="0" layoutInCell="1" allowOverlap="1">
                <wp:simplePos x="0" y="0"/>
                <wp:positionH relativeFrom="column">
                  <wp:posOffset>4942205</wp:posOffset>
                </wp:positionH>
                <wp:positionV relativeFrom="paragraph">
                  <wp:posOffset>2250440</wp:posOffset>
                </wp:positionV>
                <wp:extent cx="783590" cy="330200"/>
                <wp:effectExtent l="0" t="0" r="0" b="0"/>
                <wp:wrapNone/>
                <wp:docPr id="210" name="矩形 210"/>
                <wp:cNvGraphicFramePr/>
                <a:graphic xmlns:a="http://schemas.openxmlformats.org/drawingml/2006/main">
                  <a:graphicData uri="http://schemas.microsoft.com/office/word/2010/wordprocessingShape">
                    <wps:wsp>
                      <wps:cNvSpPr/>
                      <wps:spPr>
                        <a:xfrm>
                          <a:off x="0" y="0"/>
                          <a:ext cx="783590" cy="330200"/>
                        </a:xfrm>
                        <a:prstGeom prst="rect">
                          <a:avLst/>
                        </a:prstGeom>
                        <a:noFill/>
                        <a:ln>
                          <a:noFill/>
                        </a:ln>
                      </wps:spPr>
                      <wps:txbx>
                        <w:txbxContent>
                          <w:p w14:paraId="2058D394">
                            <w:pPr>
                              <w:rPr>
                                <w:rFonts w:hint="default" w:eastAsia="宋体"/>
                                <w:lang w:val="en-US" w:eastAsia="zh-CN"/>
                              </w:rPr>
                            </w:pPr>
                            <w:r>
                              <w:rPr>
                                <w:rFonts w:hint="eastAsia"/>
                                <w:lang w:val="en-US" w:eastAsia="zh-CN"/>
                              </w:rPr>
                              <w:t>车间门口</w:t>
                            </w:r>
                          </w:p>
                        </w:txbxContent>
                      </wps:txbx>
                      <wps:bodyPr upright="1"/>
                    </wps:wsp>
                  </a:graphicData>
                </a:graphic>
              </wp:anchor>
            </w:drawing>
          </mc:Choice>
          <mc:Fallback>
            <w:pict>
              <v:rect id="_x0000_s1026" o:spid="_x0000_s1026" o:spt="1" style="position:absolute;left:0pt;margin-left:389.15pt;margin-top:177.2pt;height:26pt;width:61.7pt;z-index:251684864;mso-width-relative:page;mso-height-relative:page;" filled="f" stroked="f" coordsize="21600,21600" o:gfxdata="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mQSiR3AAAAAsBAAAP&#10;AAAAAAAAAAEAIAAAACIAAABkcnMvZG93bnJldi54bWxQSwECFAAUAAAACACHTuJARKM95KIBAABE&#10;AwAADgAAAAAAAAABACAAAAArAQAAZHJzL2Uyb0RvYy54bWxQSwUGAAAAAAYABgBZAQAAPwUAAAAA&#10;">
                <v:fill on="f" focussize="0,0"/>
                <v:stroke on="f"/>
                <v:imagedata o:title=""/>
                <o:lock v:ext="edit" aspectratio="f"/>
                <v:textbox>
                  <w:txbxContent>
                    <w:p w14:paraId="2058D394">
                      <w:pPr>
                        <w:rPr>
                          <w:rFonts w:hint="default" w:eastAsia="宋体"/>
                          <w:lang w:val="en-US" w:eastAsia="zh-CN"/>
                        </w:rPr>
                      </w:pPr>
                      <w:r>
                        <w:rPr>
                          <w:rFonts w:hint="eastAsia"/>
                          <w:lang w:val="en-US" w:eastAsia="zh-CN"/>
                        </w:rPr>
                        <w:t>车间门口</w:t>
                      </w:r>
                    </w:p>
                  </w:txbxContent>
                </v:textbox>
              </v:rect>
            </w:pict>
          </mc:Fallback>
        </mc:AlternateContent>
      </w:r>
      <w:r>
        <w:rPr>
          <w:rFonts w:ascii="Times New Roman" w:hAnsi="Times New Roman"/>
          <w:sz w:val="24"/>
        </w:rPr>
        <w:drawing>
          <wp:anchor distT="0" distB="0" distL="114300" distR="114300" simplePos="0" relativeHeight="251681792" behindDoc="0" locked="0" layoutInCell="1" allowOverlap="1">
            <wp:simplePos x="0" y="0"/>
            <wp:positionH relativeFrom="column">
              <wp:posOffset>-109220</wp:posOffset>
            </wp:positionH>
            <wp:positionV relativeFrom="paragraph">
              <wp:posOffset>7620</wp:posOffset>
            </wp:positionV>
            <wp:extent cx="701040" cy="754380"/>
            <wp:effectExtent l="0" t="0" r="3810" b="7620"/>
            <wp:wrapNone/>
            <wp:docPr id="211" name="图片 176" descr="指北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176" descr="指北针"/>
                    <pic:cNvPicPr>
                      <a:picLocks noChangeAspect="1"/>
                    </pic:cNvPicPr>
                  </pic:nvPicPr>
                  <pic:blipFill>
                    <a:blip r:embed="rId42"/>
                    <a:stretch>
                      <a:fillRect/>
                    </a:stretch>
                  </pic:blipFill>
                  <pic:spPr>
                    <a:xfrm rot="10800000">
                      <a:off x="0" y="0"/>
                      <a:ext cx="701040" cy="754380"/>
                    </a:xfrm>
                    <a:prstGeom prst="rect">
                      <a:avLst/>
                    </a:prstGeom>
                    <a:noFill/>
                    <a:ln>
                      <a:noFill/>
                    </a:ln>
                  </pic:spPr>
                </pic:pic>
              </a:graphicData>
            </a:graphic>
          </wp:anchor>
        </w:drawing>
      </w:r>
      <w:r>
        <w:rPr>
          <w:sz w:val="28"/>
        </w:rPr>
        <mc:AlternateContent>
          <mc:Choice Requires="wpc">
            <w:drawing>
              <wp:inline distT="0" distB="0" distL="114300" distR="114300">
                <wp:extent cx="6924675" cy="2489835"/>
                <wp:effectExtent l="0" t="4445" r="8890" b="20320"/>
                <wp:docPr id="158" name="画布 158"/>
                <wp:cNvGraphicFramePr/>
                <a:graphic xmlns:a="http://schemas.openxmlformats.org/drawingml/2006/main">
                  <a:graphicData uri="http://schemas.microsoft.com/office/word/2010/wordprocessingCanvas">
                    <wpc:wpc>
                      <wpc:bg>
                        <a:noFill/>
                      </wpc:bg>
                      <wpc:whole>
                        <a:ln>
                          <a:noFill/>
                        </a:ln>
                      </wpc:whole>
                      <wps:wsp>
                        <wps:cNvPr id="139" name="矩形 139"/>
                        <wps:cNvSpPr/>
                        <wps:spPr>
                          <a:xfrm>
                            <a:off x="624205" y="0"/>
                            <a:ext cx="5181600" cy="2381885"/>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40" name="矩形 140"/>
                        <wps:cNvSpPr/>
                        <wps:spPr>
                          <a:xfrm>
                            <a:off x="624205" y="0"/>
                            <a:ext cx="1200150" cy="2381250"/>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41" name="矩形 141"/>
                        <wps:cNvSpPr/>
                        <wps:spPr>
                          <a:xfrm>
                            <a:off x="2539365" y="0"/>
                            <a:ext cx="752475" cy="838200"/>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42" name="矩形 142"/>
                        <wps:cNvSpPr/>
                        <wps:spPr>
                          <a:xfrm>
                            <a:off x="3291205" y="1905"/>
                            <a:ext cx="1057910" cy="848360"/>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43" name="矩形 143"/>
                        <wps:cNvSpPr/>
                        <wps:spPr>
                          <a:xfrm>
                            <a:off x="1828165" y="0"/>
                            <a:ext cx="711835" cy="391160"/>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44" name="矩形 144"/>
                        <wps:cNvSpPr/>
                        <wps:spPr>
                          <a:xfrm>
                            <a:off x="3538855" y="144780"/>
                            <a:ext cx="629285" cy="334010"/>
                          </a:xfrm>
                          <a:prstGeom prst="rect">
                            <a:avLst/>
                          </a:prstGeom>
                          <a:solidFill>
                            <a:srgbClr val="FFFFFF"/>
                          </a:solidFill>
                          <a:ln>
                            <a:noFill/>
                          </a:ln>
                        </wps:spPr>
                        <wps:txbx>
                          <w:txbxContent>
                            <w:p w14:paraId="5BC8990B">
                              <w:pPr>
                                <w:rPr>
                                  <w:rFonts w:hint="eastAsia" w:eastAsia="宋体"/>
                                  <w:lang w:eastAsia="zh-CN"/>
                                </w:rPr>
                              </w:pPr>
                              <w:r>
                                <w:rPr>
                                  <w:rFonts w:hint="eastAsia"/>
                                  <w:lang w:val="en-US" w:eastAsia="zh-CN"/>
                                </w:rPr>
                                <w:t>磨杆</w:t>
                              </w:r>
                              <w:r>
                                <w:rPr>
                                  <w:rFonts w:hint="eastAsia"/>
                                  <w:lang w:eastAsia="zh-CN"/>
                                </w:rPr>
                                <w:t>区</w:t>
                              </w:r>
                            </w:p>
                          </w:txbxContent>
                        </wps:txbx>
                        <wps:bodyPr upright="1"/>
                      </wps:wsp>
                      <wps:wsp>
                        <wps:cNvPr id="145" name="矩形 145"/>
                        <wps:cNvSpPr/>
                        <wps:spPr>
                          <a:xfrm>
                            <a:off x="836930" y="989330"/>
                            <a:ext cx="736600" cy="462915"/>
                          </a:xfrm>
                          <a:prstGeom prst="rect">
                            <a:avLst/>
                          </a:prstGeom>
                          <a:solidFill>
                            <a:srgbClr val="FFFFFF"/>
                          </a:solidFill>
                          <a:ln>
                            <a:noFill/>
                          </a:ln>
                        </wps:spPr>
                        <wps:txbx>
                          <w:txbxContent>
                            <w:p w14:paraId="22950A42">
                              <w:pPr>
                                <w:rPr>
                                  <w:rFonts w:hint="default" w:eastAsia="宋体"/>
                                  <w:lang w:val="en-US" w:eastAsia="zh-CN"/>
                                </w:rPr>
                              </w:pPr>
                              <w:r>
                                <w:rPr>
                                  <w:rFonts w:hint="eastAsia"/>
                                  <w:lang w:val="en-US" w:eastAsia="zh-CN"/>
                                </w:rPr>
                                <w:t>EVA手柄加工车间</w:t>
                              </w:r>
                            </w:p>
                          </w:txbxContent>
                        </wps:txbx>
                        <wps:bodyPr upright="1"/>
                      </wps:wsp>
                      <wps:wsp>
                        <wps:cNvPr id="146" name="矩形 146"/>
                        <wps:cNvSpPr/>
                        <wps:spPr>
                          <a:xfrm>
                            <a:off x="2656205" y="151130"/>
                            <a:ext cx="613410" cy="330200"/>
                          </a:xfrm>
                          <a:prstGeom prst="rect">
                            <a:avLst/>
                          </a:prstGeom>
                          <a:solidFill>
                            <a:srgbClr val="FFFFFF"/>
                          </a:solidFill>
                          <a:ln>
                            <a:noFill/>
                          </a:ln>
                        </wps:spPr>
                        <wps:txbx>
                          <w:txbxContent>
                            <w:p w14:paraId="2EFBC332">
                              <w:pPr>
                                <w:rPr>
                                  <w:rFonts w:hint="eastAsia" w:eastAsia="宋体"/>
                                  <w:lang w:eastAsia="zh-CN"/>
                                </w:rPr>
                              </w:pPr>
                              <w:r>
                                <w:rPr>
                                  <w:rFonts w:hint="eastAsia"/>
                                  <w:lang w:eastAsia="zh-CN"/>
                                </w:rPr>
                                <w:t>固化区</w:t>
                              </w:r>
                            </w:p>
                          </w:txbxContent>
                        </wps:txbx>
                        <wps:bodyPr upright="1"/>
                      </wps:wsp>
                      <wps:wsp>
                        <wps:cNvPr id="147" name="矩形 147"/>
                        <wps:cNvSpPr/>
                        <wps:spPr>
                          <a:xfrm>
                            <a:off x="4351655" y="0"/>
                            <a:ext cx="1453515" cy="838200"/>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48" name="矩形 148"/>
                        <wps:cNvSpPr/>
                        <wps:spPr>
                          <a:xfrm>
                            <a:off x="4342130" y="93980"/>
                            <a:ext cx="622300" cy="330200"/>
                          </a:xfrm>
                          <a:prstGeom prst="rect">
                            <a:avLst/>
                          </a:prstGeom>
                          <a:noFill/>
                          <a:ln>
                            <a:noFill/>
                          </a:ln>
                        </wps:spPr>
                        <wps:txbx>
                          <w:txbxContent>
                            <w:p w14:paraId="6DD5381C">
                              <w:pPr>
                                <w:rPr>
                                  <w:rFonts w:hint="eastAsia" w:eastAsia="宋体"/>
                                  <w:lang w:eastAsia="zh-CN"/>
                                </w:rPr>
                              </w:pPr>
                              <w:r>
                                <w:rPr>
                                  <w:rFonts w:hint="eastAsia"/>
                                  <w:lang w:val="en-US" w:eastAsia="zh-CN"/>
                                </w:rPr>
                                <w:t>烘干</w:t>
                              </w:r>
                              <w:r>
                                <w:rPr>
                                  <w:rFonts w:hint="eastAsia"/>
                                  <w:lang w:eastAsia="zh-CN"/>
                                </w:rPr>
                                <w:t>区</w:t>
                              </w:r>
                            </w:p>
                          </w:txbxContent>
                        </wps:txbx>
                        <wps:bodyPr upright="1"/>
                      </wps:wsp>
                      <wps:wsp>
                        <wps:cNvPr id="149" name="矩形 149"/>
                        <wps:cNvSpPr/>
                        <wps:spPr>
                          <a:xfrm>
                            <a:off x="5218430" y="0"/>
                            <a:ext cx="622300" cy="330200"/>
                          </a:xfrm>
                          <a:prstGeom prst="rect">
                            <a:avLst/>
                          </a:prstGeom>
                          <a:noFill/>
                          <a:ln>
                            <a:noFill/>
                          </a:ln>
                        </wps:spPr>
                        <wps:txbx>
                          <w:txbxContent>
                            <w:p w14:paraId="65C13FC1">
                              <w:pPr>
                                <w:rPr>
                                  <w:rFonts w:hint="eastAsia" w:eastAsia="宋体"/>
                                  <w:lang w:eastAsia="zh-CN"/>
                                </w:rPr>
                              </w:pPr>
                              <w:r>
                                <w:rPr>
                                  <w:rFonts w:hint="eastAsia"/>
                                  <w:lang w:val="en-US" w:eastAsia="zh-CN"/>
                                </w:rPr>
                                <w:t>喷漆</w:t>
                              </w:r>
                              <w:r>
                                <w:rPr>
                                  <w:rFonts w:hint="eastAsia"/>
                                  <w:lang w:eastAsia="zh-CN"/>
                                </w:rPr>
                                <w:t>区</w:t>
                              </w:r>
                            </w:p>
                          </w:txbxContent>
                        </wps:txbx>
                        <wps:bodyPr upright="1"/>
                      </wps:wsp>
                      <wps:wsp>
                        <wps:cNvPr id="150" name="矩形 150"/>
                        <wps:cNvSpPr/>
                        <wps:spPr>
                          <a:xfrm>
                            <a:off x="4808855" y="322580"/>
                            <a:ext cx="622300" cy="330200"/>
                          </a:xfrm>
                          <a:prstGeom prst="rect">
                            <a:avLst/>
                          </a:prstGeom>
                          <a:noFill/>
                          <a:ln>
                            <a:noFill/>
                          </a:ln>
                        </wps:spPr>
                        <wps:txbx>
                          <w:txbxContent>
                            <w:p w14:paraId="6B24EBEB">
                              <w:pPr>
                                <w:rPr>
                                  <w:rFonts w:hint="eastAsia" w:eastAsia="宋体"/>
                                  <w:lang w:eastAsia="zh-CN"/>
                                </w:rPr>
                              </w:pPr>
                              <w:r>
                                <w:rPr>
                                  <w:rFonts w:hint="eastAsia"/>
                                  <w:lang w:val="en-US" w:eastAsia="zh-CN"/>
                                </w:rPr>
                                <w:t>拉漆</w:t>
                              </w:r>
                              <w:r>
                                <w:rPr>
                                  <w:rFonts w:hint="eastAsia"/>
                                  <w:lang w:eastAsia="zh-CN"/>
                                </w:rPr>
                                <w:t>区</w:t>
                              </w:r>
                            </w:p>
                          </w:txbxContent>
                        </wps:txbx>
                        <wps:bodyPr upright="1"/>
                      </wps:wsp>
                      <wps:wsp>
                        <wps:cNvPr id="151" name="矩形 151"/>
                        <wps:cNvSpPr/>
                        <wps:spPr>
                          <a:xfrm>
                            <a:off x="5266055" y="465455"/>
                            <a:ext cx="622300" cy="330200"/>
                          </a:xfrm>
                          <a:prstGeom prst="rect">
                            <a:avLst/>
                          </a:prstGeom>
                          <a:noFill/>
                          <a:ln>
                            <a:noFill/>
                          </a:ln>
                        </wps:spPr>
                        <wps:txbx>
                          <w:txbxContent>
                            <w:p w14:paraId="18270AFB">
                              <w:pPr>
                                <w:rPr>
                                  <w:rFonts w:hint="eastAsia" w:eastAsia="宋体"/>
                                  <w:lang w:eastAsia="zh-CN"/>
                                </w:rPr>
                              </w:pPr>
                              <w:r>
                                <w:rPr>
                                  <w:rFonts w:hint="eastAsia"/>
                                  <w:lang w:val="en-US" w:eastAsia="zh-CN"/>
                                </w:rPr>
                                <w:t>烘干</w:t>
                              </w:r>
                              <w:r>
                                <w:rPr>
                                  <w:rFonts w:hint="eastAsia"/>
                                  <w:lang w:eastAsia="zh-CN"/>
                                </w:rPr>
                                <w:t>区</w:t>
                              </w:r>
                            </w:p>
                          </w:txbxContent>
                        </wps:txbx>
                        <wps:bodyPr upright="1"/>
                      </wps:wsp>
                      <wps:wsp>
                        <wps:cNvPr id="152" name="矩形 152"/>
                        <wps:cNvSpPr/>
                        <wps:spPr>
                          <a:xfrm>
                            <a:off x="1827530" y="1304290"/>
                            <a:ext cx="2559050" cy="1075690"/>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53" name="矩形 153"/>
                        <wps:cNvSpPr/>
                        <wps:spPr>
                          <a:xfrm>
                            <a:off x="2675255" y="1560830"/>
                            <a:ext cx="622300" cy="330200"/>
                          </a:xfrm>
                          <a:prstGeom prst="rect">
                            <a:avLst/>
                          </a:prstGeom>
                          <a:noFill/>
                          <a:ln>
                            <a:noFill/>
                          </a:ln>
                        </wps:spPr>
                        <wps:txbx>
                          <w:txbxContent>
                            <w:p w14:paraId="6072A679">
                              <w:pPr>
                                <w:rPr>
                                  <w:rFonts w:hint="eastAsia" w:eastAsia="宋体"/>
                                  <w:lang w:eastAsia="zh-CN"/>
                                </w:rPr>
                              </w:pPr>
                              <w:r>
                                <w:rPr>
                                  <w:rFonts w:hint="eastAsia"/>
                                  <w:lang w:val="en-US" w:eastAsia="zh-CN"/>
                                </w:rPr>
                                <w:t>烫芯</w:t>
                              </w:r>
                              <w:r>
                                <w:rPr>
                                  <w:rFonts w:hint="eastAsia"/>
                                  <w:lang w:eastAsia="zh-CN"/>
                                </w:rPr>
                                <w:t>区</w:t>
                              </w:r>
                            </w:p>
                          </w:txbxContent>
                        </wps:txbx>
                        <wps:bodyPr upright="1"/>
                      </wps:wsp>
                      <wps:wsp>
                        <wps:cNvPr id="154" name="矩形 154"/>
                        <wps:cNvSpPr/>
                        <wps:spPr>
                          <a:xfrm>
                            <a:off x="4389755" y="1304290"/>
                            <a:ext cx="1416050" cy="1075690"/>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55" name="矩形 155"/>
                        <wps:cNvSpPr/>
                        <wps:spPr>
                          <a:xfrm>
                            <a:off x="4589780" y="1541780"/>
                            <a:ext cx="622300" cy="330200"/>
                          </a:xfrm>
                          <a:prstGeom prst="rect">
                            <a:avLst/>
                          </a:prstGeom>
                          <a:noFill/>
                          <a:ln>
                            <a:noFill/>
                          </a:ln>
                        </wps:spPr>
                        <wps:txbx>
                          <w:txbxContent>
                            <w:p w14:paraId="76D77E57">
                              <w:pPr>
                                <w:rPr>
                                  <w:rFonts w:hint="eastAsia" w:eastAsia="宋体"/>
                                  <w:lang w:eastAsia="zh-CN"/>
                                </w:rPr>
                              </w:pPr>
                              <w:r>
                                <w:rPr>
                                  <w:rFonts w:hint="eastAsia"/>
                                  <w:lang w:val="en-US" w:eastAsia="zh-CN"/>
                                </w:rPr>
                                <w:t>暂存</w:t>
                              </w:r>
                              <w:r>
                                <w:rPr>
                                  <w:rFonts w:hint="eastAsia"/>
                                  <w:lang w:eastAsia="zh-CN"/>
                                </w:rPr>
                                <w:t>区</w:t>
                              </w:r>
                            </w:p>
                          </w:txbxContent>
                        </wps:txbx>
                        <wps:bodyPr upright="1"/>
                      </wps:wsp>
                      <wps:wsp>
                        <wps:cNvPr id="156" name="矩形 156"/>
                        <wps:cNvSpPr/>
                        <wps:spPr>
                          <a:xfrm>
                            <a:off x="5997575" y="2159635"/>
                            <a:ext cx="927100" cy="330200"/>
                          </a:xfrm>
                          <a:prstGeom prst="rect">
                            <a:avLst/>
                          </a:prstGeom>
                          <a:solidFill>
                            <a:srgbClr val="FFFFFF"/>
                          </a:solidFill>
                          <a:ln w="9525" cap="flat" cmpd="sng">
                            <a:solidFill>
                              <a:srgbClr val="000000"/>
                            </a:solidFill>
                            <a:prstDash val="dashDot"/>
                            <a:miter/>
                            <a:headEnd type="none" w="med" len="med"/>
                            <a:tailEnd type="none" w="med" len="med"/>
                          </a:ln>
                        </wps:spPr>
                        <wps:txbx>
                          <w:txbxContent>
                            <w:p w14:paraId="29082589">
                              <w:pPr>
                                <w:rPr>
                                  <w:rFonts w:hint="default" w:eastAsia="宋体"/>
                                  <w:b/>
                                  <w:bCs/>
                                  <w:lang w:val="en-US" w:eastAsia="zh-CN"/>
                                </w:rPr>
                              </w:pPr>
                              <w:r>
                                <w:rPr>
                                  <w:rFonts w:hint="eastAsia"/>
                                  <w:b/>
                                  <w:bCs/>
                                  <w:lang w:val="en-US" w:eastAsia="zh-CN"/>
                                </w:rPr>
                                <w:t>一楼平面图</w:t>
                              </w:r>
                            </w:p>
                          </w:txbxContent>
                        </wps:txbx>
                        <wps:bodyPr upright="1"/>
                      </wps:wsp>
                      <wps:wsp>
                        <wps:cNvPr id="157" name="矩形 157"/>
                        <wps:cNvSpPr/>
                        <wps:spPr>
                          <a:xfrm>
                            <a:off x="1884680" y="27305"/>
                            <a:ext cx="622300" cy="330200"/>
                          </a:xfrm>
                          <a:prstGeom prst="rect">
                            <a:avLst/>
                          </a:prstGeom>
                          <a:noFill/>
                          <a:ln>
                            <a:noFill/>
                          </a:ln>
                        </wps:spPr>
                        <wps:txbx>
                          <w:txbxContent>
                            <w:p w14:paraId="0F5339AD">
                              <w:pPr>
                                <w:rPr>
                                  <w:rFonts w:hint="default" w:eastAsia="宋体"/>
                                  <w:lang w:val="en-US" w:eastAsia="zh-CN"/>
                                </w:rPr>
                              </w:pPr>
                              <w:r>
                                <w:rPr>
                                  <w:rFonts w:hint="eastAsia"/>
                                  <w:lang w:val="en-US" w:eastAsia="zh-CN"/>
                                </w:rPr>
                                <w:t>楼梯口</w:t>
                              </w:r>
                            </w:p>
                          </w:txbxContent>
                        </wps:txbx>
                        <wps:bodyPr upright="1"/>
                      </wps:wsp>
                    </wpc:wpc>
                  </a:graphicData>
                </a:graphic>
              </wp:inline>
            </w:drawing>
          </mc:Choice>
          <mc:Fallback>
            <w:pict>
              <v:group id="_x0000_s1026" o:spid="_x0000_s1026" o:spt="203" style="height:196.05pt;width:545.25pt;" coordsize="6924675,2489835" editas="canvas"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">
                <o:lock v:ext="edit" aspectratio="f"/>
                <v:shape id="_x0000_s1026" o:spid="_x0000_s1026" style="position:absolute;left:0;top:0;height:2489835;width:6924675;"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">
                  <v:fill on="f" focussize="0,0"/>
                  <v:stroke on="f"/>
                  <v:imagedata o:title=""/>
                  <o:lock v:ext="edit" aspectratio="f"/>
                </v:shape>
                <v:rect id="_x0000_s1026" o:spid="_x0000_s1026" o:spt="1" style="position:absolute;left:624205;top:0;height:2381885;width:5181600;"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1AbZ01QAAAAYBAAAPAAAAAAAAAAEAIAAAACIAAABkcnMvZG93&#10;bnJldi54bWxQSwECFAAUAAAACACHTuJAaCGHyQMCAAAoBAAADgAAAAAAAAABACAAAAAkAQAAZHJz&#10;L2Uyb0RvYy54bWxQSwUGAAAAAAYABgBZAQAAmQUAAAAA&#10;">
                  <v:fill on="t" focussize="0,0"/>
                  <v:stroke color="#000000" joinstyle="miter"/>
                  <v:imagedata o:title=""/>
                  <o:lock v:ext="edit" aspectratio="f"/>
                </v:rect>
                <v:rect id="_x0000_s1026" o:spid="_x0000_s1026" o:spt="1" style="position:absolute;left:624205;top:0;height:2381250;width:1200150;"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1AbZ01QAAAAYBAAAPAAAAAAAAAAEAIAAAACIAAABkcnMvZG93bnJl&#10;di54bWxQSwECFAAUAAAACACHTuJAG0McOwACAAAoBAAADgAAAAAAAAABACAAAAAkAQAAZHJzL2Uy&#10;b0RvYy54bWxQSwUGAAAAAAYABgBZAQAAlgUAAAAA&#10;">
                  <v:fill on="t" focussize="0,0"/>
                  <v:stroke color="#000000" joinstyle="miter"/>
                  <v:imagedata o:title=""/>
                  <o:lock v:ext="edit" aspectratio="f"/>
                </v:rect>
                <v:rect id="_x0000_s1026" o:spid="_x0000_s1026" o:spt="1" style="position:absolute;left:2539365;top:0;height:838200;width:752475;"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tQG2dNUAAAAGAQAADwAAAAAAAAABACAAAAAiAAAAZHJzL2Rvd25y&#10;ZXYueG1sUEsBAhQAFAAAAAgAh07iQD5w+PgBAgAAJwQAAA4AAAAAAAAAAQAgAAAAJAEAAGRycy9l&#10;Mm9Eb2MueG1sUEsFBgAAAAAGAAYAWQEAAJcFAAAAAA==&#10;">
                  <v:fill on="t" focussize="0,0"/>
                  <v:stroke color="#000000" joinstyle="miter"/>
                  <v:imagedata o:title=""/>
                  <o:lock v:ext="edit" aspectratio="f"/>
                </v:rect>
                <v:rect id="_x0000_s1026" o:spid="_x0000_s1026" o:spt="1" style="position:absolute;left:3291205;top:1905;height:848360;width:1057910;"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&#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LUBtnTVAAAABgEAAA8AAAAAAAAAAQAgAAAAIgAAAGRy&#10;cy9kb3ducmV2LnhtbFBLAQIUABQAAAAIAIdO4kBBzk0nCAIAACsEAAAOAAAAAAAAAAEAIAAAACQB&#10;AABkcnMvZTJvRG9jLnhtbFBLBQYAAAAABgAGAFkBAACeBQAAAAA=&#10;">
                  <v:fill on="t" focussize="0,0"/>
                  <v:stroke color="#000000" joinstyle="miter"/>
                  <v:imagedata o:title=""/>
                  <o:lock v:ext="edit" aspectratio="f"/>
                </v:rect>
                <v:rect id="_x0000_s1026" o:spid="_x0000_s1026" o:spt="1" style="position:absolute;left:1828165;top:0;height:391160;width:711835;"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tQG2dNUAAAAGAQAADwAAAAAAAAABACAAAAAiAAAAZHJzL2Rv&#10;d25yZXYueG1sUEsBAhQAFAAAAAgAh07iQMbHJbcEAgAAJwQAAA4AAAAAAAAAAQAgAAAAJAEAAGRy&#10;cy9lMm9Eb2MueG1sUEsFBgAAAAAGAAYAWQEAAJoFAAAAAA==&#10;">
                  <v:fill on="t" focussize="0,0"/>
                  <v:stroke color="#000000" joinstyle="miter"/>
                  <v:imagedata o:title=""/>
                  <o:lock v:ext="edit" aspectratio="f"/>
                </v:rect>
                <v:rect id="_x0000_s1026" o:spid="_x0000_s1026" o:spt="1" style="position:absolute;left:3538855;top:144780;height:334010;width:629285;" fillcolor="#FFFFFF" filled="t" stroked="f" coordsize="21600,21600" o:gfxdata="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FInPZTVAAAABgEAAA8AAAAAAAAAAQAgAAAAIgAAAGRycy9kb3ducmV2LnhtbFBL&#10;AQIUABQAAAAIAIdO4kDMDG9/wAEAAHgDAAAOAAAAAAAAAAEAIAAAACQBAABkcnMvZTJvRG9jLnht&#10;bFBLBQYAAAAABgAGAFkBAABWBQAAAAA=&#10;">
                  <v:fill on="t" focussize="0,0"/>
                  <v:stroke on="f"/>
                  <v:imagedata o:title=""/>
                  <o:lock v:ext="edit" aspectratio="f"/>
                  <v:textbox>
                    <w:txbxContent>
                      <w:p w14:paraId="5BC8990B">
                        <w:pPr>
                          <w:rPr>
                            <w:rFonts w:hint="eastAsia" w:eastAsia="宋体"/>
                            <w:lang w:eastAsia="zh-CN"/>
                          </w:rPr>
                        </w:pPr>
                        <w:r>
                          <w:rPr>
                            <w:rFonts w:hint="eastAsia"/>
                            <w:lang w:val="en-US" w:eastAsia="zh-CN"/>
                          </w:rPr>
                          <w:t>磨杆</w:t>
                        </w:r>
                        <w:r>
                          <w:rPr>
                            <w:rFonts w:hint="eastAsia"/>
                            <w:lang w:eastAsia="zh-CN"/>
                          </w:rPr>
                          <w:t>区</w:t>
                        </w:r>
                      </w:p>
                    </w:txbxContent>
                  </v:textbox>
                </v:rect>
                <v:rect id="_x0000_s1026" o:spid="_x0000_s1026" o:spt="1" style="position:absolute;left:836930;top:989330;height:462915;width:736600;" fillcolor="#FFFFFF" filled="t" stroked="f" coordsize="21600,21600" o:gfxdata="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ic9lNUAAAAGAQAADwAAAAAAAAABACAAAAAiAAAAZHJzL2Rvd25yZXYu&#10;eG1sUEsBAhQAFAAAAAgAh07iQLqjumPFAQAAdwMAAA4AAAAAAAAAAQAgAAAAJAEAAGRycy9lMm9E&#10;b2MueG1sUEsFBgAAAAAGAAYAWQEAAFsFAAAAAA==&#10;">
                  <v:fill on="t" focussize="0,0"/>
                  <v:stroke on="f"/>
                  <v:imagedata o:title=""/>
                  <o:lock v:ext="edit" aspectratio="f"/>
                  <v:textbox>
                    <w:txbxContent>
                      <w:p w14:paraId="22950A42">
                        <w:pPr>
                          <w:rPr>
                            <w:rFonts w:hint="default" w:eastAsia="宋体"/>
                            <w:lang w:val="en-US" w:eastAsia="zh-CN"/>
                          </w:rPr>
                        </w:pPr>
                        <w:r>
                          <w:rPr>
                            <w:rFonts w:hint="eastAsia"/>
                            <w:lang w:val="en-US" w:eastAsia="zh-CN"/>
                          </w:rPr>
                          <w:t>EVA手柄加工车间</w:t>
                        </w:r>
                      </w:p>
                    </w:txbxContent>
                  </v:textbox>
                </v:rect>
                <v:rect id="_x0000_s1026" o:spid="_x0000_s1026" o:spt="1" style="position:absolute;left:2656205;top:151130;height:330200;width:613410;" fillcolor="#FFFFFF" filled="t" stroked="f" coordsize="21600,21600" o:gfxdata="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Uic9lNUAAAAGAQAADwAAAAAAAAABACAAAAAiAAAAZHJzL2Rvd25yZXYueG1s&#10;UEsBAhQAFAAAAAgAh07iQL6SJ7/CAQAAeAMAAA4AAAAAAAAAAQAgAAAAJAEAAGRycy9lMm9Eb2Mu&#10;eG1sUEsFBgAAAAAGAAYAWQEAAFgFAAAAAA==&#10;">
                  <v:fill on="t" focussize="0,0"/>
                  <v:stroke on="f"/>
                  <v:imagedata o:title=""/>
                  <o:lock v:ext="edit" aspectratio="f"/>
                  <v:textbox>
                    <w:txbxContent>
                      <w:p w14:paraId="2EFBC332">
                        <w:pPr>
                          <w:rPr>
                            <w:rFonts w:hint="eastAsia" w:eastAsia="宋体"/>
                            <w:lang w:eastAsia="zh-CN"/>
                          </w:rPr>
                        </w:pPr>
                        <w:r>
                          <w:rPr>
                            <w:rFonts w:hint="eastAsia"/>
                            <w:lang w:eastAsia="zh-CN"/>
                          </w:rPr>
                          <w:t>固化区</w:t>
                        </w:r>
                      </w:p>
                    </w:txbxContent>
                  </v:textbox>
                </v:rect>
                <v:rect id="_x0000_s1026" o:spid="_x0000_s1026" o:spt="1" style="position:absolute;left:4351655;top:0;height:838200;width:1453515;"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1AbZ01QAAAAYBAAAPAAAAAAAAAAEAIAAAACIAAABkcnMvZG93bnJl&#10;di54bWxQSwECFAAUAAAACACHTuJA9O89igACAAAoBAAADgAAAAAAAAABACAAAAAkAQAAZHJzL2Uy&#10;b0RvYy54bWxQSwUGAAAAAAYABgBZAQAAlgUAAAAA&#10;">
                  <v:fill on="t" focussize="0,0"/>
                  <v:stroke color="#000000" joinstyle="miter"/>
                  <v:imagedata o:title=""/>
                  <o:lock v:ext="edit" aspectratio="f"/>
                </v:rect>
                <v:rect id="_x0000_s1026" o:spid="_x0000_s1026" o:spt="1" style="position:absolute;left:4342130;top:93980;height:330200;width:622300;"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6i1tn9cA&#10;AAAGAQAADwAAAAAAAAABACAAAAAiAAAAZHJzL2Rvd25yZXYueG1sUEsBAhQAFAAAAAgAh07iQEnC&#10;fV+uAQAATgMAAA4AAAAAAAAAAQAgAAAAJgEAAGRycy9lMm9Eb2MueG1sUEsFBgAAAAAGAAYAWQEA&#10;AEYFAAAAAA==&#10;">
                  <v:fill on="f" focussize="0,0"/>
                  <v:stroke on="f"/>
                  <v:imagedata o:title=""/>
                  <o:lock v:ext="edit" aspectratio="f"/>
                  <v:textbox>
                    <w:txbxContent>
                      <w:p w14:paraId="6DD5381C">
                        <w:pPr>
                          <w:rPr>
                            <w:rFonts w:hint="eastAsia" w:eastAsia="宋体"/>
                            <w:lang w:eastAsia="zh-CN"/>
                          </w:rPr>
                        </w:pPr>
                        <w:r>
                          <w:rPr>
                            <w:rFonts w:hint="eastAsia"/>
                            <w:lang w:val="en-US" w:eastAsia="zh-CN"/>
                          </w:rPr>
                          <w:t>烘干</w:t>
                        </w:r>
                        <w:r>
                          <w:rPr>
                            <w:rFonts w:hint="eastAsia"/>
                            <w:lang w:eastAsia="zh-CN"/>
                          </w:rPr>
                          <w:t>区</w:t>
                        </w:r>
                      </w:p>
                    </w:txbxContent>
                  </v:textbox>
                </v:rect>
                <v:rect id="_x0000_s1026" o:spid="_x0000_s1026" o:spt="1" style="position:absolute;left:5218430;top:0;height:330200;width:622300;"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OotbZ/XAAAABgEA&#10;AA8AAAAAAAAAAQAgAAAAIgAAAGRycy9kb3ducmV2LnhtbFBLAQIUABQAAAAIAIdO4kC6dSjTqQEA&#10;AEoDAAAOAAAAAAAAAAEAIAAAACYBAABkcnMvZTJvRG9jLnhtbFBLBQYAAAAABgAGAFkBAABBBQAA&#10;AAA=&#10;">
                  <v:fill on="f" focussize="0,0"/>
                  <v:stroke on="f"/>
                  <v:imagedata o:title=""/>
                  <o:lock v:ext="edit" aspectratio="f"/>
                  <v:textbox>
                    <w:txbxContent>
                      <w:p w14:paraId="65C13FC1">
                        <w:pPr>
                          <w:rPr>
                            <w:rFonts w:hint="eastAsia" w:eastAsia="宋体"/>
                            <w:lang w:eastAsia="zh-CN"/>
                          </w:rPr>
                        </w:pPr>
                        <w:r>
                          <w:rPr>
                            <w:rFonts w:hint="eastAsia"/>
                            <w:lang w:val="en-US" w:eastAsia="zh-CN"/>
                          </w:rPr>
                          <w:t>喷漆</w:t>
                        </w:r>
                        <w:r>
                          <w:rPr>
                            <w:rFonts w:hint="eastAsia"/>
                            <w:lang w:eastAsia="zh-CN"/>
                          </w:rPr>
                          <w:t>区</w:t>
                        </w:r>
                      </w:p>
                    </w:txbxContent>
                  </v:textbox>
                </v:rect>
                <v:rect id="_x0000_s1026" o:spid="_x0000_s1026" o:spt="1" style="position:absolute;left:4808855;top:322580;height:330200;width:622300;"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qLW2f1wAA&#10;AAYBAAAPAAAAAAAAAAEAIAAAACIAAABkcnMvZG93bnJldi54bWxQSwECFAAUAAAACACHTuJATy6t&#10;Ta0BAABPAwAADgAAAAAAAAABACAAAAAmAQAAZHJzL2Uyb0RvYy54bWxQSwUGAAAAAAYABgBZAQAA&#10;RQUAAAAA&#10;">
                  <v:fill on="f" focussize="0,0"/>
                  <v:stroke on="f"/>
                  <v:imagedata o:title=""/>
                  <o:lock v:ext="edit" aspectratio="f"/>
                  <v:textbox>
                    <w:txbxContent>
                      <w:p w14:paraId="6B24EBEB">
                        <w:pPr>
                          <w:rPr>
                            <w:rFonts w:hint="eastAsia" w:eastAsia="宋体"/>
                            <w:lang w:eastAsia="zh-CN"/>
                          </w:rPr>
                        </w:pPr>
                        <w:r>
                          <w:rPr>
                            <w:rFonts w:hint="eastAsia"/>
                            <w:lang w:val="en-US" w:eastAsia="zh-CN"/>
                          </w:rPr>
                          <w:t>拉漆</w:t>
                        </w:r>
                        <w:r>
                          <w:rPr>
                            <w:rFonts w:hint="eastAsia"/>
                            <w:lang w:eastAsia="zh-CN"/>
                          </w:rPr>
                          <w:t>区</w:t>
                        </w:r>
                      </w:p>
                    </w:txbxContent>
                  </v:textbox>
                </v:rect>
                <v:rect id="_x0000_s1026" o:spid="_x0000_s1026" o:spt="1" style="position:absolute;left:5266055;top:465455;height:330200;width:622300;"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qLW2f1wAA&#10;AAYBAAAPAAAAAAAAAAEAIAAAACIAAABkcnMvZG93bnJldi54bWxQSwECFAAUAAAACACHTuJAqBOX&#10;ra0BAABPAwAADgAAAAAAAAABACAAAAAmAQAAZHJzL2Uyb0RvYy54bWxQSwUGAAAAAAYABgBZAQAA&#10;RQUAAAAA&#10;">
                  <v:fill on="f" focussize="0,0"/>
                  <v:stroke on="f"/>
                  <v:imagedata o:title=""/>
                  <o:lock v:ext="edit" aspectratio="f"/>
                  <v:textbox>
                    <w:txbxContent>
                      <w:p w14:paraId="18270AFB">
                        <w:pPr>
                          <w:rPr>
                            <w:rFonts w:hint="eastAsia" w:eastAsia="宋体"/>
                            <w:lang w:eastAsia="zh-CN"/>
                          </w:rPr>
                        </w:pPr>
                        <w:r>
                          <w:rPr>
                            <w:rFonts w:hint="eastAsia"/>
                            <w:lang w:val="en-US" w:eastAsia="zh-CN"/>
                          </w:rPr>
                          <w:t>烘干</w:t>
                        </w:r>
                        <w:r>
                          <w:rPr>
                            <w:rFonts w:hint="eastAsia"/>
                            <w:lang w:eastAsia="zh-CN"/>
                          </w:rPr>
                          <w:t>区</w:t>
                        </w:r>
                      </w:p>
                    </w:txbxContent>
                  </v:textbox>
                </v:rect>
                <v:rect id="_x0000_s1026" o:spid="_x0000_s1026" o:spt="1" style="position:absolute;left:1827530;top:1304290;height:1075690;width:2559050;"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tQG2dNUAAAAGAQAADwAAAAAAAAABACAAAAAiAAAA&#10;ZHJzL2Rvd25yZXYueG1sUEsBAhQAFAAAAAgAh07iQNVX0/gKAgAALwQAAA4AAAAAAAAAAQAgAAAA&#10;JAEAAGRycy9lMm9Eb2MueG1sUEsFBgAAAAAGAAYAWQEAAKAFAAAAAA==&#10;">
                  <v:fill on="t" focussize="0,0"/>
                  <v:stroke color="#000000" joinstyle="miter"/>
                  <v:imagedata o:title=""/>
                  <o:lock v:ext="edit" aspectratio="f"/>
                </v:rect>
                <v:rect id="_x0000_s1026" o:spid="_x0000_s1026" o:spt="1" style="position:absolute;left:2675255;top:1560830;height:330200;width:622300;"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OotbZ/X&#10;AAAABgEAAA8AAAAAAAAAAQAgAAAAIgAAAGRycy9kb3ducmV2LnhtbFBLAQIUABQAAAAIAIdO4kBq&#10;BPXhrwEAAFADAAAOAAAAAAAAAAEAIAAAACYBAABkcnMvZTJvRG9jLnhtbFBLBQYAAAAABgAGAFkB&#10;AABHBQAAAAA=&#10;">
                  <v:fill on="f" focussize="0,0"/>
                  <v:stroke on="f"/>
                  <v:imagedata o:title=""/>
                  <o:lock v:ext="edit" aspectratio="f"/>
                  <v:textbox>
                    <w:txbxContent>
                      <w:p w14:paraId="6072A679">
                        <w:pPr>
                          <w:rPr>
                            <w:rFonts w:hint="eastAsia" w:eastAsia="宋体"/>
                            <w:lang w:eastAsia="zh-CN"/>
                          </w:rPr>
                        </w:pPr>
                        <w:r>
                          <w:rPr>
                            <w:rFonts w:hint="eastAsia"/>
                            <w:lang w:val="en-US" w:eastAsia="zh-CN"/>
                          </w:rPr>
                          <w:t>烫芯</w:t>
                        </w:r>
                        <w:r>
                          <w:rPr>
                            <w:rFonts w:hint="eastAsia"/>
                            <w:lang w:eastAsia="zh-CN"/>
                          </w:rPr>
                          <w:t>区</w:t>
                        </w:r>
                      </w:p>
                    </w:txbxContent>
                  </v:textbox>
                </v:rect>
                <v:rect id="_x0000_s1026" o:spid="_x0000_s1026" o:spt="1" style="position:absolute;left:4389755;top:1304290;height:1075690;width:1416050;" fillcolor="#FFFFFF" filled="t" stroked="t" coordsize="21600,21600" o:gfxdata="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1AbZ01QAAAAYBAAAPAAAAAAAAAAEAIAAAACIA&#10;AABkcnMvZG93bnJldi54bWxQSwECFAAUAAAACACHTuJALTF9QgwCAAAvBAAADgAAAAAAAAABACAA&#10;AAAkAQAAZHJzL2Uyb0RvYy54bWxQSwUGAAAAAAYABgBZAQAAogUAAAAA&#10;">
                  <v:fill on="t" focussize="0,0"/>
                  <v:stroke color="#000000" joinstyle="miter"/>
                  <v:imagedata o:title=""/>
                  <o:lock v:ext="edit" aspectratio="f"/>
                </v:rect>
                <v:rect id="_x0000_s1026" o:spid="_x0000_s1026" o:spt="1" style="position:absolute;left:4589780;top:1541780;height:330200;width:622300;"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6i1tn9cA&#10;AAAGAQAADwAAAAAAAAABACAAAAAiAAAAZHJzL2Rvd25yZXYueG1sUEsBAhQAFAAAAAgAh07iQCrT&#10;qN2uAQAAUAMAAA4AAAAAAAAAAQAgAAAAJgEAAGRycy9lMm9Eb2MueG1sUEsFBgAAAAAGAAYAWQEA&#10;AEYFAAAAAA==&#10;">
                  <v:fill on="f" focussize="0,0"/>
                  <v:stroke on="f"/>
                  <v:imagedata o:title=""/>
                  <o:lock v:ext="edit" aspectratio="f"/>
                  <v:textbox>
                    <w:txbxContent>
                      <w:p w14:paraId="76D77E57">
                        <w:pPr>
                          <w:rPr>
                            <w:rFonts w:hint="eastAsia" w:eastAsia="宋体"/>
                            <w:lang w:eastAsia="zh-CN"/>
                          </w:rPr>
                        </w:pPr>
                        <w:r>
                          <w:rPr>
                            <w:rFonts w:hint="eastAsia"/>
                            <w:lang w:val="en-US" w:eastAsia="zh-CN"/>
                          </w:rPr>
                          <w:t>暂存</w:t>
                        </w:r>
                        <w:r>
                          <w:rPr>
                            <w:rFonts w:hint="eastAsia"/>
                            <w:lang w:eastAsia="zh-CN"/>
                          </w:rPr>
                          <w:t>区</w:t>
                        </w:r>
                      </w:p>
                    </w:txbxContent>
                  </v:textbox>
                </v:rect>
                <v:rect id="_x0000_s1026" o:spid="_x0000_s1026" o:spt="1" style="position:absolute;left:5997575;top:2159635;height:330200;width:927100;" fillcolor="#FFFFFF" filled="t" stroked="t" coordsize="21600,21600" o:gfxdata="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P88RZdcAAAAGAQAADwAAAAAAAAAB&#10;ACAAAAAiAAAAZHJzL2Rvd25yZXYueG1sUEsBAhQAFAAAAAgAh07iQFgcKa0RAgAAOgQAAA4AAAAA&#10;AAAAAQAgAAAAJgEAAGRycy9lMm9Eb2MueG1sUEsFBgAAAAAGAAYAWQEAAKkFAAAAAA==&#10;">
                  <v:fill on="t" focussize="0,0"/>
                  <v:stroke color="#000000" joinstyle="miter" dashstyle="dashDot"/>
                  <v:imagedata o:title=""/>
                  <o:lock v:ext="edit" aspectratio="f"/>
                  <v:textbox>
                    <w:txbxContent>
                      <w:p w14:paraId="29082589">
                        <w:pPr>
                          <w:rPr>
                            <w:rFonts w:hint="default" w:eastAsia="宋体"/>
                            <w:b/>
                            <w:bCs/>
                            <w:lang w:val="en-US" w:eastAsia="zh-CN"/>
                          </w:rPr>
                        </w:pPr>
                        <w:r>
                          <w:rPr>
                            <w:rFonts w:hint="eastAsia"/>
                            <w:b/>
                            <w:bCs/>
                            <w:lang w:val="en-US" w:eastAsia="zh-CN"/>
                          </w:rPr>
                          <w:t>一楼平面图</w:t>
                        </w:r>
                      </w:p>
                    </w:txbxContent>
                  </v:textbox>
                </v:rect>
                <v:rect id="_x0000_s1026" o:spid="_x0000_s1026" o:spt="1" style="position:absolute;left:1884680;top:27305;height:330200;width:622300;" filled="f" stroked="f" coordsize="21600,21600" o:gfxdata="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DqLW2f1wAA&#10;AAYBAAAPAAAAAAAAAAEAIAAAACIAAABkcnMvZG93bnJldi54bWxQSwECFAAUAAAACACHTuJAqB5e&#10;hq0BAABOAwAADgAAAAAAAAABACAAAAAmAQAAZHJzL2Uyb0RvYy54bWxQSwUGAAAAAAYABgBZAQAA&#10;RQUAAAAA&#10;">
                  <v:fill on="f" focussize="0,0"/>
                  <v:stroke on="f"/>
                  <v:imagedata o:title=""/>
                  <o:lock v:ext="edit" aspectratio="f"/>
                  <v:textbox>
                    <w:txbxContent>
                      <w:p w14:paraId="0F5339AD">
                        <w:pPr>
                          <w:rPr>
                            <w:rFonts w:hint="default" w:eastAsia="宋体"/>
                            <w:lang w:val="en-US" w:eastAsia="zh-CN"/>
                          </w:rPr>
                        </w:pPr>
                        <w:r>
                          <w:rPr>
                            <w:rFonts w:hint="eastAsia"/>
                            <w:lang w:val="en-US" w:eastAsia="zh-CN"/>
                          </w:rPr>
                          <w:t>楼梯口</w:t>
                        </w:r>
                      </w:p>
                    </w:txbxContent>
                  </v:textbox>
                </v:rect>
                <w10:wrap type="none"/>
                <w10:anchorlock/>
              </v:group>
            </w:pict>
          </mc:Fallback>
        </mc:AlternateContent>
      </w:r>
    </w:p>
    <w:p w14:paraId="58DD26FC">
      <w:pPr>
        <w:pStyle w:val="2"/>
        <w:jc w:val="center"/>
        <w:rPr>
          <w:sz w:val="24"/>
        </w:rPr>
      </w:pPr>
      <w:r>
        <w:rPr>
          <w:sz w:val="24"/>
        </w:rPr>
        <mc:AlternateContent>
          <mc:Choice Requires="wpc">
            <w:drawing>
              <wp:inline distT="0" distB="0" distL="114300" distR="114300">
                <wp:extent cx="5525135" cy="2624455"/>
                <wp:effectExtent l="0" t="0" r="0" b="4445"/>
                <wp:docPr id="169" name="画布 169"/>
                <wp:cNvGraphicFramePr/>
                <a:graphic xmlns:a="http://schemas.openxmlformats.org/drawingml/2006/main">
                  <a:graphicData uri="http://schemas.microsoft.com/office/word/2010/wordprocessingCanvas">
                    <wpc:wpc>
                      <wpc:bg>
                        <a:noFill/>
                      </wpc:bg>
                      <wpc:whole>
                        <a:ln>
                          <a:noFill/>
                        </a:ln>
                      </wpc:whole>
                      <wps:wsp>
                        <wps:cNvPr id="159" name="矩形 159"/>
                        <wps:cNvSpPr/>
                        <wps:spPr>
                          <a:xfrm>
                            <a:off x="179705" y="179705"/>
                            <a:ext cx="4315461" cy="1698626"/>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60" name="矩形 160"/>
                        <wps:cNvSpPr/>
                        <wps:spPr>
                          <a:xfrm>
                            <a:off x="179705" y="179705"/>
                            <a:ext cx="1086485" cy="1704341"/>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61" name="矩形 161"/>
                        <wps:cNvSpPr/>
                        <wps:spPr>
                          <a:xfrm>
                            <a:off x="389255" y="903605"/>
                            <a:ext cx="736600" cy="330200"/>
                          </a:xfrm>
                          <a:prstGeom prst="rect">
                            <a:avLst/>
                          </a:prstGeom>
                          <a:solidFill>
                            <a:srgbClr val="FFFFFF"/>
                          </a:solidFill>
                          <a:ln>
                            <a:noFill/>
                          </a:ln>
                        </wps:spPr>
                        <wps:txbx>
                          <w:txbxContent>
                            <w:p w14:paraId="2612ADD4">
                              <w:pPr>
                                <w:rPr>
                                  <w:rFonts w:hint="default" w:eastAsia="宋体"/>
                                  <w:lang w:val="en-US" w:eastAsia="zh-CN"/>
                                </w:rPr>
                              </w:pPr>
                              <w:r>
                                <w:rPr>
                                  <w:rFonts w:hint="eastAsia"/>
                                  <w:lang w:val="en-US" w:eastAsia="zh-CN"/>
                                </w:rPr>
                                <w:t>办公区</w:t>
                              </w:r>
                            </w:p>
                          </w:txbxContent>
                        </wps:txbx>
                        <wps:bodyPr upright="1"/>
                      </wps:wsp>
                      <wps:wsp>
                        <wps:cNvPr id="162" name="矩形 162"/>
                        <wps:cNvSpPr/>
                        <wps:spPr>
                          <a:xfrm>
                            <a:off x="1265555" y="179705"/>
                            <a:ext cx="1079500" cy="1701801"/>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63" name="矩形 163"/>
                        <wps:cNvSpPr/>
                        <wps:spPr>
                          <a:xfrm>
                            <a:off x="2341880" y="179705"/>
                            <a:ext cx="1079500" cy="1701801"/>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64" name="矩形 164"/>
                        <wps:cNvSpPr/>
                        <wps:spPr>
                          <a:xfrm>
                            <a:off x="3418206" y="179705"/>
                            <a:ext cx="1079500" cy="1701801"/>
                          </a:xfrm>
                          <a:prstGeom prst="rect">
                            <a:avLst/>
                          </a:prstGeom>
                          <a:solidFill>
                            <a:srgbClr val="FFFFFF"/>
                          </a:solidFill>
                          <a:ln w="9525" cap="flat" cmpd="sng">
                            <a:solidFill>
                              <a:srgbClr val="000000"/>
                            </a:solidFill>
                            <a:prstDash val="solid"/>
                            <a:miter/>
                            <a:headEnd type="none" w="med" len="med"/>
                            <a:tailEnd type="none" w="med" len="med"/>
                          </a:ln>
                        </wps:spPr>
                        <wps:bodyPr upright="1"/>
                      </wps:wsp>
                      <wps:wsp>
                        <wps:cNvPr id="165" name="矩形 165"/>
                        <wps:cNvSpPr/>
                        <wps:spPr>
                          <a:xfrm>
                            <a:off x="1532255" y="751205"/>
                            <a:ext cx="736600" cy="330200"/>
                          </a:xfrm>
                          <a:prstGeom prst="rect">
                            <a:avLst/>
                          </a:prstGeom>
                          <a:solidFill>
                            <a:srgbClr val="FFFFFF"/>
                          </a:solidFill>
                          <a:ln>
                            <a:noFill/>
                          </a:ln>
                        </wps:spPr>
                        <wps:txbx>
                          <w:txbxContent>
                            <w:p w14:paraId="2A2BABC1">
                              <w:pPr>
                                <w:rPr>
                                  <w:rFonts w:hint="default" w:eastAsia="宋体"/>
                                  <w:lang w:val="en-US" w:eastAsia="zh-CN"/>
                                </w:rPr>
                              </w:pPr>
                              <w:r>
                                <w:rPr>
                                  <w:rFonts w:hint="eastAsia"/>
                                  <w:lang w:val="en-US" w:eastAsia="zh-CN"/>
                                </w:rPr>
                                <w:t>仓库区</w:t>
                              </w:r>
                            </w:p>
                          </w:txbxContent>
                        </wps:txbx>
                        <wps:bodyPr upright="1"/>
                      </wps:wsp>
                      <wps:wsp>
                        <wps:cNvPr id="166" name="矩形 166"/>
                        <wps:cNvSpPr/>
                        <wps:spPr>
                          <a:xfrm>
                            <a:off x="2560955" y="722630"/>
                            <a:ext cx="736600" cy="330200"/>
                          </a:xfrm>
                          <a:prstGeom prst="rect">
                            <a:avLst/>
                          </a:prstGeom>
                          <a:solidFill>
                            <a:srgbClr val="FFFFFF"/>
                          </a:solidFill>
                          <a:ln>
                            <a:noFill/>
                          </a:ln>
                        </wps:spPr>
                        <wps:txbx>
                          <w:txbxContent>
                            <w:p w14:paraId="72FBD071">
                              <w:pPr>
                                <w:rPr>
                                  <w:rFonts w:hint="default" w:eastAsia="宋体"/>
                                  <w:lang w:val="en-US" w:eastAsia="zh-CN"/>
                                </w:rPr>
                              </w:pPr>
                              <w:r>
                                <w:rPr>
                                  <w:rFonts w:hint="eastAsia"/>
                                  <w:lang w:val="en-US" w:eastAsia="zh-CN"/>
                                </w:rPr>
                                <w:t>组装区</w:t>
                              </w:r>
                            </w:p>
                          </w:txbxContent>
                        </wps:txbx>
                        <wps:bodyPr upright="1"/>
                      </wps:wsp>
                      <wps:wsp>
                        <wps:cNvPr id="167" name="矩形 167"/>
                        <wps:cNvSpPr/>
                        <wps:spPr>
                          <a:xfrm>
                            <a:off x="3656331" y="732155"/>
                            <a:ext cx="736600" cy="330200"/>
                          </a:xfrm>
                          <a:prstGeom prst="rect">
                            <a:avLst/>
                          </a:prstGeom>
                          <a:solidFill>
                            <a:srgbClr val="FFFFFF"/>
                          </a:solidFill>
                          <a:ln>
                            <a:noFill/>
                          </a:ln>
                        </wps:spPr>
                        <wps:txbx>
                          <w:txbxContent>
                            <w:p w14:paraId="16B41706">
                              <w:pPr>
                                <w:rPr>
                                  <w:rFonts w:hint="default" w:eastAsia="宋体"/>
                                  <w:lang w:val="en-US" w:eastAsia="zh-CN"/>
                                </w:rPr>
                              </w:pPr>
                              <w:r>
                                <w:rPr>
                                  <w:rFonts w:hint="eastAsia"/>
                                  <w:lang w:val="en-US" w:eastAsia="zh-CN"/>
                                </w:rPr>
                                <w:t>环氧区</w:t>
                              </w:r>
                            </w:p>
                          </w:txbxContent>
                        </wps:txbx>
                        <wps:bodyPr upright="1"/>
                      </wps:wsp>
                      <wps:wsp>
                        <wps:cNvPr id="168" name="矩形 168"/>
                        <wps:cNvSpPr/>
                        <wps:spPr>
                          <a:xfrm>
                            <a:off x="4484371" y="2294256"/>
                            <a:ext cx="935990" cy="330200"/>
                          </a:xfrm>
                          <a:prstGeom prst="rect">
                            <a:avLst/>
                          </a:prstGeom>
                          <a:solidFill>
                            <a:srgbClr val="FFFFFF"/>
                          </a:solidFill>
                          <a:ln w="9525" cap="flat" cmpd="sng">
                            <a:solidFill>
                              <a:srgbClr val="000000"/>
                            </a:solidFill>
                            <a:prstDash val="dashDot"/>
                            <a:miter/>
                            <a:headEnd type="none" w="med" len="med"/>
                            <a:tailEnd type="none" w="med" len="med"/>
                          </a:ln>
                        </wps:spPr>
                        <wps:txbx>
                          <w:txbxContent>
                            <w:p w14:paraId="1BE0E3C9">
                              <w:pPr>
                                <w:rPr>
                                  <w:rFonts w:hint="default" w:eastAsia="宋体"/>
                                  <w:b/>
                                  <w:bCs/>
                                  <w:lang w:val="en-US" w:eastAsia="zh-CN"/>
                                </w:rPr>
                              </w:pPr>
                              <w:r>
                                <w:rPr>
                                  <w:rFonts w:hint="eastAsia"/>
                                  <w:b/>
                                  <w:bCs/>
                                  <w:lang w:val="en-US" w:eastAsia="zh-CN"/>
                                </w:rPr>
                                <w:t>二楼平面图</w:t>
                              </w:r>
                            </w:p>
                          </w:txbxContent>
                        </wps:txbx>
                        <wps:bodyPr upright="1"/>
                      </wps:wsp>
                    </wpc:wpc>
                  </a:graphicData>
                </a:graphic>
              </wp:inline>
            </w:drawing>
          </mc:Choice>
          <mc:Fallback>
            <w:pict>
              <v:group id="_x0000_s1026" o:spid="_x0000_s1026" o:spt="203" style="height:206.65pt;width:435.05pt;" coordsize="5525135,2624455" editas="canvas" o:gfxdata="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">
                <o:lock v:ext="edit" aspectratio="f"/>
                <v:shape id="_x0000_s1026" o:spid="_x0000_s1026" style="position:absolute;left:0;top:0;height:2624455;width:5525135;" filled="f" stroked="f" coordsize="21600,21600" o:gfxdata="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">
                  <v:fill on="f" focussize="0,0"/>
                  <v:stroke on="f"/>
                  <v:imagedata o:title=""/>
                  <o:lock v:ext="edit" aspectratio="f"/>
                </v:shape>
                <v:rect id="_x0000_s1026" o:spid="_x0000_s1026" o:spt="1" style="position:absolute;left:179705;top:179705;height:1698626;width:4315461;" fillcolor="#FFFFFF" filled="t" stroked="t" coordsize="21600,21600" o:gfxdata="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CHPlwNUAAAAFAQAADwAAAAAAAAABACAAAAAiAAAAZHJzL2Rv&#10;d25yZXYueG1sUEsBAhQAFAAAAAgAh07iQJVXOTwEAgAALQQAAA4AAAAAAAAAAQAgAAAAJAEAAGRy&#10;cy9lMm9Eb2MueG1sUEsFBgAAAAAGAAYAWQEAAJoFAAAAAA==&#10;">
                  <v:fill on="t" focussize="0,0"/>
                  <v:stroke color="#000000" joinstyle="miter"/>
                  <v:imagedata o:title=""/>
                  <o:lock v:ext="edit" aspectratio="f"/>
                </v:rect>
                <v:rect id="_x0000_s1026" o:spid="_x0000_s1026" o:spt="1" style="position:absolute;left:179705;top:179705;height:1704341;width:1086485;" fillcolor="#FFFFFF" filled="t" stroked="t" coordsize="21600,21600" o:gfxdata="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Ic+XA1QAAAAUBAAAPAAAAAAAAAAEAIAAAACIAAABkcnMvZG93bnJl&#10;di54bWxQSwECFAAUAAAACACHTuJAyVmRygACAAAtBAAADgAAAAAAAAABACAAAAAkAQAAZHJzL2Uy&#10;b0RvYy54bWxQSwUGAAAAAAYABgBZAQAAlgUAAAAA&#10;">
                  <v:fill on="t" focussize="0,0"/>
                  <v:stroke color="#000000" joinstyle="miter"/>
                  <v:imagedata o:title=""/>
                  <o:lock v:ext="edit" aspectratio="f"/>
                </v:rect>
                <v:rect id="_x0000_s1026" o:spid="_x0000_s1026" o:spt="1" style="position:absolute;left:389255;top:903605;height:330200;width:736600;" fillcolor="#FFFFFF" filled="t" stroked="f" coordsize="21600,21600" o:gfxdata="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AKKKp7VAAAABQEAAA8AAAAAAAAAAQAgAAAAIgAAAGRycy9kb3ducmV2Lnht&#10;bFBLAQIUABQAAAAIAIdO4kBsZ4TXwwEAAHcDAAAOAAAAAAAAAAEAIAAAACQBAABkcnMvZTJvRG9j&#10;LnhtbFBLBQYAAAAABgAGAFkBAABZBQAAAAA=&#10;">
                  <v:fill on="t" focussize="0,0"/>
                  <v:stroke on="f"/>
                  <v:imagedata o:title=""/>
                  <o:lock v:ext="edit" aspectratio="f"/>
                  <v:textbox>
                    <w:txbxContent>
                      <w:p w14:paraId="2612ADD4">
                        <w:pPr>
                          <w:rPr>
                            <w:rFonts w:hint="default" w:eastAsia="宋体"/>
                            <w:lang w:val="en-US" w:eastAsia="zh-CN"/>
                          </w:rPr>
                        </w:pPr>
                        <w:r>
                          <w:rPr>
                            <w:rFonts w:hint="eastAsia"/>
                            <w:lang w:val="en-US" w:eastAsia="zh-CN"/>
                          </w:rPr>
                          <w:t>办公区</w:t>
                        </w:r>
                      </w:p>
                    </w:txbxContent>
                  </v:textbox>
                </v:rect>
                <v:rect id="_x0000_s1026" o:spid="_x0000_s1026" o:spt="1" style="position:absolute;left:1265555;top:179705;height:1701801;width:1079500;" fillcolor="#FFFFFF" filled="t" stroked="t" coordsize="21600,21600" o:gfxdata="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Ic+XA1QAAAAUBAAAPAAAAAAAAAAEAIAAAACIAAABkcnMvZG93&#10;bnJldi54bWxQSwECFAAUAAAACACHTuJA7rIYIAMCAAAuBAAADgAAAAAAAAABACAAAAAkAQAAZHJz&#10;L2Uyb0RvYy54bWxQSwUGAAAAAAYABgBZAQAAmQUAAAAA&#10;">
                  <v:fill on="t" focussize="0,0"/>
                  <v:stroke color="#000000" joinstyle="miter"/>
                  <v:imagedata o:title=""/>
                  <o:lock v:ext="edit" aspectratio="f"/>
                </v:rect>
                <v:rect id="_x0000_s1026" o:spid="_x0000_s1026" o:spt="1" style="position:absolute;left:2341880;top:179705;height:1701801;width:1079500;" fillcolor="#FFFFFF" filled="t" stroked="t" coordsize="21600,21600" o:gfxdata="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CHPlwNUAAAAFAQAADwAAAAAAAAABACAAAAAiAAAAZHJz&#10;L2Rvd25yZXYueG1sUEsBAhQAFAAAAAgAh07iQKWKQfgHAgAALgQAAA4AAAAAAAAAAQAgAAAAJAEA&#10;AGRycy9lMm9Eb2MueG1sUEsFBgAAAAAGAAYAWQEAAJ0FAAAAAA==&#10;">
                  <v:fill on="t" focussize="0,0"/>
                  <v:stroke color="#000000" joinstyle="miter"/>
                  <v:imagedata o:title=""/>
                  <o:lock v:ext="edit" aspectratio="f"/>
                </v:rect>
                <v:rect id="_x0000_s1026" o:spid="_x0000_s1026" o:spt="1" style="position:absolute;left:3418206;top:179705;height:1701801;width:1079500;" fillcolor="#FFFFFF" filled="t" stroked="t" coordsize="21600,21600" o:gfxdata="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&#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Ahz5cDVAAAABQEAAA8AAAAAAAAAAQAgAAAAIgAAAGRy&#10;cy9kb3ducmV2LnhtbFBLAQIUABQAAAAIAIdO4kBL9B9fCAIAAC4EAAAOAAAAAAAAAAEAIAAAACQB&#10;AABkcnMvZTJvRG9jLnhtbFBLBQYAAAAABgAGAFkBAACeBQAAAAA=&#10;">
                  <v:fill on="t" focussize="0,0"/>
                  <v:stroke color="#000000" joinstyle="miter"/>
                  <v:imagedata o:title=""/>
                  <o:lock v:ext="edit" aspectratio="f"/>
                </v:rect>
                <v:rect id="_x0000_s1026" o:spid="_x0000_s1026" o:spt="1" style="position:absolute;left:1532255;top:751205;height:330200;width:736600;" fillcolor="#FFFFFF" filled="t" stroked="f" coordsize="21600,21600" o:gfxdata="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AKKKp7VAAAABQEAAA8AAAAAAAAAAQAgAAAAIgAAAGRycy9kb3ducmV2Lnht&#10;bFBLAQIUABQAAAAIAIdO4kDYfXn2wwEAAHgDAAAOAAAAAAAAAAEAIAAAACQBAABkcnMvZTJvRG9j&#10;LnhtbFBLBQYAAAAABgAGAFkBAABZBQAAAAA=&#10;">
                  <v:fill on="t" focussize="0,0"/>
                  <v:stroke on="f"/>
                  <v:imagedata o:title=""/>
                  <o:lock v:ext="edit" aspectratio="f"/>
                  <v:textbox>
                    <w:txbxContent>
                      <w:p w14:paraId="2A2BABC1">
                        <w:pPr>
                          <w:rPr>
                            <w:rFonts w:hint="default" w:eastAsia="宋体"/>
                            <w:lang w:val="en-US" w:eastAsia="zh-CN"/>
                          </w:rPr>
                        </w:pPr>
                        <w:r>
                          <w:rPr>
                            <w:rFonts w:hint="eastAsia"/>
                            <w:lang w:val="en-US" w:eastAsia="zh-CN"/>
                          </w:rPr>
                          <w:t>仓库区</w:t>
                        </w:r>
                      </w:p>
                    </w:txbxContent>
                  </v:textbox>
                </v:rect>
                <v:rect id="_x0000_s1026" o:spid="_x0000_s1026" o:spt="1" style="position:absolute;left:2560955;top:722630;height:330200;width:736600;" fillcolor="#FFFFFF" filled="t" stroked="f" coordsize="21600,21600" o:gfxdata="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AooqntUAAAAFAQAADwAAAAAAAAABACAAAAAiAAAAZHJzL2Rvd25yZXYueG1s&#10;UEsBAhQAFAAAAAgAh07iQLj85JjCAQAAeAMAAA4AAAAAAAAAAQAgAAAAJAEAAGRycy9lMm9Eb2Mu&#10;eG1sUEsFBgAAAAAGAAYAWQEAAFgFAAAAAA==&#10;">
                  <v:fill on="t" focussize="0,0"/>
                  <v:stroke on="f"/>
                  <v:imagedata o:title=""/>
                  <o:lock v:ext="edit" aspectratio="f"/>
                  <v:textbox>
                    <w:txbxContent>
                      <w:p w14:paraId="72FBD071">
                        <w:pPr>
                          <w:rPr>
                            <w:rFonts w:hint="default" w:eastAsia="宋体"/>
                            <w:lang w:val="en-US" w:eastAsia="zh-CN"/>
                          </w:rPr>
                        </w:pPr>
                        <w:r>
                          <w:rPr>
                            <w:rFonts w:hint="eastAsia"/>
                            <w:lang w:val="en-US" w:eastAsia="zh-CN"/>
                          </w:rPr>
                          <w:t>组装区</w:t>
                        </w:r>
                      </w:p>
                    </w:txbxContent>
                  </v:textbox>
                </v:rect>
                <v:rect id="_x0000_s1026" o:spid="_x0000_s1026" o:spt="1" style="position:absolute;left:3656331;top:732155;height:330200;width:736600;" fillcolor="#FFFFFF" filled="t" stroked="f" coordsize="21600,21600" o:gfxdata="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Ciiqe1QAAAAUBAAAPAAAAAAAAAAEAIAAAACIAAABkcnMvZG93bnJldi54&#10;bWxQSwECFAAUAAAACACHTuJA/QJGucQBAAB4AwAADgAAAAAAAAABACAAAAAkAQAAZHJzL2Uyb0Rv&#10;Yy54bWxQSwUGAAAAAAYABgBZAQAAWgUAAAAA&#10;">
                  <v:fill on="t" focussize="0,0"/>
                  <v:stroke on="f"/>
                  <v:imagedata o:title=""/>
                  <o:lock v:ext="edit" aspectratio="f"/>
                  <v:textbox>
                    <w:txbxContent>
                      <w:p w14:paraId="16B41706">
                        <w:pPr>
                          <w:rPr>
                            <w:rFonts w:hint="default" w:eastAsia="宋体"/>
                            <w:lang w:val="en-US" w:eastAsia="zh-CN"/>
                          </w:rPr>
                        </w:pPr>
                        <w:r>
                          <w:rPr>
                            <w:rFonts w:hint="eastAsia"/>
                            <w:lang w:val="en-US" w:eastAsia="zh-CN"/>
                          </w:rPr>
                          <w:t>环氧区</w:t>
                        </w:r>
                      </w:p>
                    </w:txbxContent>
                  </v:textbox>
                </v:rect>
                <v:rect id="_x0000_s1026" o:spid="_x0000_s1026" o:spt="1" style="position:absolute;left:4484371;top:2294256;height:330200;width:935990;" fillcolor="#FFFFFF" filled="t" stroked="t" coordsize="21600,21600" o:gfxdata="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06UgZtYAAAAFAQAADwAAAAAAAAAB&#10;ACAAAAAiAAAAZHJzL2Rvd25yZXYueG1sUEsBAhQAFAAAAAgAh07iQGq/LAgSAgAAOgQAAA4AAAAA&#10;AAAAAQAgAAAAJQEAAGRycy9lMm9Eb2MueG1sUEsFBgAAAAAGAAYAWQEAAKkFAAAAAA==&#10;">
                  <v:fill on="t" focussize="0,0"/>
                  <v:stroke color="#000000" joinstyle="miter" dashstyle="dashDot"/>
                  <v:imagedata o:title=""/>
                  <o:lock v:ext="edit" aspectratio="f"/>
                  <v:textbox>
                    <w:txbxContent>
                      <w:p w14:paraId="1BE0E3C9">
                        <w:pPr>
                          <w:rPr>
                            <w:rFonts w:hint="default" w:eastAsia="宋体"/>
                            <w:b/>
                            <w:bCs/>
                            <w:lang w:val="en-US" w:eastAsia="zh-CN"/>
                          </w:rPr>
                        </w:pPr>
                        <w:r>
                          <w:rPr>
                            <w:rFonts w:hint="eastAsia"/>
                            <w:b/>
                            <w:bCs/>
                            <w:lang w:val="en-US" w:eastAsia="zh-CN"/>
                          </w:rPr>
                          <w:t>二楼平面图</w:t>
                        </w:r>
                      </w:p>
                    </w:txbxContent>
                  </v:textbox>
                </v:rect>
                <w10:wrap type="none"/>
                <w10:anchorlock/>
              </v:group>
            </w:pict>
          </mc:Fallback>
        </mc:AlternateContent>
      </w:r>
    </w:p>
    <w:p w14:paraId="440D2BA1">
      <w:pPr>
        <w:jc w:val="center"/>
        <w:rPr>
          <w:rFonts w:hint="eastAsia"/>
          <w:lang w:val="en-US" w:eastAsia="zh-CN"/>
        </w:rPr>
      </w:pPr>
      <w:r>
        <w:rPr>
          <w:rFonts w:hint="eastAsia"/>
          <w:b/>
          <w:bCs/>
          <w:sz w:val="24"/>
          <w:szCs w:val="24"/>
          <w:lang w:eastAsia="zh-CN"/>
        </w:rPr>
        <w:t>附图六</w:t>
      </w:r>
      <w:r>
        <w:rPr>
          <w:rFonts w:hint="eastAsia"/>
          <w:b/>
          <w:bCs/>
          <w:sz w:val="24"/>
          <w:szCs w:val="24"/>
          <w:lang w:val="en-US" w:eastAsia="zh-CN"/>
        </w:rPr>
        <w:t xml:space="preserve">  项目厂区平面布置图</w:t>
      </w:r>
    </w:p>
    <w:p w14:paraId="48092816"/>
    <w:sectPr>
      <w:pgSz w:w="16840" w:h="11907" w:orient="landscape"/>
      <w:pgMar w:top="1230" w:right="1402" w:bottom="1230" w:left="1558"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GWZT-EN"/>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GWZT-EN"/>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GWZT-EN">
    <w:panose1 w:val="02020400000000000000"/>
    <w:charset w:val="86"/>
    <w:family w:val="auto"/>
    <w:pitch w:val="default"/>
    <w:sig w:usb0="A00002BF" w:usb1="38CF7CFA" w:usb2="00082016" w:usb3="00000000" w:csb0="00040001" w:csb1="00000000"/>
  </w:font>
  <w:font w:name="楷体_GB2312">
    <w:altName w:val="方正楷体_GBK"/>
    <w:panose1 w:val="00000000000000000000"/>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新宋体">
    <w:altName w:val="Noto Sans Mono CJK SC"/>
    <w:panose1 w:val="02010609030101010101"/>
    <w:charset w:val="86"/>
    <w:family w:val="modern"/>
    <w:pitch w:val="default"/>
    <w:sig w:usb0="00000000" w:usb1="00000000" w:usb2="00000006" w:usb3="00000000" w:csb0="00040001" w:csb1="00000000"/>
  </w:font>
  <w:font w:name="Noto Sans Mono CJK SC">
    <w:panose1 w:val="020B0500000000000000"/>
    <w:charset w:val="86"/>
    <w:family w:val="auto"/>
    <w:pitch w:val="default"/>
    <w:sig w:usb0="30000083" w:usb1="2BDF3C10" w:usb2="00000016" w:usb3="00000000" w:csb0="602E0107" w:csb1="00000000"/>
  </w:font>
  <w:font w:name="华康简宋">
    <w:altName w:val="方正书宋_GBK"/>
    <w:panose1 w:val="00000000000000000000"/>
    <w:charset w:val="86"/>
    <w:family w:val="modern"/>
    <w:pitch w:val="default"/>
    <w:sig w:usb0="00000000" w:usb1="00000000" w:usb2="00000010" w:usb3="00000000" w:csb0="00040000" w:csb1="00000000"/>
  </w:font>
  <w:font w:name="FangSong_GB2312">
    <w:altName w:val="方正仿宋_GBK"/>
    <w:panose1 w:val="02010609060101010101"/>
    <w:charset w:val="86"/>
    <w:family w:val="modern"/>
    <w:pitch w:val="default"/>
    <w:sig w:usb0="00000000" w:usb1="00000000" w:usb2="00000016" w:usb3="00000000" w:csb0="00040001" w:csb1="00000000"/>
  </w:font>
  <w:font w:name="Kingsoft Symbol">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B31834">
    <w:pPr>
      <w:pStyle w:val="1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C5A48">
    <w:pPr>
      <w:pStyle w:val="19"/>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2"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5DA221CC">
                          <w:pPr>
                            <w:pStyle w:val="19"/>
                            <w:rPr>
                              <w:rStyle w:val="31"/>
                            </w:rPr>
                          </w:pPr>
                          <w:r>
                            <w:fldChar w:fldCharType="begin"/>
                          </w:r>
                          <w:r>
                            <w:rPr>
                              <w:rStyle w:val="31"/>
                            </w:rPr>
                            <w:instrText xml:space="preserve">PAGE  </w:instrText>
                          </w:r>
                          <w:r>
                            <w:fldChar w:fldCharType="separate"/>
                          </w:r>
                          <w:r>
                            <w:rPr>
                              <w:rStyle w:val="31"/>
                            </w:rPr>
                            <w:t>5</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M6pebnPAAAABQEAAA8AAAAAAAAAAQAgAAAA&#10;IgAAAGRycy9kb3ducmV2LnhtbFBLAQIUABQAAAAIAIdO4kBTA4uC2wEAALUDAAAOAAAAAAAAAAEA&#10;IAAAAB4BAABkcnMvZTJvRG9jLnhtbFBLBQYAAAAABgAGAFkBAABrBQAAAAA=&#10;">
              <v:fill on="f" focussize="0,0"/>
              <v:stroke on="f"/>
              <v:imagedata o:title=""/>
              <o:lock v:ext="edit" aspectratio="f"/>
              <v:textbox inset="0mm,0mm,0mm,0mm" style="mso-fit-shape-to-text:t;">
                <w:txbxContent>
                  <w:p w14:paraId="5DA221CC">
                    <w:pPr>
                      <w:pStyle w:val="19"/>
                      <w:rPr>
                        <w:rStyle w:val="31"/>
                      </w:rPr>
                    </w:pPr>
                    <w:r>
                      <w:fldChar w:fldCharType="begin"/>
                    </w:r>
                    <w:r>
                      <w:rPr>
                        <w:rStyle w:val="31"/>
                      </w:rPr>
                      <w:instrText xml:space="preserve">PAGE  </w:instrText>
                    </w:r>
                    <w:r>
                      <w:fldChar w:fldCharType="separate"/>
                    </w:r>
                    <w:r>
                      <w:rPr>
                        <w:rStyle w:val="31"/>
                      </w:rPr>
                      <w:t>5</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FF0BF">
    <w:pPr>
      <w:pStyle w:val="19"/>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4AB84EA6">
                          <w:pPr>
                            <w:pStyle w:val="19"/>
                            <w:rPr>
                              <w:rStyle w:val="31"/>
                            </w:rPr>
                          </w:pPr>
                          <w:r>
                            <w:fldChar w:fldCharType="begin"/>
                          </w:r>
                          <w:r>
                            <w:rPr>
                              <w:rStyle w:val="31"/>
                            </w:rPr>
                            <w:instrText xml:space="preserve">PAGE  </w:instrText>
                          </w:r>
                          <w:r>
                            <w:fldChar w:fldCharType="separate"/>
                          </w:r>
                          <w:r>
                            <w:rPr>
                              <w:rStyle w:val="31"/>
                            </w:rPr>
                            <w:t>19</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zql5uc8AAAAFAQAADwAAAAAAAAABACAAAAAi&#10;AAAAZHJzL2Rvd25yZXYueG1sUEsBAhQAFAAAAAgAh07iQL3CUU3aAQAAtQMAAA4AAAAAAAAAAQAg&#10;AAAAHgEAAGRycy9lMm9Eb2MueG1sUEsFBgAAAAAGAAYAWQEAAGoFAAAAAA==&#10;">
              <v:fill on="f" focussize="0,0"/>
              <v:stroke on="f"/>
              <v:imagedata o:title=""/>
              <o:lock v:ext="edit" aspectratio="f"/>
              <v:textbox inset="0mm,0mm,0mm,0mm" style="mso-fit-shape-to-text:t;">
                <w:txbxContent>
                  <w:p w14:paraId="4AB84EA6">
                    <w:pPr>
                      <w:pStyle w:val="19"/>
                      <w:rPr>
                        <w:rStyle w:val="31"/>
                      </w:rPr>
                    </w:pPr>
                    <w:r>
                      <w:fldChar w:fldCharType="begin"/>
                    </w:r>
                    <w:r>
                      <w:rPr>
                        <w:rStyle w:val="31"/>
                      </w:rPr>
                      <w:instrText xml:space="preserve">PAGE  </w:instrText>
                    </w:r>
                    <w:r>
                      <w:fldChar w:fldCharType="separate"/>
                    </w:r>
                    <w:r>
                      <w:rPr>
                        <w:rStyle w:val="31"/>
                      </w:rPr>
                      <w:t>19</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6C361">
    <w:pPr>
      <w:pStyle w:val="19"/>
      <w:tabs>
        <w:tab w:val="center" w:pos="4156"/>
        <w:tab w:val="clear" w:pos="4153"/>
      </w:tabs>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00A252CA">
                          <w:pPr>
                            <w:pStyle w:val="19"/>
                            <w:rPr>
                              <w:rStyle w:val="31"/>
                            </w:rPr>
                          </w:pPr>
                          <w:r>
                            <w:fldChar w:fldCharType="begin"/>
                          </w:r>
                          <w:r>
                            <w:rPr>
                              <w:rStyle w:val="31"/>
                            </w:rPr>
                            <w:instrText xml:space="preserve">PAGE  </w:instrText>
                          </w:r>
                          <w:r>
                            <w:fldChar w:fldCharType="separate"/>
                          </w:r>
                          <w:r>
                            <w:rPr>
                              <w:rStyle w:val="31"/>
                            </w:rPr>
                            <w:t>52</w:t>
                          </w:r>
                          <w:r>
                            <w:fldChar w:fldCharType="end"/>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M6pebnPAAAABQEAAA8AAAAAAAAAAQAgAAAA&#10;IgAAAGRycy9kb3ducmV2LnhtbFBLAQIUABQAAAAIAIdO4kCfWaJi2wEAALUDAAAOAAAAAAAAAAEA&#10;IAAAAB4BAABkcnMvZTJvRG9jLnhtbFBLBQYAAAAABgAGAFkBAABrBQAAAAA=&#10;">
              <v:fill on="f" focussize="0,0"/>
              <v:stroke on="f"/>
              <v:imagedata o:title=""/>
              <o:lock v:ext="edit" aspectratio="f"/>
              <v:textbox inset="0mm,0mm,0mm,0mm" style="mso-fit-shape-to-text:t;">
                <w:txbxContent>
                  <w:p w14:paraId="00A252CA">
                    <w:pPr>
                      <w:pStyle w:val="19"/>
                      <w:rPr>
                        <w:rStyle w:val="31"/>
                      </w:rPr>
                    </w:pPr>
                    <w:r>
                      <w:fldChar w:fldCharType="begin"/>
                    </w:r>
                    <w:r>
                      <w:rPr>
                        <w:rStyle w:val="31"/>
                      </w:rPr>
                      <w:instrText xml:space="preserve">PAGE  </w:instrText>
                    </w:r>
                    <w:r>
                      <w:fldChar w:fldCharType="separate"/>
                    </w:r>
                    <w:r>
                      <w:rPr>
                        <w:rStyle w:val="31"/>
                      </w:rPr>
                      <w:t>52</w:t>
                    </w:r>
                    <w:r>
                      <w:fldChar w:fldCharType="end"/>
                    </w:r>
                  </w:p>
                </w:txbxContent>
              </v:textbox>
            </v:shape>
          </w:pict>
        </mc:Fallback>
      </mc:AlternateContent>
    </w:r>
    <w:r>
      <w:rPr>
        <w:rFonts w:hint="eastAsia"/>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87A3C">
    <w:pPr>
      <w:pStyle w:val="19"/>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3" name="文本框 1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0DDB00">
                          <w:pPr>
                            <w:pStyle w:val="19"/>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FvUZ8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FvUZ8zAgAAZQQAAA4AAAAAAAAAAQAgAAAAHwEAAGRycy9lMm9Eb2MueG1sUEsF&#10;BgAAAAAGAAYAWQEAAMQFAAAAAA==&#10;">
              <v:fill on="f" focussize="0,0"/>
              <v:stroke on="f" weight="0.5pt"/>
              <v:imagedata o:title=""/>
              <o:lock v:ext="edit" aspectratio="f"/>
              <v:textbox inset="0mm,0mm,0mm,0mm" style="mso-fit-shape-to-text:t;">
                <w:txbxContent>
                  <w:p w14:paraId="760DDB00">
                    <w:pPr>
                      <w:pStyle w:val="19"/>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56</w:t>
                    </w:r>
                    <w:r>
                      <w:rPr>
                        <w:rFonts w:hint="eastAsia"/>
                        <w:lang w:eastAsia="zh-CN"/>
                      </w:rPr>
                      <w:fldChar w:fldCharType="end"/>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posOffset>4426585</wp:posOffset>
              </wp:positionH>
              <wp:positionV relativeFrom="paragraph">
                <wp:posOffset>0</wp:posOffset>
              </wp:positionV>
              <wp:extent cx="285750" cy="168910"/>
              <wp:effectExtent l="0" t="0" r="0" b="0"/>
              <wp:wrapNone/>
              <wp:docPr id="113" name="文本框 10"/>
              <wp:cNvGraphicFramePr/>
              <a:graphic xmlns:a="http://schemas.openxmlformats.org/drawingml/2006/main">
                <a:graphicData uri="http://schemas.microsoft.com/office/word/2010/wordprocessingShape">
                  <wps:wsp>
                    <wps:cNvSpPr txBox="1"/>
                    <wps:spPr>
                      <a:xfrm flipH="1">
                        <a:off x="0" y="0"/>
                        <a:ext cx="285750" cy="168910"/>
                      </a:xfrm>
                      <a:prstGeom prst="rect">
                        <a:avLst/>
                      </a:prstGeom>
                      <a:noFill/>
                      <a:ln w="9525">
                        <a:noFill/>
                      </a:ln>
                      <a:effectLst/>
                    </wps:spPr>
                    <wps:txbx>
                      <w:txbxContent>
                        <w:p w14:paraId="505114AB">
                          <w:pPr>
                            <w:pStyle w:val="19"/>
                            <w:rPr>
                              <w:sz w:val="24"/>
                              <w:szCs w:val="24"/>
                            </w:rPr>
                          </w:pPr>
                        </w:p>
                      </w:txbxContent>
                    </wps:txbx>
                    <wps:bodyPr wrap="square" lIns="0" tIns="0" rIns="0" bIns="0" upright="0"/>
                  </wps:wsp>
                </a:graphicData>
              </a:graphic>
            </wp:anchor>
          </w:drawing>
        </mc:Choice>
        <mc:Fallback>
          <w:pict>
            <v:shape id="文本框 10" o:spid="_x0000_s1026" o:spt="202" type="#_x0000_t202" style="position:absolute;left:0pt;flip:x;margin-left:348.55pt;margin-top:0pt;height:13.3pt;width:22.5pt;mso-position-horizontal-relative:margin;z-index:251663360;mso-width-relative:page;mso-height-relative:page;" filled="f" stroked="f" coordsize="21600,21600" o:gfxdata="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t6+aH1QAAAAcBAAAPAAAAAAAAAAEA&#10;IAAAACIAAABkcnMvZG93bnJldi54bWxQSwECFAAUAAAACACHTuJA1VjAtNkBAACjAwAADgAAAAAA&#10;AAABACAAAAAkAQAAZHJzL2Uyb0RvYy54bWxQSwUGAAAAAAYABgBZAQAAbwUAAAAA&#10;">
              <v:fill on="f" focussize="0,0"/>
              <v:stroke on="f"/>
              <v:imagedata o:title=""/>
              <o:lock v:ext="edit" aspectratio="f"/>
              <v:textbox inset="0mm,0mm,0mm,0mm">
                <w:txbxContent>
                  <w:p w14:paraId="505114AB">
                    <w:pPr>
                      <w:pStyle w:val="19"/>
                      <w:rPr>
                        <w:sz w:val="24"/>
                        <w:szCs w:val="24"/>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DB930">
    <w:pPr>
      <w:pStyle w:val="19"/>
    </w:pPr>
    <w:r>
      <mc:AlternateContent>
        <mc:Choice Requires="wps">
          <w:drawing>
            <wp:anchor distT="0" distB="0" distL="114300" distR="114300" simplePos="0" relativeHeight="251666432" behindDoc="0" locked="0" layoutInCell="1" allowOverlap="1">
              <wp:simplePos x="0" y="0"/>
              <wp:positionH relativeFrom="margin">
                <wp:posOffset>4426585</wp:posOffset>
              </wp:positionH>
              <wp:positionV relativeFrom="paragraph">
                <wp:posOffset>0</wp:posOffset>
              </wp:positionV>
              <wp:extent cx="285750" cy="168910"/>
              <wp:effectExtent l="0" t="0" r="0" b="0"/>
              <wp:wrapNone/>
              <wp:docPr id="125" name="文本框 10"/>
              <wp:cNvGraphicFramePr/>
              <a:graphic xmlns:a="http://schemas.openxmlformats.org/drawingml/2006/main">
                <a:graphicData uri="http://schemas.microsoft.com/office/word/2010/wordprocessingShape">
                  <wps:wsp>
                    <wps:cNvSpPr txBox="1"/>
                    <wps:spPr>
                      <a:xfrm flipH="1">
                        <a:off x="0" y="0"/>
                        <a:ext cx="285750" cy="168910"/>
                      </a:xfrm>
                      <a:prstGeom prst="rect">
                        <a:avLst/>
                      </a:prstGeom>
                      <a:noFill/>
                      <a:ln w="9525">
                        <a:noFill/>
                      </a:ln>
                      <a:effectLst/>
                    </wps:spPr>
                    <wps:txbx>
                      <w:txbxContent>
                        <w:p w14:paraId="798047C0">
                          <w:pPr>
                            <w:pStyle w:val="19"/>
                            <w:rPr>
                              <w:sz w:val="24"/>
                              <w:szCs w:val="24"/>
                            </w:rPr>
                          </w:pPr>
                        </w:p>
                      </w:txbxContent>
                    </wps:txbx>
                    <wps:bodyPr wrap="square" lIns="0" tIns="0" rIns="0" bIns="0" upright="0"/>
                  </wps:wsp>
                </a:graphicData>
              </a:graphic>
            </wp:anchor>
          </w:drawing>
        </mc:Choice>
        <mc:Fallback>
          <w:pict>
            <v:shape id="文本框 10" o:spid="_x0000_s1026" o:spt="202" type="#_x0000_t202" style="position:absolute;left:0pt;flip:x;margin-left:348.55pt;margin-top:0pt;height:13.3pt;width:22.5pt;mso-position-horizontal-relative:margin;z-index:251666432;mso-width-relative:page;mso-height-relative:page;" filled="f" stroked="f" coordsize="21600,21600" o:gfxdata="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revmh9UAAAAHAQAADwAAAAAAAAABACAA&#10;AAAiAAAAZHJzL2Rvd25yZXYueG1sUEsBAhQAFAAAAAgAh07iQGOojGTXAQAAowMAAA4AAAAAAAAA&#10;AQAgAAAAJAEAAGRycy9lMm9Eb2MueG1sUEsFBgAAAAAGAAYAWQEAAG0FAAAAAA==&#10;">
              <v:fill on="f" focussize="0,0"/>
              <v:stroke on="f"/>
              <v:imagedata o:title=""/>
              <o:lock v:ext="edit" aspectratio="f"/>
              <v:textbox inset="0mm,0mm,0mm,0mm">
                <w:txbxContent>
                  <w:p w14:paraId="798047C0">
                    <w:pPr>
                      <w:pStyle w:val="19"/>
                      <w:rPr>
                        <w:sz w:val="24"/>
                        <w:szCs w:val="24"/>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6C6687">
    <w:pPr>
      <w:pStyle w:val="2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6423FF"/>
    <w:multiLevelType w:val="singleLevel"/>
    <w:tmpl w:val="A16423FF"/>
    <w:lvl w:ilvl="0" w:tentative="0">
      <w:start w:val="2"/>
      <w:numFmt w:val="chineseCounting"/>
      <w:suff w:val="nothing"/>
      <w:lvlText w:val="%1、"/>
      <w:lvlJc w:val="left"/>
      <w:rPr>
        <w:rFonts w:hint="eastAsia"/>
      </w:rPr>
    </w:lvl>
  </w:abstractNum>
  <w:abstractNum w:abstractNumId="1">
    <w:nsid w:val="A4C9EE68"/>
    <w:multiLevelType w:val="singleLevel"/>
    <w:tmpl w:val="A4C9EE68"/>
    <w:lvl w:ilvl="0" w:tentative="0">
      <w:start w:val="9"/>
      <w:numFmt w:val="decimal"/>
      <w:suff w:val="nothing"/>
      <w:lvlText w:val="%1、"/>
      <w:lvlJc w:val="left"/>
    </w:lvl>
  </w:abstractNum>
  <w:abstractNum w:abstractNumId="2">
    <w:nsid w:val="AA2D9E21"/>
    <w:multiLevelType w:val="singleLevel"/>
    <w:tmpl w:val="AA2D9E21"/>
    <w:lvl w:ilvl="0" w:tentative="0">
      <w:start w:val="4"/>
      <w:numFmt w:val="decimal"/>
      <w:suff w:val="nothing"/>
      <w:lvlText w:val="（%1）"/>
      <w:lvlJc w:val="left"/>
    </w:lvl>
  </w:abstractNum>
  <w:abstractNum w:abstractNumId="3">
    <w:nsid w:val="C1371894"/>
    <w:multiLevelType w:val="singleLevel"/>
    <w:tmpl w:val="C1371894"/>
    <w:lvl w:ilvl="0" w:tentative="0">
      <w:start w:val="1"/>
      <w:numFmt w:val="decimal"/>
      <w:suff w:val="nothing"/>
      <w:lvlText w:val="%1、"/>
      <w:lvlJc w:val="left"/>
    </w:lvl>
  </w:abstractNum>
  <w:abstractNum w:abstractNumId="4">
    <w:nsid w:val="1FC91163"/>
    <w:multiLevelType w:val="multilevel"/>
    <w:tmpl w:val="1FC9116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108"/>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107"/>
      <w:suff w:val="nothing"/>
      <w:lvlText w:val="%1.%2.%3　"/>
      <w:lvlJc w:val="left"/>
      <w:pPr>
        <w:ind w:left="0" w:firstLine="0"/>
      </w:pPr>
      <w:rPr>
        <w:rFonts w:hint="eastAsia" w:ascii="黑体" w:hAnsi="Times New Roman" w:eastAsia="黑体"/>
        <w:b w:val="0"/>
        <w:i w:val="0"/>
        <w:color w:val="auto"/>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5">
    <w:nsid w:val="2E2520DA"/>
    <w:multiLevelType w:val="singleLevel"/>
    <w:tmpl w:val="2E2520DA"/>
    <w:lvl w:ilvl="0" w:tentative="0">
      <w:start w:val="1"/>
      <w:numFmt w:val="bullet"/>
      <w:pStyle w:val="12"/>
      <w:lvlText w:val=""/>
      <w:lvlJc w:val="left"/>
      <w:pPr>
        <w:tabs>
          <w:tab w:val="left" w:pos="2040"/>
        </w:tabs>
        <w:ind w:left="2040" w:hanging="360"/>
      </w:pPr>
      <w:rPr>
        <w:rFonts w:hint="default" w:ascii="Wingdings" w:hAnsi="Wingdings"/>
      </w:rPr>
    </w:lvl>
  </w:abstractNum>
  <w:abstractNum w:abstractNumId="6">
    <w:nsid w:val="52225394"/>
    <w:multiLevelType w:val="singleLevel"/>
    <w:tmpl w:val="52225394"/>
    <w:lvl w:ilvl="0" w:tentative="0">
      <w:start w:val="8"/>
      <w:numFmt w:val="decimal"/>
      <w:suff w:val="nothing"/>
      <w:lvlText w:val="（%1）"/>
      <w:lvlJc w:val="left"/>
    </w:lvl>
  </w:abstractNum>
  <w:abstractNum w:abstractNumId="7">
    <w:nsid w:val="5A584BD4"/>
    <w:multiLevelType w:val="singleLevel"/>
    <w:tmpl w:val="5A584BD4"/>
    <w:lvl w:ilvl="0" w:tentative="0">
      <w:start w:val="1"/>
      <w:numFmt w:val="chineseCounting"/>
      <w:suff w:val="nothing"/>
      <w:lvlText w:val="%1、"/>
      <w:lvlJc w:val="left"/>
    </w:lvl>
  </w:abstractNum>
  <w:abstractNum w:abstractNumId="8">
    <w:nsid w:val="5AEE2FB9"/>
    <w:multiLevelType w:val="multilevel"/>
    <w:tmpl w:val="5AEE2FB9"/>
    <w:lvl w:ilvl="0" w:tentative="0">
      <w:start w:val="1"/>
      <w:numFmt w:val="chineseCountingThousand"/>
      <w:pStyle w:val="84"/>
      <w:lvlText w:val="%1、"/>
      <w:lvlJc w:val="left"/>
      <w:pPr>
        <w:tabs>
          <w:tab w:val="left" w:pos="900"/>
        </w:tabs>
        <w:ind w:left="900" w:hanging="420"/>
      </w:pPr>
    </w:lvl>
    <w:lvl w:ilvl="1" w:tentative="0">
      <w:start w:val="1"/>
      <w:numFmt w:val="decimal"/>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9">
    <w:nsid w:val="6204C6C7"/>
    <w:multiLevelType w:val="singleLevel"/>
    <w:tmpl w:val="6204C6C7"/>
    <w:lvl w:ilvl="0" w:tentative="0">
      <w:start w:val="8"/>
      <w:numFmt w:val="chineseCounting"/>
      <w:suff w:val="nothing"/>
      <w:lvlText w:val="%1、"/>
      <w:lvlJc w:val="left"/>
      <w:rPr>
        <w:rFonts w:hint="eastAsia"/>
      </w:rPr>
    </w:lvl>
  </w:abstractNum>
  <w:num w:numId="1">
    <w:abstractNumId w:val="5"/>
  </w:num>
  <w:num w:numId="2">
    <w:abstractNumId w:val="8"/>
  </w:num>
  <w:num w:numId="3">
    <w:abstractNumId w:val="4"/>
  </w:num>
  <w:num w:numId="4">
    <w:abstractNumId w:val="6"/>
  </w:num>
  <w:num w:numId="5">
    <w:abstractNumId w:val="2"/>
  </w:num>
  <w:num w:numId="6">
    <w:abstractNumId w:val="0"/>
  </w:num>
  <w:num w:numId="7">
    <w:abstractNumId w:val="3"/>
  </w:num>
  <w:num w:numId="8">
    <w:abstractNumId w:val="1"/>
  </w:num>
  <w:num w:numId="9">
    <w:abstractNumId w:val="7"/>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hideSpellingErrors/>
  <w:documentProtection w:enforcement="0"/>
  <w:defaultTabStop w:val="425"/>
  <w:drawingGridHorizontalSpacing w:val="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
    </o:shapelayout>
  </w:hdrShapeDefaults>
  <w:compat>
    <w:spaceForUL/>
    <w:balanceSingleByteDoubleByteWidth/>
    <w:doNotLeaveBackslashAlon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hN2E0NjdjN2NlNzg0YmU3ZDljMDZjZTM4ZjdhZmUifQ=="/>
  </w:docVars>
  <w:rsids>
    <w:rsidRoot w:val="00172A27"/>
    <w:rsid w:val="00000093"/>
    <w:rsid w:val="00002080"/>
    <w:rsid w:val="00005B22"/>
    <w:rsid w:val="00006542"/>
    <w:rsid w:val="00010F5E"/>
    <w:rsid w:val="00014B56"/>
    <w:rsid w:val="00017F29"/>
    <w:rsid w:val="0002152F"/>
    <w:rsid w:val="000254F8"/>
    <w:rsid w:val="00025A53"/>
    <w:rsid w:val="00033BCE"/>
    <w:rsid w:val="000446E6"/>
    <w:rsid w:val="0004498B"/>
    <w:rsid w:val="000476F5"/>
    <w:rsid w:val="0005319D"/>
    <w:rsid w:val="00061247"/>
    <w:rsid w:val="00061712"/>
    <w:rsid w:val="000621F0"/>
    <w:rsid w:val="00064F3E"/>
    <w:rsid w:val="0006641F"/>
    <w:rsid w:val="00071E6F"/>
    <w:rsid w:val="000731D8"/>
    <w:rsid w:val="0007599A"/>
    <w:rsid w:val="0007688E"/>
    <w:rsid w:val="000808EB"/>
    <w:rsid w:val="000A11C3"/>
    <w:rsid w:val="000A46C5"/>
    <w:rsid w:val="000B3EC0"/>
    <w:rsid w:val="000D1520"/>
    <w:rsid w:val="000D202D"/>
    <w:rsid w:val="000D4665"/>
    <w:rsid w:val="000D47C7"/>
    <w:rsid w:val="000E0F85"/>
    <w:rsid w:val="000E5346"/>
    <w:rsid w:val="000E74B1"/>
    <w:rsid w:val="000E7842"/>
    <w:rsid w:val="000F1B33"/>
    <w:rsid w:val="00101C0B"/>
    <w:rsid w:val="00103BC1"/>
    <w:rsid w:val="00104A15"/>
    <w:rsid w:val="00105E4E"/>
    <w:rsid w:val="00106B68"/>
    <w:rsid w:val="001106AB"/>
    <w:rsid w:val="00110D54"/>
    <w:rsid w:val="00111A60"/>
    <w:rsid w:val="00111FB0"/>
    <w:rsid w:val="0011430C"/>
    <w:rsid w:val="00115156"/>
    <w:rsid w:val="00116A4F"/>
    <w:rsid w:val="00124581"/>
    <w:rsid w:val="001329F2"/>
    <w:rsid w:val="0013437A"/>
    <w:rsid w:val="001513D5"/>
    <w:rsid w:val="00152CB9"/>
    <w:rsid w:val="00154047"/>
    <w:rsid w:val="00160B4D"/>
    <w:rsid w:val="00164496"/>
    <w:rsid w:val="00172A27"/>
    <w:rsid w:val="0017411E"/>
    <w:rsid w:val="00180D00"/>
    <w:rsid w:val="00182714"/>
    <w:rsid w:val="001835A5"/>
    <w:rsid w:val="001840E8"/>
    <w:rsid w:val="00190569"/>
    <w:rsid w:val="0019062C"/>
    <w:rsid w:val="001A5C95"/>
    <w:rsid w:val="001A6550"/>
    <w:rsid w:val="001B3355"/>
    <w:rsid w:val="001B4FBB"/>
    <w:rsid w:val="001C2F26"/>
    <w:rsid w:val="001C72E5"/>
    <w:rsid w:val="001D1762"/>
    <w:rsid w:val="001D1A4F"/>
    <w:rsid w:val="001D371F"/>
    <w:rsid w:val="001E4686"/>
    <w:rsid w:val="001E5479"/>
    <w:rsid w:val="001E5EFC"/>
    <w:rsid w:val="001F32B4"/>
    <w:rsid w:val="001F4CFE"/>
    <w:rsid w:val="00200E4F"/>
    <w:rsid w:val="002025EE"/>
    <w:rsid w:val="0020757D"/>
    <w:rsid w:val="0021327C"/>
    <w:rsid w:val="00214843"/>
    <w:rsid w:val="002149AA"/>
    <w:rsid w:val="002165F8"/>
    <w:rsid w:val="00226FCC"/>
    <w:rsid w:val="00231FCC"/>
    <w:rsid w:val="0023354C"/>
    <w:rsid w:val="00233688"/>
    <w:rsid w:val="002336F2"/>
    <w:rsid w:val="00247242"/>
    <w:rsid w:val="0025340F"/>
    <w:rsid w:val="00253FDC"/>
    <w:rsid w:val="002557FA"/>
    <w:rsid w:val="00255C86"/>
    <w:rsid w:val="00256355"/>
    <w:rsid w:val="00256F37"/>
    <w:rsid w:val="00261D5E"/>
    <w:rsid w:val="00263531"/>
    <w:rsid w:val="002635FB"/>
    <w:rsid w:val="00273B18"/>
    <w:rsid w:val="0028045A"/>
    <w:rsid w:val="00282F91"/>
    <w:rsid w:val="00283CBA"/>
    <w:rsid w:val="002A3A05"/>
    <w:rsid w:val="002A40F4"/>
    <w:rsid w:val="002C2755"/>
    <w:rsid w:val="002D6E14"/>
    <w:rsid w:val="002E497F"/>
    <w:rsid w:val="002E5413"/>
    <w:rsid w:val="002E7798"/>
    <w:rsid w:val="002E780A"/>
    <w:rsid w:val="002F3D38"/>
    <w:rsid w:val="002F4358"/>
    <w:rsid w:val="00300527"/>
    <w:rsid w:val="003005AA"/>
    <w:rsid w:val="00302FE2"/>
    <w:rsid w:val="00305449"/>
    <w:rsid w:val="003070FB"/>
    <w:rsid w:val="0031014D"/>
    <w:rsid w:val="00311205"/>
    <w:rsid w:val="003131DC"/>
    <w:rsid w:val="00316B71"/>
    <w:rsid w:val="003251E5"/>
    <w:rsid w:val="00330311"/>
    <w:rsid w:val="00337769"/>
    <w:rsid w:val="003416AE"/>
    <w:rsid w:val="00341954"/>
    <w:rsid w:val="003474A0"/>
    <w:rsid w:val="0035180C"/>
    <w:rsid w:val="00352857"/>
    <w:rsid w:val="0036729D"/>
    <w:rsid w:val="00371570"/>
    <w:rsid w:val="00383CC5"/>
    <w:rsid w:val="003847FF"/>
    <w:rsid w:val="00384910"/>
    <w:rsid w:val="00385940"/>
    <w:rsid w:val="00387305"/>
    <w:rsid w:val="00387CEA"/>
    <w:rsid w:val="00391407"/>
    <w:rsid w:val="00392159"/>
    <w:rsid w:val="00397131"/>
    <w:rsid w:val="003B1073"/>
    <w:rsid w:val="003B3E3B"/>
    <w:rsid w:val="003B78D5"/>
    <w:rsid w:val="003C6C32"/>
    <w:rsid w:val="003D2768"/>
    <w:rsid w:val="003D3DDB"/>
    <w:rsid w:val="003D65B3"/>
    <w:rsid w:val="003E04C1"/>
    <w:rsid w:val="003E0DA7"/>
    <w:rsid w:val="003E405C"/>
    <w:rsid w:val="003F4A70"/>
    <w:rsid w:val="003F50F7"/>
    <w:rsid w:val="003F6F3A"/>
    <w:rsid w:val="00400F76"/>
    <w:rsid w:val="00401801"/>
    <w:rsid w:val="00403180"/>
    <w:rsid w:val="00403529"/>
    <w:rsid w:val="00404CA9"/>
    <w:rsid w:val="00404DE4"/>
    <w:rsid w:val="00406674"/>
    <w:rsid w:val="004070E6"/>
    <w:rsid w:val="0041179C"/>
    <w:rsid w:val="00412C5D"/>
    <w:rsid w:val="0041640D"/>
    <w:rsid w:val="00421B9C"/>
    <w:rsid w:val="00425ACE"/>
    <w:rsid w:val="00430369"/>
    <w:rsid w:val="00434508"/>
    <w:rsid w:val="00436AFC"/>
    <w:rsid w:val="00443549"/>
    <w:rsid w:val="004449AC"/>
    <w:rsid w:val="00445421"/>
    <w:rsid w:val="004459F2"/>
    <w:rsid w:val="00445E1F"/>
    <w:rsid w:val="0045039C"/>
    <w:rsid w:val="004533A7"/>
    <w:rsid w:val="004569C4"/>
    <w:rsid w:val="004660A3"/>
    <w:rsid w:val="00467894"/>
    <w:rsid w:val="00471A0A"/>
    <w:rsid w:val="00472ECB"/>
    <w:rsid w:val="00477D36"/>
    <w:rsid w:val="00486B32"/>
    <w:rsid w:val="00487992"/>
    <w:rsid w:val="00490A87"/>
    <w:rsid w:val="004947C6"/>
    <w:rsid w:val="004958C2"/>
    <w:rsid w:val="004A01FB"/>
    <w:rsid w:val="004A22F9"/>
    <w:rsid w:val="004A3E9D"/>
    <w:rsid w:val="004A62A7"/>
    <w:rsid w:val="004A6C1B"/>
    <w:rsid w:val="004B58CE"/>
    <w:rsid w:val="004C1A14"/>
    <w:rsid w:val="004C2DE6"/>
    <w:rsid w:val="004D2549"/>
    <w:rsid w:val="004D317A"/>
    <w:rsid w:val="004E3ACA"/>
    <w:rsid w:val="004E67FB"/>
    <w:rsid w:val="004F153D"/>
    <w:rsid w:val="00500106"/>
    <w:rsid w:val="00505979"/>
    <w:rsid w:val="00506C8A"/>
    <w:rsid w:val="00515485"/>
    <w:rsid w:val="00517683"/>
    <w:rsid w:val="00525FE8"/>
    <w:rsid w:val="005345C9"/>
    <w:rsid w:val="005500E1"/>
    <w:rsid w:val="00551449"/>
    <w:rsid w:val="00561CF2"/>
    <w:rsid w:val="00562D41"/>
    <w:rsid w:val="00564145"/>
    <w:rsid w:val="00572440"/>
    <w:rsid w:val="00574262"/>
    <w:rsid w:val="0057753C"/>
    <w:rsid w:val="00580162"/>
    <w:rsid w:val="005845A7"/>
    <w:rsid w:val="00586794"/>
    <w:rsid w:val="00590F05"/>
    <w:rsid w:val="00596B98"/>
    <w:rsid w:val="005A37D3"/>
    <w:rsid w:val="005C190E"/>
    <w:rsid w:val="005E1942"/>
    <w:rsid w:val="005E4A82"/>
    <w:rsid w:val="005F446E"/>
    <w:rsid w:val="005F6592"/>
    <w:rsid w:val="0060005B"/>
    <w:rsid w:val="0060305A"/>
    <w:rsid w:val="00605018"/>
    <w:rsid w:val="006149E1"/>
    <w:rsid w:val="0062643E"/>
    <w:rsid w:val="006365E1"/>
    <w:rsid w:val="00637C72"/>
    <w:rsid w:val="00637CA3"/>
    <w:rsid w:val="00643F2E"/>
    <w:rsid w:val="006521DA"/>
    <w:rsid w:val="006602DE"/>
    <w:rsid w:val="00663E38"/>
    <w:rsid w:val="00666AEB"/>
    <w:rsid w:val="0066757A"/>
    <w:rsid w:val="00681642"/>
    <w:rsid w:val="0068541D"/>
    <w:rsid w:val="006902D2"/>
    <w:rsid w:val="006B5108"/>
    <w:rsid w:val="006B6DAC"/>
    <w:rsid w:val="006B7056"/>
    <w:rsid w:val="006D6C10"/>
    <w:rsid w:val="006F1EA0"/>
    <w:rsid w:val="00703681"/>
    <w:rsid w:val="00703AB8"/>
    <w:rsid w:val="00705A64"/>
    <w:rsid w:val="00707920"/>
    <w:rsid w:val="007101C7"/>
    <w:rsid w:val="00711552"/>
    <w:rsid w:val="007134E6"/>
    <w:rsid w:val="00714D9E"/>
    <w:rsid w:val="00715209"/>
    <w:rsid w:val="0071533B"/>
    <w:rsid w:val="00716B2F"/>
    <w:rsid w:val="00717E47"/>
    <w:rsid w:val="00720602"/>
    <w:rsid w:val="00720B9B"/>
    <w:rsid w:val="007254C5"/>
    <w:rsid w:val="00732CF6"/>
    <w:rsid w:val="007336E3"/>
    <w:rsid w:val="00734027"/>
    <w:rsid w:val="007374C3"/>
    <w:rsid w:val="00742B48"/>
    <w:rsid w:val="00745112"/>
    <w:rsid w:val="00750972"/>
    <w:rsid w:val="00750FD4"/>
    <w:rsid w:val="007566C4"/>
    <w:rsid w:val="00764F7A"/>
    <w:rsid w:val="00770F17"/>
    <w:rsid w:val="007724AE"/>
    <w:rsid w:val="00774EB4"/>
    <w:rsid w:val="0078091F"/>
    <w:rsid w:val="00783EF9"/>
    <w:rsid w:val="00786963"/>
    <w:rsid w:val="0079041B"/>
    <w:rsid w:val="00790C41"/>
    <w:rsid w:val="007A05D2"/>
    <w:rsid w:val="007A1B5D"/>
    <w:rsid w:val="007B78E8"/>
    <w:rsid w:val="007C762D"/>
    <w:rsid w:val="007D1E9D"/>
    <w:rsid w:val="007D2E10"/>
    <w:rsid w:val="007D69A1"/>
    <w:rsid w:val="007E09DB"/>
    <w:rsid w:val="007E2375"/>
    <w:rsid w:val="007E2B46"/>
    <w:rsid w:val="007E36E6"/>
    <w:rsid w:val="007F5262"/>
    <w:rsid w:val="00802A1F"/>
    <w:rsid w:val="00804B80"/>
    <w:rsid w:val="008052CC"/>
    <w:rsid w:val="00805400"/>
    <w:rsid w:val="00811029"/>
    <w:rsid w:val="0081642B"/>
    <w:rsid w:val="008229B1"/>
    <w:rsid w:val="00825D1C"/>
    <w:rsid w:val="008354BC"/>
    <w:rsid w:val="00840566"/>
    <w:rsid w:val="00840897"/>
    <w:rsid w:val="00844229"/>
    <w:rsid w:val="00845530"/>
    <w:rsid w:val="00852431"/>
    <w:rsid w:val="008533AE"/>
    <w:rsid w:val="00864C74"/>
    <w:rsid w:val="00866D13"/>
    <w:rsid w:val="00866F07"/>
    <w:rsid w:val="00876B13"/>
    <w:rsid w:val="00877D99"/>
    <w:rsid w:val="0088272E"/>
    <w:rsid w:val="00891453"/>
    <w:rsid w:val="008926D8"/>
    <w:rsid w:val="00893358"/>
    <w:rsid w:val="00893A96"/>
    <w:rsid w:val="00895D78"/>
    <w:rsid w:val="0089774A"/>
    <w:rsid w:val="008A097A"/>
    <w:rsid w:val="008B4590"/>
    <w:rsid w:val="008B7085"/>
    <w:rsid w:val="008C4300"/>
    <w:rsid w:val="008C76A6"/>
    <w:rsid w:val="008C7E7D"/>
    <w:rsid w:val="008D3EAC"/>
    <w:rsid w:val="008E497A"/>
    <w:rsid w:val="008F1829"/>
    <w:rsid w:val="008F48EC"/>
    <w:rsid w:val="00901935"/>
    <w:rsid w:val="00904661"/>
    <w:rsid w:val="00905430"/>
    <w:rsid w:val="009106BC"/>
    <w:rsid w:val="009165CA"/>
    <w:rsid w:val="00925CBC"/>
    <w:rsid w:val="00934046"/>
    <w:rsid w:val="0093608F"/>
    <w:rsid w:val="00953BA9"/>
    <w:rsid w:val="0095634A"/>
    <w:rsid w:val="009567A0"/>
    <w:rsid w:val="0096205F"/>
    <w:rsid w:val="0097409A"/>
    <w:rsid w:val="00982176"/>
    <w:rsid w:val="00985FAE"/>
    <w:rsid w:val="009A10A2"/>
    <w:rsid w:val="009A71C5"/>
    <w:rsid w:val="009B20EE"/>
    <w:rsid w:val="009B28E1"/>
    <w:rsid w:val="009B4BEC"/>
    <w:rsid w:val="009B5F62"/>
    <w:rsid w:val="009C268B"/>
    <w:rsid w:val="009C6AC2"/>
    <w:rsid w:val="009E29A1"/>
    <w:rsid w:val="009F3972"/>
    <w:rsid w:val="00A01865"/>
    <w:rsid w:val="00A05A9D"/>
    <w:rsid w:val="00A11DD1"/>
    <w:rsid w:val="00A17189"/>
    <w:rsid w:val="00A220ED"/>
    <w:rsid w:val="00A2735C"/>
    <w:rsid w:val="00A331AD"/>
    <w:rsid w:val="00A36CFB"/>
    <w:rsid w:val="00A36EF3"/>
    <w:rsid w:val="00A407A7"/>
    <w:rsid w:val="00A42140"/>
    <w:rsid w:val="00A42A1A"/>
    <w:rsid w:val="00A50489"/>
    <w:rsid w:val="00A579CF"/>
    <w:rsid w:val="00A64B0D"/>
    <w:rsid w:val="00A67245"/>
    <w:rsid w:val="00A71C8C"/>
    <w:rsid w:val="00A74210"/>
    <w:rsid w:val="00A776A2"/>
    <w:rsid w:val="00A7791C"/>
    <w:rsid w:val="00A84556"/>
    <w:rsid w:val="00A85EDB"/>
    <w:rsid w:val="00A939DC"/>
    <w:rsid w:val="00AA127E"/>
    <w:rsid w:val="00AA1837"/>
    <w:rsid w:val="00AA25FC"/>
    <w:rsid w:val="00AA7803"/>
    <w:rsid w:val="00AB21A7"/>
    <w:rsid w:val="00AB6C57"/>
    <w:rsid w:val="00AC6803"/>
    <w:rsid w:val="00AD17FD"/>
    <w:rsid w:val="00AD3322"/>
    <w:rsid w:val="00AD57C3"/>
    <w:rsid w:val="00AD67BA"/>
    <w:rsid w:val="00AE74F9"/>
    <w:rsid w:val="00AF3988"/>
    <w:rsid w:val="00AF400E"/>
    <w:rsid w:val="00B07082"/>
    <w:rsid w:val="00B12CB9"/>
    <w:rsid w:val="00B1639A"/>
    <w:rsid w:val="00B17876"/>
    <w:rsid w:val="00B30FED"/>
    <w:rsid w:val="00B33CCC"/>
    <w:rsid w:val="00B3715F"/>
    <w:rsid w:val="00B41019"/>
    <w:rsid w:val="00B41F52"/>
    <w:rsid w:val="00B5363A"/>
    <w:rsid w:val="00B548AF"/>
    <w:rsid w:val="00B57616"/>
    <w:rsid w:val="00B64ED8"/>
    <w:rsid w:val="00B7700C"/>
    <w:rsid w:val="00B80F8A"/>
    <w:rsid w:val="00B8230F"/>
    <w:rsid w:val="00BA2702"/>
    <w:rsid w:val="00BA64C7"/>
    <w:rsid w:val="00BA754F"/>
    <w:rsid w:val="00BB294D"/>
    <w:rsid w:val="00BB5B67"/>
    <w:rsid w:val="00BB6B6C"/>
    <w:rsid w:val="00BB7651"/>
    <w:rsid w:val="00BC27BA"/>
    <w:rsid w:val="00BC3A60"/>
    <w:rsid w:val="00BC7DFB"/>
    <w:rsid w:val="00BE6541"/>
    <w:rsid w:val="00BE6DF2"/>
    <w:rsid w:val="00BF47A1"/>
    <w:rsid w:val="00C00EDC"/>
    <w:rsid w:val="00C05ABE"/>
    <w:rsid w:val="00C10A83"/>
    <w:rsid w:val="00C146CD"/>
    <w:rsid w:val="00C15617"/>
    <w:rsid w:val="00C16B93"/>
    <w:rsid w:val="00C20E0C"/>
    <w:rsid w:val="00C21F00"/>
    <w:rsid w:val="00C26F31"/>
    <w:rsid w:val="00C332EE"/>
    <w:rsid w:val="00C34A98"/>
    <w:rsid w:val="00C41A99"/>
    <w:rsid w:val="00C4378F"/>
    <w:rsid w:val="00C45988"/>
    <w:rsid w:val="00C4681F"/>
    <w:rsid w:val="00C46CDB"/>
    <w:rsid w:val="00C47B03"/>
    <w:rsid w:val="00C504B1"/>
    <w:rsid w:val="00C51424"/>
    <w:rsid w:val="00C55A4B"/>
    <w:rsid w:val="00C612AB"/>
    <w:rsid w:val="00C62FED"/>
    <w:rsid w:val="00C64297"/>
    <w:rsid w:val="00C70E3F"/>
    <w:rsid w:val="00C70F43"/>
    <w:rsid w:val="00C73E39"/>
    <w:rsid w:val="00C76258"/>
    <w:rsid w:val="00C82F14"/>
    <w:rsid w:val="00C83F14"/>
    <w:rsid w:val="00C91311"/>
    <w:rsid w:val="00C94145"/>
    <w:rsid w:val="00C9461C"/>
    <w:rsid w:val="00C96028"/>
    <w:rsid w:val="00C9749E"/>
    <w:rsid w:val="00CA1E32"/>
    <w:rsid w:val="00CA3EF7"/>
    <w:rsid w:val="00CB5CD9"/>
    <w:rsid w:val="00CC18A6"/>
    <w:rsid w:val="00CC31E3"/>
    <w:rsid w:val="00CD5D0F"/>
    <w:rsid w:val="00CD75C9"/>
    <w:rsid w:val="00CE2299"/>
    <w:rsid w:val="00CE24E9"/>
    <w:rsid w:val="00CF16DE"/>
    <w:rsid w:val="00CF4868"/>
    <w:rsid w:val="00D00EFE"/>
    <w:rsid w:val="00D01BC9"/>
    <w:rsid w:val="00D03EC2"/>
    <w:rsid w:val="00D060DD"/>
    <w:rsid w:val="00D067A2"/>
    <w:rsid w:val="00D10189"/>
    <w:rsid w:val="00D13082"/>
    <w:rsid w:val="00D13CF7"/>
    <w:rsid w:val="00D17373"/>
    <w:rsid w:val="00D17B90"/>
    <w:rsid w:val="00D24E33"/>
    <w:rsid w:val="00D27EED"/>
    <w:rsid w:val="00D31486"/>
    <w:rsid w:val="00D32BC1"/>
    <w:rsid w:val="00D35F5D"/>
    <w:rsid w:val="00D362D2"/>
    <w:rsid w:val="00D51467"/>
    <w:rsid w:val="00D521F7"/>
    <w:rsid w:val="00D55DCA"/>
    <w:rsid w:val="00D55FB7"/>
    <w:rsid w:val="00D643BE"/>
    <w:rsid w:val="00D6689E"/>
    <w:rsid w:val="00D7693C"/>
    <w:rsid w:val="00D8146E"/>
    <w:rsid w:val="00D93B6D"/>
    <w:rsid w:val="00D96D3D"/>
    <w:rsid w:val="00DA1571"/>
    <w:rsid w:val="00DA33EC"/>
    <w:rsid w:val="00DA3B0C"/>
    <w:rsid w:val="00DB3580"/>
    <w:rsid w:val="00DC45AF"/>
    <w:rsid w:val="00DD04B8"/>
    <w:rsid w:val="00DD4A06"/>
    <w:rsid w:val="00DE08BB"/>
    <w:rsid w:val="00DE3534"/>
    <w:rsid w:val="00DE6257"/>
    <w:rsid w:val="00E06C00"/>
    <w:rsid w:val="00E12206"/>
    <w:rsid w:val="00E159B6"/>
    <w:rsid w:val="00E20EE1"/>
    <w:rsid w:val="00E25BD3"/>
    <w:rsid w:val="00E2650B"/>
    <w:rsid w:val="00E2707B"/>
    <w:rsid w:val="00E31101"/>
    <w:rsid w:val="00E3170B"/>
    <w:rsid w:val="00E36A47"/>
    <w:rsid w:val="00E45158"/>
    <w:rsid w:val="00E46B87"/>
    <w:rsid w:val="00E54B13"/>
    <w:rsid w:val="00E829C4"/>
    <w:rsid w:val="00E97C43"/>
    <w:rsid w:val="00EA0257"/>
    <w:rsid w:val="00EA4C56"/>
    <w:rsid w:val="00EA4F26"/>
    <w:rsid w:val="00EA515D"/>
    <w:rsid w:val="00EB0F22"/>
    <w:rsid w:val="00EB3E9A"/>
    <w:rsid w:val="00ED22DC"/>
    <w:rsid w:val="00ED4CAB"/>
    <w:rsid w:val="00ED60AB"/>
    <w:rsid w:val="00ED7A74"/>
    <w:rsid w:val="00EE50EA"/>
    <w:rsid w:val="00EE5563"/>
    <w:rsid w:val="00EE55A3"/>
    <w:rsid w:val="00EE681B"/>
    <w:rsid w:val="00EF66D5"/>
    <w:rsid w:val="00F01C2D"/>
    <w:rsid w:val="00F0344A"/>
    <w:rsid w:val="00F0477F"/>
    <w:rsid w:val="00F25214"/>
    <w:rsid w:val="00F27DBB"/>
    <w:rsid w:val="00F30A8A"/>
    <w:rsid w:val="00F31506"/>
    <w:rsid w:val="00F346DF"/>
    <w:rsid w:val="00F373AE"/>
    <w:rsid w:val="00F43268"/>
    <w:rsid w:val="00F43686"/>
    <w:rsid w:val="00F45DCA"/>
    <w:rsid w:val="00F464E2"/>
    <w:rsid w:val="00F469D2"/>
    <w:rsid w:val="00F51D5D"/>
    <w:rsid w:val="00F52363"/>
    <w:rsid w:val="00F52ACF"/>
    <w:rsid w:val="00F54E25"/>
    <w:rsid w:val="00F62466"/>
    <w:rsid w:val="00F63FF1"/>
    <w:rsid w:val="00F6554E"/>
    <w:rsid w:val="00F74C77"/>
    <w:rsid w:val="00F759DB"/>
    <w:rsid w:val="00F84009"/>
    <w:rsid w:val="00FA062F"/>
    <w:rsid w:val="00FB14AD"/>
    <w:rsid w:val="00FB3CDC"/>
    <w:rsid w:val="00FB5FCE"/>
    <w:rsid w:val="00FC0E67"/>
    <w:rsid w:val="00FD0E64"/>
    <w:rsid w:val="00FD1E9F"/>
    <w:rsid w:val="00FD3A30"/>
    <w:rsid w:val="00FD4DE8"/>
    <w:rsid w:val="00FE19E5"/>
    <w:rsid w:val="00FE4C02"/>
    <w:rsid w:val="0118070D"/>
    <w:rsid w:val="01277A0F"/>
    <w:rsid w:val="013320E2"/>
    <w:rsid w:val="014F4E87"/>
    <w:rsid w:val="015C3C40"/>
    <w:rsid w:val="016B6FF9"/>
    <w:rsid w:val="019B2152"/>
    <w:rsid w:val="01B04D2B"/>
    <w:rsid w:val="01D21820"/>
    <w:rsid w:val="01D85A96"/>
    <w:rsid w:val="01DF10E1"/>
    <w:rsid w:val="01F435C6"/>
    <w:rsid w:val="020B1097"/>
    <w:rsid w:val="023A5260"/>
    <w:rsid w:val="023B071F"/>
    <w:rsid w:val="023B531E"/>
    <w:rsid w:val="023B7FD1"/>
    <w:rsid w:val="0242152A"/>
    <w:rsid w:val="024350BB"/>
    <w:rsid w:val="02472BE4"/>
    <w:rsid w:val="024D4A7C"/>
    <w:rsid w:val="025032D2"/>
    <w:rsid w:val="025618B2"/>
    <w:rsid w:val="0277616D"/>
    <w:rsid w:val="02DD599D"/>
    <w:rsid w:val="02E56F7A"/>
    <w:rsid w:val="02F6480E"/>
    <w:rsid w:val="03154D47"/>
    <w:rsid w:val="03244AD3"/>
    <w:rsid w:val="032F481C"/>
    <w:rsid w:val="03332AF2"/>
    <w:rsid w:val="03383404"/>
    <w:rsid w:val="033F464E"/>
    <w:rsid w:val="035952B1"/>
    <w:rsid w:val="038777CB"/>
    <w:rsid w:val="03A37650"/>
    <w:rsid w:val="03B81355"/>
    <w:rsid w:val="03BB0D5F"/>
    <w:rsid w:val="03DF17C4"/>
    <w:rsid w:val="03E72032"/>
    <w:rsid w:val="03FA5184"/>
    <w:rsid w:val="040561CC"/>
    <w:rsid w:val="042B5FD7"/>
    <w:rsid w:val="0450472F"/>
    <w:rsid w:val="0459548A"/>
    <w:rsid w:val="046B4F2B"/>
    <w:rsid w:val="0478032D"/>
    <w:rsid w:val="047E4A22"/>
    <w:rsid w:val="048D259A"/>
    <w:rsid w:val="049265DC"/>
    <w:rsid w:val="049F001A"/>
    <w:rsid w:val="04A93217"/>
    <w:rsid w:val="04B1692F"/>
    <w:rsid w:val="04BD1279"/>
    <w:rsid w:val="04C77BC5"/>
    <w:rsid w:val="04CF44E4"/>
    <w:rsid w:val="04DF0431"/>
    <w:rsid w:val="04DF4E7E"/>
    <w:rsid w:val="04E55DE3"/>
    <w:rsid w:val="050216F3"/>
    <w:rsid w:val="0510049A"/>
    <w:rsid w:val="051357C1"/>
    <w:rsid w:val="05185A4E"/>
    <w:rsid w:val="051F6DD6"/>
    <w:rsid w:val="054142F2"/>
    <w:rsid w:val="055B029F"/>
    <w:rsid w:val="058E05FD"/>
    <w:rsid w:val="059819E8"/>
    <w:rsid w:val="059D5DCA"/>
    <w:rsid w:val="05C35E2C"/>
    <w:rsid w:val="05D6401B"/>
    <w:rsid w:val="05F617C5"/>
    <w:rsid w:val="05F70250"/>
    <w:rsid w:val="0615463A"/>
    <w:rsid w:val="062145E3"/>
    <w:rsid w:val="062A33F3"/>
    <w:rsid w:val="06524C85"/>
    <w:rsid w:val="067C3639"/>
    <w:rsid w:val="06996244"/>
    <w:rsid w:val="069D4211"/>
    <w:rsid w:val="069F0C43"/>
    <w:rsid w:val="06CC4057"/>
    <w:rsid w:val="06FA5EA5"/>
    <w:rsid w:val="07063733"/>
    <w:rsid w:val="073D51BC"/>
    <w:rsid w:val="07474D6C"/>
    <w:rsid w:val="07573B57"/>
    <w:rsid w:val="075D0102"/>
    <w:rsid w:val="076E7F93"/>
    <w:rsid w:val="07741EF3"/>
    <w:rsid w:val="07782806"/>
    <w:rsid w:val="0780484E"/>
    <w:rsid w:val="07811C72"/>
    <w:rsid w:val="07B2164E"/>
    <w:rsid w:val="07C956D1"/>
    <w:rsid w:val="07D638A4"/>
    <w:rsid w:val="07DD2283"/>
    <w:rsid w:val="08034A4A"/>
    <w:rsid w:val="08046A44"/>
    <w:rsid w:val="080F1E88"/>
    <w:rsid w:val="082E485F"/>
    <w:rsid w:val="08391EC2"/>
    <w:rsid w:val="084808AB"/>
    <w:rsid w:val="085A240B"/>
    <w:rsid w:val="085B73BE"/>
    <w:rsid w:val="0874048C"/>
    <w:rsid w:val="087B7B14"/>
    <w:rsid w:val="089C3E82"/>
    <w:rsid w:val="08A32B03"/>
    <w:rsid w:val="08A57A88"/>
    <w:rsid w:val="08AB1066"/>
    <w:rsid w:val="08B35359"/>
    <w:rsid w:val="08BC669B"/>
    <w:rsid w:val="08C63CCB"/>
    <w:rsid w:val="08D15146"/>
    <w:rsid w:val="08D87BE9"/>
    <w:rsid w:val="08F41E50"/>
    <w:rsid w:val="09062688"/>
    <w:rsid w:val="091E42C4"/>
    <w:rsid w:val="09341D7F"/>
    <w:rsid w:val="09461A42"/>
    <w:rsid w:val="096238D8"/>
    <w:rsid w:val="096A2FA8"/>
    <w:rsid w:val="096B38C1"/>
    <w:rsid w:val="096C62F4"/>
    <w:rsid w:val="097F0A06"/>
    <w:rsid w:val="09990446"/>
    <w:rsid w:val="099A6E08"/>
    <w:rsid w:val="099C1C20"/>
    <w:rsid w:val="09B51F84"/>
    <w:rsid w:val="09C742B9"/>
    <w:rsid w:val="09CF57AF"/>
    <w:rsid w:val="09D73221"/>
    <w:rsid w:val="09ED5C0F"/>
    <w:rsid w:val="09FF06A5"/>
    <w:rsid w:val="0A0C0278"/>
    <w:rsid w:val="0A193DEA"/>
    <w:rsid w:val="0A2C3B4E"/>
    <w:rsid w:val="0A3A1000"/>
    <w:rsid w:val="0A6B12A2"/>
    <w:rsid w:val="0A725A26"/>
    <w:rsid w:val="0A885562"/>
    <w:rsid w:val="0AA45025"/>
    <w:rsid w:val="0ABA2F59"/>
    <w:rsid w:val="0AC130E2"/>
    <w:rsid w:val="0AC55615"/>
    <w:rsid w:val="0ACD17AF"/>
    <w:rsid w:val="0AD154F3"/>
    <w:rsid w:val="0AFD28A5"/>
    <w:rsid w:val="0B0C3E51"/>
    <w:rsid w:val="0B0E52F5"/>
    <w:rsid w:val="0B1D3CA7"/>
    <w:rsid w:val="0B211843"/>
    <w:rsid w:val="0B227C1A"/>
    <w:rsid w:val="0B333DA6"/>
    <w:rsid w:val="0B4712F5"/>
    <w:rsid w:val="0B4B22E2"/>
    <w:rsid w:val="0B5A6D4F"/>
    <w:rsid w:val="0B6A0FCF"/>
    <w:rsid w:val="0B8E09FE"/>
    <w:rsid w:val="0B8F26DD"/>
    <w:rsid w:val="0BA57CA7"/>
    <w:rsid w:val="0BB37E6B"/>
    <w:rsid w:val="0BBC0894"/>
    <w:rsid w:val="0BCE4210"/>
    <w:rsid w:val="0BE16841"/>
    <w:rsid w:val="0BE24AF4"/>
    <w:rsid w:val="0BE260F8"/>
    <w:rsid w:val="0BE6402D"/>
    <w:rsid w:val="0C0310E7"/>
    <w:rsid w:val="0C1A23A2"/>
    <w:rsid w:val="0C591B59"/>
    <w:rsid w:val="0C676F28"/>
    <w:rsid w:val="0C750997"/>
    <w:rsid w:val="0CBE05B1"/>
    <w:rsid w:val="0CD56BF5"/>
    <w:rsid w:val="0CE279DB"/>
    <w:rsid w:val="0D05428C"/>
    <w:rsid w:val="0D107B9E"/>
    <w:rsid w:val="0D3F2FBD"/>
    <w:rsid w:val="0D456272"/>
    <w:rsid w:val="0D4A3F9D"/>
    <w:rsid w:val="0D500EAF"/>
    <w:rsid w:val="0D5C39D0"/>
    <w:rsid w:val="0D7A2FE5"/>
    <w:rsid w:val="0D7A6175"/>
    <w:rsid w:val="0D897085"/>
    <w:rsid w:val="0D973BD6"/>
    <w:rsid w:val="0D993AA8"/>
    <w:rsid w:val="0DAA1D79"/>
    <w:rsid w:val="0DBA3B86"/>
    <w:rsid w:val="0DC817BF"/>
    <w:rsid w:val="0DCF331D"/>
    <w:rsid w:val="0DDF3859"/>
    <w:rsid w:val="0DE83C36"/>
    <w:rsid w:val="0DF01AB4"/>
    <w:rsid w:val="0DF40031"/>
    <w:rsid w:val="0DF845C2"/>
    <w:rsid w:val="0DFD48E0"/>
    <w:rsid w:val="0E140A7E"/>
    <w:rsid w:val="0E216C7A"/>
    <w:rsid w:val="0E264A74"/>
    <w:rsid w:val="0E2E1CE4"/>
    <w:rsid w:val="0E514B85"/>
    <w:rsid w:val="0E702063"/>
    <w:rsid w:val="0E795012"/>
    <w:rsid w:val="0E83156A"/>
    <w:rsid w:val="0E8F0AE1"/>
    <w:rsid w:val="0EC90D37"/>
    <w:rsid w:val="0ECA3747"/>
    <w:rsid w:val="0EF0143D"/>
    <w:rsid w:val="0F000D5F"/>
    <w:rsid w:val="0F172BF8"/>
    <w:rsid w:val="0F192734"/>
    <w:rsid w:val="0F1C4B2F"/>
    <w:rsid w:val="0F3C31E8"/>
    <w:rsid w:val="0F7051DC"/>
    <w:rsid w:val="0F87722D"/>
    <w:rsid w:val="0F9B0138"/>
    <w:rsid w:val="0F9B264A"/>
    <w:rsid w:val="0FA24D5A"/>
    <w:rsid w:val="0FCA062F"/>
    <w:rsid w:val="0FCE2DBD"/>
    <w:rsid w:val="0FD3219A"/>
    <w:rsid w:val="0FDB1D36"/>
    <w:rsid w:val="0FDB2145"/>
    <w:rsid w:val="0FE21C04"/>
    <w:rsid w:val="10077CB3"/>
    <w:rsid w:val="101636C4"/>
    <w:rsid w:val="101F4D0B"/>
    <w:rsid w:val="10407370"/>
    <w:rsid w:val="10453E50"/>
    <w:rsid w:val="10756952"/>
    <w:rsid w:val="10786BD3"/>
    <w:rsid w:val="10B05338"/>
    <w:rsid w:val="10B839E4"/>
    <w:rsid w:val="10C06D57"/>
    <w:rsid w:val="10D85B55"/>
    <w:rsid w:val="10E62C28"/>
    <w:rsid w:val="11001F2F"/>
    <w:rsid w:val="11284D63"/>
    <w:rsid w:val="1129600D"/>
    <w:rsid w:val="112D7CAF"/>
    <w:rsid w:val="113D052F"/>
    <w:rsid w:val="113E1001"/>
    <w:rsid w:val="11594C7D"/>
    <w:rsid w:val="11660B9B"/>
    <w:rsid w:val="11960ACE"/>
    <w:rsid w:val="11B33BD0"/>
    <w:rsid w:val="11C07920"/>
    <w:rsid w:val="11D56EF2"/>
    <w:rsid w:val="11E430F9"/>
    <w:rsid w:val="11EA6F01"/>
    <w:rsid w:val="11EE3361"/>
    <w:rsid w:val="120B1487"/>
    <w:rsid w:val="12114B5A"/>
    <w:rsid w:val="12114E05"/>
    <w:rsid w:val="12276E51"/>
    <w:rsid w:val="124A5054"/>
    <w:rsid w:val="1264416D"/>
    <w:rsid w:val="12735236"/>
    <w:rsid w:val="12B37474"/>
    <w:rsid w:val="12B51117"/>
    <w:rsid w:val="12B535B8"/>
    <w:rsid w:val="12D87E2E"/>
    <w:rsid w:val="12E436DD"/>
    <w:rsid w:val="12E70646"/>
    <w:rsid w:val="12EE6461"/>
    <w:rsid w:val="12F35B79"/>
    <w:rsid w:val="12F77BC6"/>
    <w:rsid w:val="12FF35DC"/>
    <w:rsid w:val="13092169"/>
    <w:rsid w:val="130E6236"/>
    <w:rsid w:val="13206344"/>
    <w:rsid w:val="132116B4"/>
    <w:rsid w:val="132721FB"/>
    <w:rsid w:val="13454332"/>
    <w:rsid w:val="135C7EE5"/>
    <w:rsid w:val="135F64E6"/>
    <w:rsid w:val="13681DBE"/>
    <w:rsid w:val="1368429F"/>
    <w:rsid w:val="137B3377"/>
    <w:rsid w:val="137D0C7B"/>
    <w:rsid w:val="1384428B"/>
    <w:rsid w:val="138533A6"/>
    <w:rsid w:val="138762ED"/>
    <w:rsid w:val="138814AC"/>
    <w:rsid w:val="13925BEB"/>
    <w:rsid w:val="13932E98"/>
    <w:rsid w:val="13965C41"/>
    <w:rsid w:val="13A25101"/>
    <w:rsid w:val="13E54E6E"/>
    <w:rsid w:val="13F61EE9"/>
    <w:rsid w:val="13FF62B7"/>
    <w:rsid w:val="14070759"/>
    <w:rsid w:val="144568C1"/>
    <w:rsid w:val="14581599"/>
    <w:rsid w:val="1478113E"/>
    <w:rsid w:val="14851AF4"/>
    <w:rsid w:val="149342A5"/>
    <w:rsid w:val="14A03F70"/>
    <w:rsid w:val="14A927A1"/>
    <w:rsid w:val="14C55FEF"/>
    <w:rsid w:val="14D40C61"/>
    <w:rsid w:val="14E31E78"/>
    <w:rsid w:val="14ED55F6"/>
    <w:rsid w:val="14F24240"/>
    <w:rsid w:val="14F7332D"/>
    <w:rsid w:val="150B4E9D"/>
    <w:rsid w:val="150D173F"/>
    <w:rsid w:val="152F069C"/>
    <w:rsid w:val="15304234"/>
    <w:rsid w:val="154552B1"/>
    <w:rsid w:val="15671694"/>
    <w:rsid w:val="1572392F"/>
    <w:rsid w:val="158473F0"/>
    <w:rsid w:val="158806C6"/>
    <w:rsid w:val="159C3EB9"/>
    <w:rsid w:val="159E3464"/>
    <w:rsid w:val="15A571D3"/>
    <w:rsid w:val="15B6099F"/>
    <w:rsid w:val="15CC5B4C"/>
    <w:rsid w:val="15DB0991"/>
    <w:rsid w:val="15E026F9"/>
    <w:rsid w:val="15E632DF"/>
    <w:rsid w:val="15E8751C"/>
    <w:rsid w:val="15F86BDE"/>
    <w:rsid w:val="15F91AD0"/>
    <w:rsid w:val="16330581"/>
    <w:rsid w:val="163F6186"/>
    <w:rsid w:val="16436AF0"/>
    <w:rsid w:val="1650141C"/>
    <w:rsid w:val="1664567F"/>
    <w:rsid w:val="16904479"/>
    <w:rsid w:val="16954458"/>
    <w:rsid w:val="16B86F9F"/>
    <w:rsid w:val="16C66369"/>
    <w:rsid w:val="16D37E62"/>
    <w:rsid w:val="16F90B32"/>
    <w:rsid w:val="172765E7"/>
    <w:rsid w:val="1729616C"/>
    <w:rsid w:val="17336B99"/>
    <w:rsid w:val="174067C2"/>
    <w:rsid w:val="174925AF"/>
    <w:rsid w:val="174D309C"/>
    <w:rsid w:val="17601CB8"/>
    <w:rsid w:val="17A33FCA"/>
    <w:rsid w:val="17A82A94"/>
    <w:rsid w:val="17B9033C"/>
    <w:rsid w:val="17BB0304"/>
    <w:rsid w:val="17C7058B"/>
    <w:rsid w:val="17D727F1"/>
    <w:rsid w:val="17EE6C29"/>
    <w:rsid w:val="182E1BEC"/>
    <w:rsid w:val="183809F3"/>
    <w:rsid w:val="184F5106"/>
    <w:rsid w:val="18582705"/>
    <w:rsid w:val="18677C49"/>
    <w:rsid w:val="18712AF5"/>
    <w:rsid w:val="187A309D"/>
    <w:rsid w:val="188D54BC"/>
    <w:rsid w:val="18A31EE9"/>
    <w:rsid w:val="18C51FA5"/>
    <w:rsid w:val="18C76258"/>
    <w:rsid w:val="190B269E"/>
    <w:rsid w:val="19333589"/>
    <w:rsid w:val="194B3002"/>
    <w:rsid w:val="19533715"/>
    <w:rsid w:val="19555D73"/>
    <w:rsid w:val="19720A5C"/>
    <w:rsid w:val="1982409F"/>
    <w:rsid w:val="19952ACD"/>
    <w:rsid w:val="199649F8"/>
    <w:rsid w:val="19992D4C"/>
    <w:rsid w:val="19A27D52"/>
    <w:rsid w:val="19AA6927"/>
    <w:rsid w:val="19AB4BA6"/>
    <w:rsid w:val="1A107A4A"/>
    <w:rsid w:val="1A18208B"/>
    <w:rsid w:val="1A1A0D4F"/>
    <w:rsid w:val="1A1D3B8E"/>
    <w:rsid w:val="1A1E32B8"/>
    <w:rsid w:val="1A211523"/>
    <w:rsid w:val="1A2F49F9"/>
    <w:rsid w:val="1A3615E0"/>
    <w:rsid w:val="1A4C4897"/>
    <w:rsid w:val="1A50545C"/>
    <w:rsid w:val="1A651B91"/>
    <w:rsid w:val="1A671AB8"/>
    <w:rsid w:val="1A7C612F"/>
    <w:rsid w:val="1A82661B"/>
    <w:rsid w:val="1AB32530"/>
    <w:rsid w:val="1AB839D8"/>
    <w:rsid w:val="1AC644D6"/>
    <w:rsid w:val="1AD062C8"/>
    <w:rsid w:val="1ADF5668"/>
    <w:rsid w:val="1AF014C6"/>
    <w:rsid w:val="1AF02C67"/>
    <w:rsid w:val="1AF75DB4"/>
    <w:rsid w:val="1AF853E7"/>
    <w:rsid w:val="1B241BE1"/>
    <w:rsid w:val="1B286B61"/>
    <w:rsid w:val="1B315E51"/>
    <w:rsid w:val="1B622139"/>
    <w:rsid w:val="1B7A6823"/>
    <w:rsid w:val="1B964D2B"/>
    <w:rsid w:val="1B970DC8"/>
    <w:rsid w:val="1BA76A40"/>
    <w:rsid w:val="1BBC236B"/>
    <w:rsid w:val="1BCB164A"/>
    <w:rsid w:val="1BEF6DAC"/>
    <w:rsid w:val="1C083BF9"/>
    <w:rsid w:val="1C195195"/>
    <w:rsid w:val="1C212086"/>
    <w:rsid w:val="1C2537AF"/>
    <w:rsid w:val="1C4C2AA6"/>
    <w:rsid w:val="1C544646"/>
    <w:rsid w:val="1C592C5B"/>
    <w:rsid w:val="1C615FF4"/>
    <w:rsid w:val="1C95751E"/>
    <w:rsid w:val="1CAA22C0"/>
    <w:rsid w:val="1CB14D46"/>
    <w:rsid w:val="1CBE187C"/>
    <w:rsid w:val="1CBF4813"/>
    <w:rsid w:val="1CF3651A"/>
    <w:rsid w:val="1CFA2AB7"/>
    <w:rsid w:val="1D126918"/>
    <w:rsid w:val="1D5F65A8"/>
    <w:rsid w:val="1D911FED"/>
    <w:rsid w:val="1D925CE0"/>
    <w:rsid w:val="1DCD301A"/>
    <w:rsid w:val="1DE0733D"/>
    <w:rsid w:val="1DE92913"/>
    <w:rsid w:val="1DFA73E1"/>
    <w:rsid w:val="1E066E21"/>
    <w:rsid w:val="1E122704"/>
    <w:rsid w:val="1E3173C7"/>
    <w:rsid w:val="1E4622AB"/>
    <w:rsid w:val="1E4804E9"/>
    <w:rsid w:val="1E5761D1"/>
    <w:rsid w:val="1E5875D2"/>
    <w:rsid w:val="1E6A3B5F"/>
    <w:rsid w:val="1E781763"/>
    <w:rsid w:val="1EA947EC"/>
    <w:rsid w:val="1EAE5F1D"/>
    <w:rsid w:val="1EBE6B3B"/>
    <w:rsid w:val="1EC268B2"/>
    <w:rsid w:val="1ECD0073"/>
    <w:rsid w:val="1ECF7A19"/>
    <w:rsid w:val="1F0E011A"/>
    <w:rsid w:val="1F3E19B3"/>
    <w:rsid w:val="1F8B66F3"/>
    <w:rsid w:val="1F9F0FD0"/>
    <w:rsid w:val="1FA2161C"/>
    <w:rsid w:val="1FC4418D"/>
    <w:rsid w:val="1FCF12AF"/>
    <w:rsid w:val="1FD11DF1"/>
    <w:rsid w:val="1FDE62A6"/>
    <w:rsid w:val="20012D19"/>
    <w:rsid w:val="20035B92"/>
    <w:rsid w:val="201065EE"/>
    <w:rsid w:val="20172CB6"/>
    <w:rsid w:val="202D1685"/>
    <w:rsid w:val="203773C1"/>
    <w:rsid w:val="208B6337"/>
    <w:rsid w:val="20AC31EE"/>
    <w:rsid w:val="20B224E1"/>
    <w:rsid w:val="20BB3F9C"/>
    <w:rsid w:val="20BB7410"/>
    <w:rsid w:val="20BC103F"/>
    <w:rsid w:val="20E26D41"/>
    <w:rsid w:val="20E56644"/>
    <w:rsid w:val="20E759B7"/>
    <w:rsid w:val="20F32CBC"/>
    <w:rsid w:val="20F749C5"/>
    <w:rsid w:val="21176532"/>
    <w:rsid w:val="2121485A"/>
    <w:rsid w:val="21297E99"/>
    <w:rsid w:val="213408C0"/>
    <w:rsid w:val="21347F78"/>
    <w:rsid w:val="21375C39"/>
    <w:rsid w:val="21436DA1"/>
    <w:rsid w:val="21467A95"/>
    <w:rsid w:val="214E74F0"/>
    <w:rsid w:val="21541349"/>
    <w:rsid w:val="21672FBB"/>
    <w:rsid w:val="21891546"/>
    <w:rsid w:val="219C3D53"/>
    <w:rsid w:val="219D3E65"/>
    <w:rsid w:val="219E72F6"/>
    <w:rsid w:val="21A63690"/>
    <w:rsid w:val="21BE1ED3"/>
    <w:rsid w:val="21CF4E5C"/>
    <w:rsid w:val="21E01B40"/>
    <w:rsid w:val="21E97830"/>
    <w:rsid w:val="21F5408E"/>
    <w:rsid w:val="2229451D"/>
    <w:rsid w:val="22321F10"/>
    <w:rsid w:val="226C5CEB"/>
    <w:rsid w:val="227A76B9"/>
    <w:rsid w:val="2280393E"/>
    <w:rsid w:val="228466D9"/>
    <w:rsid w:val="228848C2"/>
    <w:rsid w:val="2293609B"/>
    <w:rsid w:val="2299173A"/>
    <w:rsid w:val="229D6BE0"/>
    <w:rsid w:val="22CA1F6B"/>
    <w:rsid w:val="22D0662D"/>
    <w:rsid w:val="22D673A9"/>
    <w:rsid w:val="2309065B"/>
    <w:rsid w:val="231E58AD"/>
    <w:rsid w:val="232C473E"/>
    <w:rsid w:val="23316F5F"/>
    <w:rsid w:val="23642778"/>
    <w:rsid w:val="23743846"/>
    <w:rsid w:val="23810AAD"/>
    <w:rsid w:val="239930E2"/>
    <w:rsid w:val="23A77A9C"/>
    <w:rsid w:val="23AB0456"/>
    <w:rsid w:val="23B6062D"/>
    <w:rsid w:val="23DF48E5"/>
    <w:rsid w:val="23F07640"/>
    <w:rsid w:val="23F41F0E"/>
    <w:rsid w:val="23F865FB"/>
    <w:rsid w:val="241132AD"/>
    <w:rsid w:val="241E1164"/>
    <w:rsid w:val="243A383E"/>
    <w:rsid w:val="24410644"/>
    <w:rsid w:val="24504844"/>
    <w:rsid w:val="245D4C24"/>
    <w:rsid w:val="245E1D17"/>
    <w:rsid w:val="245E3EEF"/>
    <w:rsid w:val="24732127"/>
    <w:rsid w:val="24752CDA"/>
    <w:rsid w:val="24913D67"/>
    <w:rsid w:val="24974C67"/>
    <w:rsid w:val="24BA017B"/>
    <w:rsid w:val="24BB3140"/>
    <w:rsid w:val="24C831BF"/>
    <w:rsid w:val="24D64DB5"/>
    <w:rsid w:val="24D73199"/>
    <w:rsid w:val="24D8326D"/>
    <w:rsid w:val="24E92876"/>
    <w:rsid w:val="24F043FB"/>
    <w:rsid w:val="25196B6F"/>
    <w:rsid w:val="252B18C1"/>
    <w:rsid w:val="253C4F8B"/>
    <w:rsid w:val="253F0C22"/>
    <w:rsid w:val="257E7E49"/>
    <w:rsid w:val="25830286"/>
    <w:rsid w:val="25A24AF5"/>
    <w:rsid w:val="25A60651"/>
    <w:rsid w:val="25BB15E2"/>
    <w:rsid w:val="25C51B35"/>
    <w:rsid w:val="25CE3807"/>
    <w:rsid w:val="25DA5177"/>
    <w:rsid w:val="25E501DB"/>
    <w:rsid w:val="26002486"/>
    <w:rsid w:val="260704FC"/>
    <w:rsid w:val="2608124F"/>
    <w:rsid w:val="2608313D"/>
    <w:rsid w:val="260D0C0D"/>
    <w:rsid w:val="263A62D6"/>
    <w:rsid w:val="265778CB"/>
    <w:rsid w:val="266E5BE7"/>
    <w:rsid w:val="26840A9D"/>
    <w:rsid w:val="26A13D64"/>
    <w:rsid w:val="26D62E8B"/>
    <w:rsid w:val="26D81BB2"/>
    <w:rsid w:val="26E40D94"/>
    <w:rsid w:val="26E50FB1"/>
    <w:rsid w:val="26E6203D"/>
    <w:rsid w:val="26E63B79"/>
    <w:rsid w:val="27173DE9"/>
    <w:rsid w:val="273C283E"/>
    <w:rsid w:val="2742465D"/>
    <w:rsid w:val="27515798"/>
    <w:rsid w:val="276E648A"/>
    <w:rsid w:val="27724FAA"/>
    <w:rsid w:val="277338B6"/>
    <w:rsid w:val="27741363"/>
    <w:rsid w:val="277B14CA"/>
    <w:rsid w:val="279249E2"/>
    <w:rsid w:val="27F1165F"/>
    <w:rsid w:val="27F867C4"/>
    <w:rsid w:val="281C6F08"/>
    <w:rsid w:val="283412F9"/>
    <w:rsid w:val="284012C9"/>
    <w:rsid w:val="28492112"/>
    <w:rsid w:val="284F7BB8"/>
    <w:rsid w:val="28617C30"/>
    <w:rsid w:val="28670CE8"/>
    <w:rsid w:val="28776898"/>
    <w:rsid w:val="28782EF9"/>
    <w:rsid w:val="287E43C7"/>
    <w:rsid w:val="2891720E"/>
    <w:rsid w:val="28D7459D"/>
    <w:rsid w:val="28E3041A"/>
    <w:rsid w:val="28E72DCE"/>
    <w:rsid w:val="28F37F45"/>
    <w:rsid w:val="28F64522"/>
    <w:rsid w:val="28FA116E"/>
    <w:rsid w:val="28FB5454"/>
    <w:rsid w:val="29136A62"/>
    <w:rsid w:val="29154F1B"/>
    <w:rsid w:val="291C1136"/>
    <w:rsid w:val="29213E37"/>
    <w:rsid w:val="293D0260"/>
    <w:rsid w:val="29411350"/>
    <w:rsid w:val="29482A04"/>
    <w:rsid w:val="29637C13"/>
    <w:rsid w:val="296D1D84"/>
    <w:rsid w:val="29811790"/>
    <w:rsid w:val="298A66BB"/>
    <w:rsid w:val="29944781"/>
    <w:rsid w:val="29A65076"/>
    <w:rsid w:val="29C50BAD"/>
    <w:rsid w:val="29CD7331"/>
    <w:rsid w:val="29CE73A0"/>
    <w:rsid w:val="29D32BE5"/>
    <w:rsid w:val="29D40B66"/>
    <w:rsid w:val="29F35397"/>
    <w:rsid w:val="29FD7110"/>
    <w:rsid w:val="2A182612"/>
    <w:rsid w:val="2A236557"/>
    <w:rsid w:val="2A360922"/>
    <w:rsid w:val="2A361B55"/>
    <w:rsid w:val="2A443393"/>
    <w:rsid w:val="2A4A3133"/>
    <w:rsid w:val="2A81752D"/>
    <w:rsid w:val="2A834AE0"/>
    <w:rsid w:val="2A895D17"/>
    <w:rsid w:val="2A9F547B"/>
    <w:rsid w:val="2AA66D64"/>
    <w:rsid w:val="2AB41C0B"/>
    <w:rsid w:val="2ABC48DB"/>
    <w:rsid w:val="2AD254AF"/>
    <w:rsid w:val="2ADE2FC8"/>
    <w:rsid w:val="2AE24A4B"/>
    <w:rsid w:val="2AEB48C6"/>
    <w:rsid w:val="2AF77693"/>
    <w:rsid w:val="2B024D48"/>
    <w:rsid w:val="2B0B7481"/>
    <w:rsid w:val="2B1B5153"/>
    <w:rsid w:val="2B5771C3"/>
    <w:rsid w:val="2B7B44D9"/>
    <w:rsid w:val="2B8D3F49"/>
    <w:rsid w:val="2BA87B48"/>
    <w:rsid w:val="2BAA3280"/>
    <w:rsid w:val="2BAC73FF"/>
    <w:rsid w:val="2BB72B34"/>
    <w:rsid w:val="2BBA622C"/>
    <w:rsid w:val="2BC137C5"/>
    <w:rsid w:val="2BC177E4"/>
    <w:rsid w:val="2BC7725D"/>
    <w:rsid w:val="2BCC15C2"/>
    <w:rsid w:val="2BCF03E7"/>
    <w:rsid w:val="2BCF502F"/>
    <w:rsid w:val="2C0143BD"/>
    <w:rsid w:val="2C0819CF"/>
    <w:rsid w:val="2C11683E"/>
    <w:rsid w:val="2C186241"/>
    <w:rsid w:val="2C1A6ED3"/>
    <w:rsid w:val="2C2A3C62"/>
    <w:rsid w:val="2C3413A9"/>
    <w:rsid w:val="2C3E5B01"/>
    <w:rsid w:val="2C4B30A0"/>
    <w:rsid w:val="2C4C03DD"/>
    <w:rsid w:val="2C606144"/>
    <w:rsid w:val="2C7877E2"/>
    <w:rsid w:val="2CAF1516"/>
    <w:rsid w:val="2CB77A75"/>
    <w:rsid w:val="2CFC2FC3"/>
    <w:rsid w:val="2D0B4998"/>
    <w:rsid w:val="2D10500C"/>
    <w:rsid w:val="2D14458B"/>
    <w:rsid w:val="2D185BE6"/>
    <w:rsid w:val="2D1F77F2"/>
    <w:rsid w:val="2D2A1E21"/>
    <w:rsid w:val="2D483064"/>
    <w:rsid w:val="2D4F0D38"/>
    <w:rsid w:val="2D7C3D3C"/>
    <w:rsid w:val="2D931A08"/>
    <w:rsid w:val="2DAB4E6B"/>
    <w:rsid w:val="2DB10688"/>
    <w:rsid w:val="2DC10439"/>
    <w:rsid w:val="2DD4388F"/>
    <w:rsid w:val="2DD7120E"/>
    <w:rsid w:val="2E024AA9"/>
    <w:rsid w:val="2E161B26"/>
    <w:rsid w:val="2E1F1409"/>
    <w:rsid w:val="2E337468"/>
    <w:rsid w:val="2E623D9A"/>
    <w:rsid w:val="2E666601"/>
    <w:rsid w:val="2E7F6D03"/>
    <w:rsid w:val="2EB95470"/>
    <w:rsid w:val="2EB95DE6"/>
    <w:rsid w:val="2EE87395"/>
    <w:rsid w:val="2F0813F1"/>
    <w:rsid w:val="2F2D7C04"/>
    <w:rsid w:val="2F342675"/>
    <w:rsid w:val="2F3B1F59"/>
    <w:rsid w:val="2F5903B1"/>
    <w:rsid w:val="2F5908CD"/>
    <w:rsid w:val="2F6E6F56"/>
    <w:rsid w:val="2F715D03"/>
    <w:rsid w:val="2F7552BB"/>
    <w:rsid w:val="2F871273"/>
    <w:rsid w:val="2F973BB3"/>
    <w:rsid w:val="2FA46BED"/>
    <w:rsid w:val="2FB07F1C"/>
    <w:rsid w:val="2FBE4109"/>
    <w:rsid w:val="2FD41C74"/>
    <w:rsid w:val="2FDE59CB"/>
    <w:rsid w:val="2FEC4F25"/>
    <w:rsid w:val="2FEE6B03"/>
    <w:rsid w:val="2FEF7BDC"/>
    <w:rsid w:val="3009074E"/>
    <w:rsid w:val="301666FD"/>
    <w:rsid w:val="302A6A9C"/>
    <w:rsid w:val="303256F9"/>
    <w:rsid w:val="303E00AE"/>
    <w:rsid w:val="3043786F"/>
    <w:rsid w:val="304B5105"/>
    <w:rsid w:val="305B12AD"/>
    <w:rsid w:val="305F1F4D"/>
    <w:rsid w:val="30630146"/>
    <w:rsid w:val="30CA1BC0"/>
    <w:rsid w:val="30CA7244"/>
    <w:rsid w:val="30CF5FA1"/>
    <w:rsid w:val="30E213C2"/>
    <w:rsid w:val="311863B9"/>
    <w:rsid w:val="311B6AA2"/>
    <w:rsid w:val="3120658F"/>
    <w:rsid w:val="31336B19"/>
    <w:rsid w:val="31337AD3"/>
    <w:rsid w:val="31515973"/>
    <w:rsid w:val="3177162E"/>
    <w:rsid w:val="31774FB0"/>
    <w:rsid w:val="31A47ED0"/>
    <w:rsid w:val="31AE6817"/>
    <w:rsid w:val="31B47F3B"/>
    <w:rsid w:val="31C0344E"/>
    <w:rsid w:val="31D20BD0"/>
    <w:rsid w:val="32040734"/>
    <w:rsid w:val="32163EB0"/>
    <w:rsid w:val="3232633F"/>
    <w:rsid w:val="323E38CA"/>
    <w:rsid w:val="324B78C5"/>
    <w:rsid w:val="325721C6"/>
    <w:rsid w:val="326D20FE"/>
    <w:rsid w:val="3272721F"/>
    <w:rsid w:val="32934BA4"/>
    <w:rsid w:val="3297410B"/>
    <w:rsid w:val="329F4CC3"/>
    <w:rsid w:val="32BA0812"/>
    <w:rsid w:val="32BC2409"/>
    <w:rsid w:val="32BF2CE2"/>
    <w:rsid w:val="32C15CC7"/>
    <w:rsid w:val="32C75DFA"/>
    <w:rsid w:val="330314B1"/>
    <w:rsid w:val="33070CED"/>
    <w:rsid w:val="332544C0"/>
    <w:rsid w:val="33402354"/>
    <w:rsid w:val="335634A9"/>
    <w:rsid w:val="335B32B8"/>
    <w:rsid w:val="338113C1"/>
    <w:rsid w:val="33A045A7"/>
    <w:rsid w:val="33B309C0"/>
    <w:rsid w:val="33C9336E"/>
    <w:rsid w:val="33EC12E5"/>
    <w:rsid w:val="33FF5AC2"/>
    <w:rsid w:val="3420184D"/>
    <w:rsid w:val="343A6B0A"/>
    <w:rsid w:val="343B034D"/>
    <w:rsid w:val="34572733"/>
    <w:rsid w:val="346436BC"/>
    <w:rsid w:val="346A040D"/>
    <w:rsid w:val="346A77B9"/>
    <w:rsid w:val="34751BA4"/>
    <w:rsid w:val="347B3BBD"/>
    <w:rsid w:val="348C4C5D"/>
    <w:rsid w:val="349531F8"/>
    <w:rsid w:val="349F4400"/>
    <w:rsid w:val="34A45154"/>
    <w:rsid w:val="34A67958"/>
    <w:rsid w:val="34BF5B6A"/>
    <w:rsid w:val="34CA2DFB"/>
    <w:rsid w:val="34E47344"/>
    <w:rsid w:val="34F12A70"/>
    <w:rsid w:val="34FD4249"/>
    <w:rsid w:val="350F42F7"/>
    <w:rsid w:val="353173CA"/>
    <w:rsid w:val="35325404"/>
    <w:rsid w:val="353D7F5B"/>
    <w:rsid w:val="353E0A9F"/>
    <w:rsid w:val="354664CD"/>
    <w:rsid w:val="355A381B"/>
    <w:rsid w:val="355C45B6"/>
    <w:rsid w:val="355F3540"/>
    <w:rsid w:val="356A1B5F"/>
    <w:rsid w:val="35784BFF"/>
    <w:rsid w:val="35946E71"/>
    <w:rsid w:val="35952293"/>
    <w:rsid w:val="35993830"/>
    <w:rsid w:val="359A2A6C"/>
    <w:rsid w:val="35A67891"/>
    <w:rsid w:val="35AB6425"/>
    <w:rsid w:val="35CB78DE"/>
    <w:rsid w:val="35D73003"/>
    <w:rsid w:val="35E30E6D"/>
    <w:rsid w:val="36063854"/>
    <w:rsid w:val="36134010"/>
    <w:rsid w:val="361B6380"/>
    <w:rsid w:val="361C6DBC"/>
    <w:rsid w:val="362F5241"/>
    <w:rsid w:val="36656B00"/>
    <w:rsid w:val="366E6B78"/>
    <w:rsid w:val="368E2467"/>
    <w:rsid w:val="36A407AC"/>
    <w:rsid w:val="36C16781"/>
    <w:rsid w:val="36C35507"/>
    <w:rsid w:val="36D204A4"/>
    <w:rsid w:val="37066E71"/>
    <w:rsid w:val="37131D7B"/>
    <w:rsid w:val="371331FB"/>
    <w:rsid w:val="37144272"/>
    <w:rsid w:val="37197DF7"/>
    <w:rsid w:val="37554C1A"/>
    <w:rsid w:val="375E38F8"/>
    <w:rsid w:val="378375B5"/>
    <w:rsid w:val="37A2130F"/>
    <w:rsid w:val="37C61985"/>
    <w:rsid w:val="37E71769"/>
    <w:rsid w:val="37EC0552"/>
    <w:rsid w:val="381521F8"/>
    <w:rsid w:val="3818260A"/>
    <w:rsid w:val="38187ADE"/>
    <w:rsid w:val="38342A9F"/>
    <w:rsid w:val="38374356"/>
    <w:rsid w:val="383C4B25"/>
    <w:rsid w:val="385F0246"/>
    <w:rsid w:val="389966C0"/>
    <w:rsid w:val="38A47376"/>
    <w:rsid w:val="38F30347"/>
    <w:rsid w:val="3900101E"/>
    <w:rsid w:val="39013EA8"/>
    <w:rsid w:val="391B60E9"/>
    <w:rsid w:val="392243B5"/>
    <w:rsid w:val="39277F3D"/>
    <w:rsid w:val="39473F1D"/>
    <w:rsid w:val="394D18B8"/>
    <w:rsid w:val="3952155B"/>
    <w:rsid w:val="39567311"/>
    <w:rsid w:val="395804CB"/>
    <w:rsid w:val="39760A11"/>
    <w:rsid w:val="39816DD8"/>
    <w:rsid w:val="39840777"/>
    <w:rsid w:val="39983A28"/>
    <w:rsid w:val="39A82D78"/>
    <w:rsid w:val="39B6648C"/>
    <w:rsid w:val="39C11BB3"/>
    <w:rsid w:val="39D04F06"/>
    <w:rsid w:val="39D607F9"/>
    <w:rsid w:val="39E5188A"/>
    <w:rsid w:val="39EA7CDE"/>
    <w:rsid w:val="39EA7E96"/>
    <w:rsid w:val="3A343CCF"/>
    <w:rsid w:val="3A5D4B82"/>
    <w:rsid w:val="3A8253FD"/>
    <w:rsid w:val="3AF335E2"/>
    <w:rsid w:val="3B12005C"/>
    <w:rsid w:val="3B160ABB"/>
    <w:rsid w:val="3B2613F5"/>
    <w:rsid w:val="3B4B0AFF"/>
    <w:rsid w:val="3B4B28BC"/>
    <w:rsid w:val="3B6407F9"/>
    <w:rsid w:val="3B6C5255"/>
    <w:rsid w:val="3B9E270A"/>
    <w:rsid w:val="3BA94441"/>
    <w:rsid w:val="3BC0465E"/>
    <w:rsid w:val="3BC719BC"/>
    <w:rsid w:val="3BE05B9B"/>
    <w:rsid w:val="3BE14CD1"/>
    <w:rsid w:val="3BE23421"/>
    <w:rsid w:val="3C1368FA"/>
    <w:rsid w:val="3C374041"/>
    <w:rsid w:val="3C381D14"/>
    <w:rsid w:val="3C3F0409"/>
    <w:rsid w:val="3C4E54BE"/>
    <w:rsid w:val="3C5F5E2A"/>
    <w:rsid w:val="3C6446E6"/>
    <w:rsid w:val="3C6B4D76"/>
    <w:rsid w:val="3C7D5112"/>
    <w:rsid w:val="3C7F0296"/>
    <w:rsid w:val="3C9428E6"/>
    <w:rsid w:val="3CCB3FF8"/>
    <w:rsid w:val="3CE249DD"/>
    <w:rsid w:val="3CEE2B7B"/>
    <w:rsid w:val="3CF434F0"/>
    <w:rsid w:val="3D09153F"/>
    <w:rsid w:val="3D123B7F"/>
    <w:rsid w:val="3D3D6C39"/>
    <w:rsid w:val="3D3F53DE"/>
    <w:rsid w:val="3D57111C"/>
    <w:rsid w:val="3D723E0D"/>
    <w:rsid w:val="3D9571F8"/>
    <w:rsid w:val="3D9A2DC1"/>
    <w:rsid w:val="3DB81D97"/>
    <w:rsid w:val="3DBC1CFD"/>
    <w:rsid w:val="3DBC4352"/>
    <w:rsid w:val="3DBD4B8C"/>
    <w:rsid w:val="3DCC2047"/>
    <w:rsid w:val="3DCF127E"/>
    <w:rsid w:val="3DE74A29"/>
    <w:rsid w:val="3DEB2C42"/>
    <w:rsid w:val="3E0F6EE3"/>
    <w:rsid w:val="3E1429E8"/>
    <w:rsid w:val="3E2F1D3A"/>
    <w:rsid w:val="3E49381F"/>
    <w:rsid w:val="3E4E4ECC"/>
    <w:rsid w:val="3E582E10"/>
    <w:rsid w:val="3E65134D"/>
    <w:rsid w:val="3E6D46DB"/>
    <w:rsid w:val="3E7D4357"/>
    <w:rsid w:val="3E9123E8"/>
    <w:rsid w:val="3E914F63"/>
    <w:rsid w:val="3EAA7F9A"/>
    <w:rsid w:val="3EB229CE"/>
    <w:rsid w:val="3EB74BDE"/>
    <w:rsid w:val="3EBE1D28"/>
    <w:rsid w:val="3EC66E2C"/>
    <w:rsid w:val="3ED844DE"/>
    <w:rsid w:val="3EDE4B5A"/>
    <w:rsid w:val="3EE16B0C"/>
    <w:rsid w:val="3EFE0C56"/>
    <w:rsid w:val="3EFF2873"/>
    <w:rsid w:val="3F1B484B"/>
    <w:rsid w:val="3F607BFE"/>
    <w:rsid w:val="3F7901B3"/>
    <w:rsid w:val="3F7E6471"/>
    <w:rsid w:val="3FB930B0"/>
    <w:rsid w:val="3FC40E07"/>
    <w:rsid w:val="3FC45925"/>
    <w:rsid w:val="3FC9610B"/>
    <w:rsid w:val="3FF926C2"/>
    <w:rsid w:val="400F386B"/>
    <w:rsid w:val="401210C8"/>
    <w:rsid w:val="40131DB1"/>
    <w:rsid w:val="40173D9E"/>
    <w:rsid w:val="401F1D86"/>
    <w:rsid w:val="40220D62"/>
    <w:rsid w:val="40266C4A"/>
    <w:rsid w:val="4036450C"/>
    <w:rsid w:val="40393D08"/>
    <w:rsid w:val="407D0386"/>
    <w:rsid w:val="40852C3D"/>
    <w:rsid w:val="40B43358"/>
    <w:rsid w:val="40C7513B"/>
    <w:rsid w:val="40F828B3"/>
    <w:rsid w:val="41071932"/>
    <w:rsid w:val="41124ABD"/>
    <w:rsid w:val="411A4A17"/>
    <w:rsid w:val="413468E1"/>
    <w:rsid w:val="41732BF2"/>
    <w:rsid w:val="41787A0C"/>
    <w:rsid w:val="41900E19"/>
    <w:rsid w:val="41A078B7"/>
    <w:rsid w:val="41E4388C"/>
    <w:rsid w:val="41FF3BF4"/>
    <w:rsid w:val="42177237"/>
    <w:rsid w:val="422A293A"/>
    <w:rsid w:val="42355CDF"/>
    <w:rsid w:val="424A1ECD"/>
    <w:rsid w:val="425B037E"/>
    <w:rsid w:val="426B215E"/>
    <w:rsid w:val="42710CBE"/>
    <w:rsid w:val="4271128D"/>
    <w:rsid w:val="427340D0"/>
    <w:rsid w:val="427E4554"/>
    <w:rsid w:val="428C2647"/>
    <w:rsid w:val="42C7772B"/>
    <w:rsid w:val="42F97F84"/>
    <w:rsid w:val="43004F01"/>
    <w:rsid w:val="431F55F1"/>
    <w:rsid w:val="43217569"/>
    <w:rsid w:val="43280531"/>
    <w:rsid w:val="436948AE"/>
    <w:rsid w:val="43787160"/>
    <w:rsid w:val="437B1677"/>
    <w:rsid w:val="43882BF8"/>
    <w:rsid w:val="43906DD2"/>
    <w:rsid w:val="43A2543C"/>
    <w:rsid w:val="43AA229E"/>
    <w:rsid w:val="43B4164D"/>
    <w:rsid w:val="43BD387E"/>
    <w:rsid w:val="43C37489"/>
    <w:rsid w:val="43D7506A"/>
    <w:rsid w:val="43D80E82"/>
    <w:rsid w:val="43DC05C6"/>
    <w:rsid w:val="44070442"/>
    <w:rsid w:val="440F7A44"/>
    <w:rsid w:val="441F3B1D"/>
    <w:rsid w:val="442225B6"/>
    <w:rsid w:val="44224A6C"/>
    <w:rsid w:val="44326275"/>
    <w:rsid w:val="443427A6"/>
    <w:rsid w:val="443D1CB6"/>
    <w:rsid w:val="44433A96"/>
    <w:rsid w:val="44747C66"/>
    <w:rsid w:val="447E22CA"/>
    <w:rsid w:val="448C05EC"/>
    <w:rsid w:val="44A75F6A"/>
    <w:rsid w:val="44D35BC9"/>
    <w:rsid w:val="44DB4CA3"/>
    <w:rsid w:val="4502404E"/>
    <w:rsid w:val="4506147A"/>
    <w:rsid w:val="450C1B20"/>
    <w:rsid w:val="45105979"/>
    <w:rsid w:val="4515217C"/>
    <w:rsid w:val="453A3316"/>
    <w:rsid w:val="453F2BB9"/>
    <w:rsid w:val="45423949"/>
    <w:rsid w:val="455D1158"/>
    <w:rsid w:val="456B38BF"/>
    <w:rsid w:val="456D67E7"/>
    <w:rsid w:val="456D7052"/>
    <w:rsid w:val="45771B4E"/>
    <w:rsid w:val="459504AB"/>
    <w:rsid w:val="459A3632"/>
    <w:rsid w:val="45A61BA6"/>
    <w:rsid w:val="45AE7636"/>
    <w:rsid w:val="45B626A1"/>
    <w:rsid w:val="45C065A6"/>
    <w:rsid w:val="45D320F4"/>
    <w:rsid w:val="45E8372A"/>
    <w:rsid w:val="45FF5349"/>
    <w:rsid w:val="4606716D"/>
    <w:rsid w:val="461239FC"/>
    <w:rsid w:val="46220DA9"/>
    <w:rsid w:val="463E0945"/>
    <w:rsid w:val="464204F7"/>
    <w:rsid w:val="46453E62"/>
    <w:rsid w:val="46503F59"/>
    <w:rsid w:val="465D2D02"/>
    <w:rsid w:val="46783354"/>
    <w:rsid w:val="46811CD5"/>
    <w:rsid w:val="46857151"/>
    <w:rsid w:val="46A62019"/>
    <w:rsid w:val="46DF3E77"/>
    <w:rsid w:val="46F275F6"/>
    <w:rsid w:val="46F4596B"/>
    <w:rsid w:val="46F624D5"/>
    <w:rsid w:val="470D662B"/>
    <w:rsid w:val="47314F6E"/>
    <w:rsid w:val="47371F59"/>
    <w:rsid w:val="474312F9"/>
    <w:rsid w:val="476F69A8"/>
    <w:rsid w:val="478F175C"/>
    <w:rsid w:val="47995D5D"/>
    <w:rsid w:val="47CB0210"/>
    <w:rsid w:val="47CE2FF8"/>
    <w:rsid w:val="47D155B7"/>
    <w:rsid w:val="47E21B05"/>
    <w:rsid w:val="47FB6336"/>
    <w:rsid w:val="48107DB1"/>
    <w:rsid w:val="481C79DE"/>
    <w:rsid w:val="482302BA"/>
    <w:rsid w:val="483A3A02"/>
    <w:rsid w:val="48636800"/>
    <w:rsid w:val="48727B6D"/>
    <w:rsid w:val="48AB1998"/>
    <w:rsid w:val="48AE6B06"/>
    <w:rsid w:val="48C16378"/>
    <w:rsid w:val="48D05F75"/>
    <w:rsid w:val="48DF2250"/>
    <w:rsid w:val="49094C03"/>
    <w:rsid w:val="490D1473"/>
    <w:rsid w:val="490D77C2"/>
    <w:rsid w:val="49136A11"/>
    <w:rsid w:val="49283DD3"/>
    <w:rsid w:val="492D6186"/>
    <w:rsid w:val="49300A8F"/>
    <w:rsid w:val="49435EF2"/>
    <w:rsid w:val="49555415"/>
    <w:rsid w:val="496F3152"/>
    <w:rsid w:val="49745423"/>
    <w:rsid w:val="49935434"/>
    <w:rsid w:val="499B418F"/>
    <w:rsid w:val="49C92374"/>
    <w:rsid w:val="49EA4EE8"/>
    <w:rsid w:val="49F776F7"/>
    <w:rsid w:val="4A0621EA"/>
    <w:rsid w:val="4A0E3DF1"/>
    <w:rsid w:val="4A1259DD"/>
    <w:rsid w:val="4A13311F"/>
    <w:rsid w:val="4A470436"/>
    <w:rsid w:val="4A58702F"/>
    <w:rsid w:val="4A6E3CF2"/>
    <w:rsid w:val="4A795F26"/>
    <w:rsid w:val="4A853B1D"/>
    <w:rsid w:val="4A862D2C"/>
    <w:rsid w:val="4A8A232D"/>
    <w:rsid w:val="4A8D5888"/>
    <w:rsid w:val="4A9E36F4"/>
    <w:rsid w:val="4AAB1CC9"/>
    <w:rsid w:val="4AAD2C5F"/>
    <w:rsid w:val="4AB73246"/>
    <w:rsid w:val="4AC31853"/>
    <w:rsid w:val="4ACB764A"/>
    <w:rsid w:val="4AE2269D"/>
    <w:rsid w:val="4AF96454"/>
    <w:rsid w:val="4B0F555A"/>
    <w:rsid w:val="4B180374"/>
    <w:rsid w:val="4B23353C"/>
    <w:rsid w:val="4B2B2898"/>
    <w:rsid w:val="4B2B32D3"/>
    <w:rsid w:val="4B3311C7"/>
    <w:rsid w:val="4B364309"/>
    <w:rsid w:val="4B603557"/>
    <w:rsid w:val="4B6444F2"/>
    <w:rsid w:val="4B6A2854"/>
    <w:rsid w:val="4B6B3F9D"/>
    <w:rsid w:val="4B6F6BC7"/>
    <w:rsid w:val="4B8F28DC"/>
    <w:rsid w:val="4B9E056A"/>
    <w:rsid w:val="4BA73829"/>
    <w:rsid w:val="4BA86E68"/>
    <w:rsid w:val="4BAA2629"/>
    <w:rsid w:val="4BDC56E6"/>
    <w:rsid w:val="4BFA5897"/>
    <w:rsid w:val="4BFE5E60"/>
    <w:rsid w:val="4C030FCA"/>
    <w:rsid w:val="4C2462CB"/>
    <w:rsid w:val="4C362F06"/>
    <w:rsid w:val="4C3D3421"/>
    <w:rsid w:val="4C4217F5"/>
    <w:rsid w:val="4C603EEF"/>
    <w:rsid w:val="4C7A18F2"/>
    <w:rsid w:val="4CA771DF"/>
    <w:rsid w:val="4CB342F4"/>
    <w:rsid w:val="4CC0107D"/>
    <w:rsid w:val="4CC63773"/>
    <w:rsid w:val="4CD67F0C"/>
    <w:rsid w:val="4CE16BD1"/>
    <w:rsid w:val="4D065CC8"/>
    <w:rsid w:val="4D23479C"/>
    <w:rsid w:val="4D2F339A"/>
    <w:rsid w:val="4D403DEA"/>
    <w:rsid w:val="4D427116"/>
    <w:rsid w:val="4D706B3C"/>
    <w:rsid w:val="4D8F7BC8"/>
    <w:rsid w:val="4DC279AD"/>
    <w:rsid w:val="4DDC70B6"/>
    <w:rsid w:val="4DDD386D"/>
    <w:rsid w:val="4DEA4E9B"/>
    <w:rsid w:val="4E0A5452"/>
    <w:rsid w:val="4E2E4894"/>
    <w:rsid w:val="4E33769B"/>
    <w:rsid w:val="4E3E692A"/>
    <w:rsid w:val="4E5319A9"/>
    <w:rsid w:val="4E6861E5"/>
    <w:rsid w:val="4E7532B5"/>
    <w:rsid w:val="4E8A4F35"/>
    <w:rsid w:val="4EA74EA1"/>
    <w:rsid w:val="4EAC56ED"/>
    <w:rsid w:val="4EC33889"/>
    <w:rsid w:val="4EC77ACA"/>
    <w:rsid w:val="4ED53F80"/>
    <w:rsid w:val="4ED9272C"/>
    <w:rsid w:val="4EF3158F"/>
    <w:rsid w:val="4F040106"/>
    <w:rsid w:val="4F162B16"/>
    <w:rsid w:val="4F220784"/>
    <w:rsid w:val="4F484655"/>
    <w:rsid w:val="4F5C71F7"/>
    <w:rsid w:val="4F6C4273"/>
    <w:rsid w:val="4F7F22C8"/>
    <w:rsid w:val="4F874FB8"/>
    <w:rsid w:val="4FBC20D7"/>
    <w:rsid w:val="4FCA03C3"/>
    <w:rsid w:val="4FD4378D"/>
    <w:rsid w:val="4FDE5EF0"/>
    <w:rsid w:val="4FE33ECB"/>
    <w:rsid w:val="500002D0"/>
    <w:rsid w:val="50027CE1"/>
    <w:rsid w:val="5004068E"/>
    <w:rsid w:val="500B3923"/>
    <w:rsid w:val="50443DA3"/>
    <w:rsid w:val="506D4120"/>
    <w:rsid w:val="50787BBB"/>
    <w:rsid w:val="507F1EFB"/>
    <w:rsid w:val="50844F5B"/>
    <w:rsid w:val="50A8184A"/>
    <w:rsid w:val="50C025FA"/>
    <w:rsid w:val="50C83AC2"/>
    <w:rsid w:val="50CF4559"/>
    <w:rsid w:val="50D354E7"/>
    <w:rsid w:val="50DB2F57"/>
    <w:rsid w:val="50DF55AF"/>
    <w:rsid w:val="50EA0456"/>
    <w:rsid w:val="50FE2E40"/>
    <w:rsid w:val="51206251"/>
    <w:rsid w:val="51223E40"/>
    <w:rsid w:val="512B5626"/>
    <w:rsid w:val="513C0712"/>
    <w:rsid w:val="513E11CA"/>
    <w:rsid w:val="5144681C"/>
    <w:rsid w:val="51723BF1"/>
    <w:rsid w:val="517365AE"/>
    <w:rsid w:val="517A53DA"/>
    <w:rsid w:val="519A5CB0"/>
    <w:rsid w:val="519C52C3"/>
    <w:rsid w:val="51AE4DCB"/>
    <w:rsid w:val="51B95271"/>
    <w:rsid w:val="51E800D8"/>
    <w:rsid w:val="51E91CDA"/>
    <w:rsid w:val="51FB4624"/>
    <w:rsid w:val="520254BA"/>
    <w:rsid w:val="52255045"/>
    <w:rsid w:val="527B10D7"/>
    <w:rsid w:val="527E1D34"/>
    <w:rsid w:val="52817D45"/>
    <w:rsid w:val="529978FA"/>
    <w:rsid w:val="52A02DFD"/>
    <w:rsid w:val="52A20112"/>
    <w:rsid w:val="52A35760"/>
    <w:rsid w:val="52B56E49"/>
    <w:rsid w:val="52E16246"/>
    <w:rsid w:val="52E240EE"/>
    <w:rsid w:val="52F35F6B"/>
    <w:rsid w:val="53017782"/>
    <w:rsid w:val="5309522E"/>
    <w:rsid w:val="53234783"/>
    <w:rsid w:val="53261B2B"/>
    <w:rsid w:val="53501632"/>
    <w:rsid w:val="53550EF5"/>
    <w:rsid w:val="535D776D"/>
    <w:rsid w:val="53885EAF"/>
    <w:rsid w:val="538B7860"/>
    <w:rsid w:val="53AE192C"/>
    <w:rsid w:val="53B84974"/>
    <w:rsid w:val="53C80896"/>
    <w:rsid w:val="53F61076"/>
    <w:rsid w:val="53F81ADB"/>
    <w:rsid w:val="53FC7169"/>
    <w:rsid w:val="541B4F91"/>
    <w:rsid w:val="543B6295"/>
    <w:rsid w:val="54585046"/>
    <w:rsid w:val="545F7CD9"/>
    <w:rsid w:val="54607B2E"/>
    <w:rsid w:val="54BE2AFD"/>
    <w:rsid w:val="54C43467"/>
    <w:rsid w:val="54DF7BAF"/>
    <w:rsid w:val="54F662CF"/>
    <w:rsid w:val="5501779A"/>
    <w:rsid w:val="55113963"/>
    <w:rsid w:val="551F7730"/>
    <w:rsid w:val="554643C3"/>
    <w:rsid w:val="55781738"/>
    <w:rsid w:val="557F5EFD"/>
    <w:rsid w:val="558841A3"/>
    <w:rsid w:val="558B33C5"/>
    <w:rsid w:val="55935114"/>
    <w:rsid w:val="55935513"/>
    <w:rsid w:val="55970604"/>
    <w:rsid w:val="55A1132F"/>
    <w:rsid w:val="55D152E2"/>
    <w:rsid w:val="55D5693F"/>
    <w:rsid w:val="55DA3895"/>
    <w:rsid w:val="55E0617B"/>
    <w:rsid w:val="55E131EB"/>
    <w:rsid w:val="55FD3CF3"/>
    <w:rsid w:val="561D4751"/>
    <w:rsid w:val="56621784"/>
    <w:rsid w:val="56AA255C"/>
    <w:rsid w:val="56D13F23"/>
    <w:rsid w:val="56D44AD9"/>
    <w:rsid w:val="56DF1769"/>
    <w:rsid w:val="56E26C89"/>
    <w:rsid w:val="56F02F6D"/>
    <w:rsid w:val="56F203A7"/>
    <w:rsid w:val="573A0B5E"/>
    <w:rsid w:val="573B0B20"/>
    <w:rsid w:val="574F0097"/>
    <w:rsid w:val="57565E16"/>
    <w:rsid w:val="576E26E4"/>
    <w:rsid w:val="578514DC"/>
    <w:rsid w:val="579D4467"/>
    <w:rsid w:val="57B751E1"/>
    <w:rsid w:val="57C8214C"/>
    <w:rsid w:val="57D174FA"/>
    <w:rsid w:val="57D962F7"/>
    <w:rsid w:val="57E01717"/>
    <w:rsid w:val="57E60ED4"/>
    <w:rsid w:val="58041FC0"/>
    <w:rsid w:val="58232F2C"/>
    <w:rsid w:val="582A190F"/>
    <w:rsid w:val="58413057"/>
    <w:rsid w:val="585178EE"/>
    <w:rsid w:val="58712C0A"/>
    <w:rsid w:val="58792E6E"/>
    <w:rsid w:val="588B5B6D"/>
    <w:rsid w:val="588D13E5"/>
    <w:rsid w:val="58985D78"/>
    <w:rsid w:val="58B20126"/>
    <w:rsid w:val="58F24F77"/>
    <w:rsid w:val="590A6375"/>
    <w:rsid w:val="59171B27"/>
    <w:rsid w:val="59183EF2"/>
    <w:rsid w:val="591D088A"/>
    <w:rsid w:val="593372BD"/>
    <w:rsid w:val="593D6761"/>
    <w:rsid w:val="594C599C"/>
    <w:rsid w:val="59C7374A"/>
    <w:rsid w:val="59D97E59"/>
    <w:rsid w:val="59DC18D3"/>
    <w:rsid w:val="5A07561F"/>
    <w:rsid w:val="5A0A7050"/>
    <w:rsid w:val="5A311EAC"/>
    <w:rsid w:val="5A405B9E"/>
    <w:rsid w:val="5A461D2D"/>
    <w:rsid w:val="5A7F4DD5"/>
    <w:rsid w:val="5A950DF1"/>
    <w:rsid w:val="5A9560CF"/>
    <w:rsid w:val="5A9D50E3"/>
    <w:rsid w:val="5AB94C0A"/>
    <w:rsid w:val="5AC736BB"/>
    <w:rsid w:val="5AD05B02"/>
    <w:rsid w:val="5AD42BE8"/>
    <w:rsid w:val="5B3F2C25"/>
    <w:rsid w:val="5B425D94"/>
    <w:rsid w:val="5B464586"/>
    <w:rsid w:val="5B465B3C"/>
    <w:rsid w:val="5B826523"/>
    <w:rsid w:val="5B8A1174"/>
    <w:rsid w:val="5BAB12B5"/>
    <w:rsid w:val="5C240800"/>
    <w:rsid w:val="5C2E4036"/>
    <w:rsid w:val="5C4A4DF6"/>
    <w:rsid w:val="5C5D569D"/>
    <w:rsid w:val="5C711F10"/>
    <w:rsid w:val="5C7416F8"/>
    <w:rsid w:val="5C7C4785"/>
    <w:rsid w:val="5CA16F60"/>
    <w:rsid w:val="5CA47F58"/>
    <w:rsid w:val="5CE32E02"/>
    <w:rsid w:val="5D012000"/>
    <w:rsid w:val="5D023E17"/>
    <w:rsid w:val="5D05059E"/>
    <w:rsid w:val="5D0D7376"/>
    <w:rsid w:val="5D151A8F"/>
    <w:rsid w:val="5D1672C4"/>
    <w:rsid w:val="5D2E11A1"/>
    <w:rsid w:val="5D365B88"/>
    <w:rsid w:val="5D3C6A6C"/>
    <w:rsid w:val="5D427E7D"/>
    <w:rsid w:val="5D6428D0"/>
    <w:rsid w:val="5D6B6C67"/>
    <w:rsid w:val="5D773058"/>
    <w:rsid w:val="5D8D5D4E"/>
    <w:rsid w:val="5D9A4A7D"/>
    <w:rsid w:val="5DCB7139"/>
    <w:rsid w:val="5DDE2D73"/>
    <w:rsid w:val="5DEF64E9"/>
    <w:rsid w:val="5E007771"/>
    <w:rsid w:val="5E022B12"/>
    <w:rsid w:val="5E070DC1"/>
    <w:rsid w:val="5E1A0575"/>
    <w:rsid w:val="5E1F7AE8"/>
    <w:rsid w:val="5E2219A4"/>
    <w:rsid w:val="5E31025F"/>
    <w:rsid w:val="5E3D541F"/>
    <w:rsid w:val="5E3F74CC"/>
    <w:rsid w:val="5E872E02"/>
    <w:rsid w:val="5EAB39E8"/>
    <w:rsid w:val="5EB14EBC"/>
    <w:rsid w:val="5EB241FA"/>
    <w:rsid w:val="5ED040BA"/>
    <w:rsid w:val="5ED95304"/>
    <w:rsid w:val="5EDF7F30"/>
    <w:rsid w:val="5F192424"/>
    <w:rsid w:val="5F4E4097"/>
    <w:rsid w:val="5F757E5F"/>
    <w:rsid w:val="5F811A50"/>
    <w:rsid w:val="5FA65FBF"/>
    <w:rsid w:val="5FAD2C1A"/>
    <w:rsid w:val="5FB85FDB"/>
    <w:rsid w:val="5FDC7C4C"/>
    <w:rsid w:val="5FE93374"/>
    <w:rsid w:val="5FF0496C"/>
    <w:rsid w:val="600D17E8"/>
    <w:rsid w:val="600F678F"/>
    <w:rsid w:val="60144EBE"/>
    <w:rsid w:val="60166DE1"/>
    <w:rsid w:val="60174D87"/>
    <w:rsid w:val="602A56D6"/>
    <w:rsid w:val="602F32A2"/>
    <w:rsid w:val="6030414F"/>
    <w:rsid w:val="60444ECC"/>
    <w:rsid w:val="60503E04"/>
    <w:rsid w:val="60556C2B"/>
    <w:rsid w:val="606072B7"/>
    <w:rsid w:val="606C79C1"/>
    <w:rsid w:val="608A3872"/>
    <w:rsid w:val="608B61F8"/>
    <w:rsid w:val="60B5414E"/>
    <w:rsid w:val="60C11108"/>
    <w:rsid w:val="60CA70ED"/>
    <w:rsid w:val="60CD55D1"/>
    <w:rsid w:val="60ED3035"/>
    <w:rsid w:val="60F653F3"/>
    <w:rsid w:val="60FF3C3A"/>
    <w:rsid w:val="610174F7"/>
    <w:rsid w:val="610D2EBF"/>
    <w:rsid w:val="612017A5"/>
    <w:rsid w:val="6121767D"/>
    <w:rsid w:val="61272506"/>
    <w:rsid w:val="612A0971"/>
    <w:rsid w:val="61313B74"/>
    <w:rsid w:val="61317938"/>
    <w:rsid w:val="6139352D"/>
    <w:rsid w:val="61442575"/>
    <w:rsid w:val="615964D2"/>
    <w:rsid w:val="615D0A26"/>
    <w:rsid w:val="61606758"/>
    <w:rsid w:val="61663299"/>
    <w:rsid w:val="6169654E"/>
    <w:rsid w:val="61A33A9C"/>
    <w:rsid w:val="61AE79BE"/>
    <w:rsid w:val="61ED10FD"/>
    <w:rsid w:val="61F0786C"/>
    <w:rsid w:val="62015367"/>
    <w:rsid w:val="620673DA"/>
    <w:rsid w:val="621D443D"/>
    <w:rsid w:val="622610DB"/>
    <w:rsid w:val="62391C7A"/>
    <w:rsid w:val="627452C3"/>
    <w:rsid w:val="627A4E22"/>
    <w:rsid w:val="627F072A"/>
    <w:rsid w:val="62835B34"/>
    <w:rsid w:val="62916666"/>
    <w:rsid w:val="62AD6CDF"/>
    <w:rsid w:val="62BA2E33"/>
    <w:rsid w:val="62C143AF"/>
    <w:rsid w:val="62EA7043"/>
    <w:rsid w:val="62FF4498"/>
    <w:rsid w:val="63032A85"/>
    <w:rsid w:val="630524EC"/>
    <w:rsid w:val="63143EA4"/>
    <w:rsid w:val="631C6632"/>
    <w:rsid w:val="63347EDC"/>
    <w:rsid w:val="636B59B7"/>
    <w:rsid w:val="636C2D1D"/>
    <w:rsid w:val="638110BE"/>
    <w:rsid w:val="639C22F2"/>
    <w:rsid w:val="63B253B7"/>
    <w:rsid w:val="63BA56AC"/>
    <w:rsid w:val="63C33F5F"/>
    <w:rsid w:val="63CC48FE"/>
    <w:rsid w:val="63D07DC2"/>
    <w:rsid w:val="63D700F0"/>
    <w:rsid w:val="63E10A0B"/>
    <w:rsid w:val="63E6612A"/>
    <w:rsid w:val="63EE5D54"/>
    <w:rsid w:val="640F2D85"/>
    <w:rsid w:val="64240AFF"/>
    <w:rsid w:val="643C6BF3"/>
    <w:rsid w:val="643F4B66"/>
    <w:rsid w:val="64455A8F"/>
    <w:rsid w:val="64532409"/>
    <w:rsid w:val="646B129D"/>
    <w:rsid w:val="647426BC"/>
    <w:rsid w:val="64B14279"/>
    <w:rsid w:val="64B528D6"/>
    <w:rsid w:val="64C0086A"/>
    <w:rsid w:val="64C82971"/>
    <w:rsid w:val="64D66F31"/>
    <w:rsid w:val="64E52895"/>
    <w:rsid w:val="64ED4687"/>
    <w:rsid w:val="65043AD2"/>
    <w:rsid w:val="650A3B7E"/>
    <w:rsid w:val="65115660"/>
    <w:rsid w:val="65177CEC"/>
    <w:rsid w:val="651C562F"/>
    <w:rsid w:val="65204CEF"/>
    <w:rsid w:val="65380FB4"/>
    <w:rsid w:val="65557F97"/>
    <w:rsid w:val="656428E8"/>
    <w:rsid w:val="657C55B9"/>
    <w:rsid w:val="657F5268"/>
    <w:rsid w:val="65843FAD"/>
    <w:rsid w:val="65854B84"/>
    <w:rsid w:val="65854E37"/>
    <w:rsid w:val="65883B3D"/>
    <w:rsid w:val="658C7294"/>
    <w:rsid w:val="65A07187"/>
    <w:rsid w:val="65B356EC"/>
    <w:rsid w:val="65E810B1"/>
    <w:rsid w:val="65FF2520"/>
    <w:rsid w:val="66040FEB"/>
    <w:rsid w:val="66057724"/>
    <w:rsid w:val="662D07AF"/>
    <w:rsid w:val="6644518C"/>
    <w:rsid w:val="6656399E"/>
    <w:rsid w:val="666234DE"/>
    <w:rsid w:val="666A06EC"/>
    <w:rsid w:val="666D153A"/>
    <w:rsid w:val="668D4CCA"/>
    <w:rsid w:val="668F61A8"/>
    <w:rsid w:val="66A12E53"/>
    <w:rsid w:val="66A84A8B"/>
    <w:rsid w:val="66EC4114"/>
    <w:rsid w:val="670513FC"/>
    <w:rsid w:val="67074348"/>
    <w:rsid w:val="6717756B"/>
    <w:rsid w:val="67450491"/>
    <w:rsid w:val="674651A0"/>
    <w:rsid w:val="67580214"/>
    <w:rsid w:val="677577EE"/>
    <w:rsid w:val="67850327"/>
    <w:rsid w:val="679A0AFC"/>
    <w:rsid w:val="67AA3507"/>
    <w:rsid w:val="67AA4FE0"/>
    <w:rsid w:val="67CD5111"/>
    <w:rsid w:val="67D324F7"/>
    <w:rsid w:val="67DF1D74"/>
    <w:rsid w:val="67EC20F2"/>
    <w:rsid w:val="67F02EDD"/>
    <w:rsid w:val="68095ABE"/>
    <w:rsid w:val="681850AC"/>
    <w:rsid w:val="681D333C"/>
    <w:rsid w:val="68501A4E"/>
    <w:rsid w:val="68566942"/>
    <w:rsid w:val="685D3A9F"/>
    <w:rsid w:val="686803C6"/>
    <w:rsid w:val="68681ADF"/>
    <w:rsid w:val="686D36A3"/>
    <w:rsid w:val="688550EA"/>
    <w:rsid w:val="68943815"/>
    <w:rsid w:val="68AB623D"/>
    <w:rsid w:val="68B239E7"/>
    <w:rsid w:val="68C668C8"/>
    <w:rsid w:val="68E513FB"/>
    <w:rsid w:val="69226ED5"/>
    <w:rsid w:val="699D561E"/>
    <w:rsid w:val="699F73F5"/>
    <w:rsid w:val="69A16F09"/>
    <w:rsid w:val="69C97530"/>
    <w:rsid w:val="69ED4C47"/>
    <w:rsid w:val="69ED6604"/>
    <w:rsid w:val="69EF36AF"/>
    <w:rsid w:val="69FE6477"/>
    <w:rsid w:val="6A111F13"/>
    <w:rsid w:val="6A140397"/>
    <w:rsid w:val="6A1605E1"/>
    <w:rsid w:val="6A1B3EA8"/>
    <w:rsid w:val="6A1E0C37"/>
    <w:rsid w:val="6A41621B"/>
    <w:rsid w:val="6A441A01"/>
    <w:rsid w:val="6A535CA6"/>
    <w:rsid w:val="6A567F6A"/>
    <w:rsid w:val="6A57788A"/>
    <w:rsid w:val="6A736642"/>
    <w:rsid w:val="6A7A095B"/>
    <w:rsid w:val="6A8A3C28"/>
    <w:rsid w:val="6A903E69"/>
    <w:rsid w:val="6A967A3B"/>
    <w:rsid w:val="6AB047D5"/>
    <w:rsid w:val="6AB34D83"/>
    <w:rsid w:val="6ABB1424"/>
    <w:rsid w:val="6AC76023"/>
    <w:rsid w:val="6AD2650D"/>
    <w:rsid w:val="6ADB0E0B"/>
    <w:rsid w:val="6AEC250C"/>
    <w:rsid w:val="6AEC67DE"/>
    <w:rsid w:val="6AF96A24"/>
    <w:rsid w:val="6AFE4465"/>
    <w:rsid w:val="6B1B693F"/>
    <w:rsid w:val="6B1F4E32"/>
    <w:rsid w:val="6B3C4AEF"/>
    <w:rsid w:val="6B40265B"/>
    <w:rsid w:val="6B4F1B06"/>
    <w:rsid w:val="6B607F53"/>
    <w:rsid w:val="6B766A59"/>
    <w:rsid w:val="6B8B2CEA"/>
    <w:rsid w:val="6B957A86"/>
    <w:rsid w:val="6B967365"/>
    <w:rsid w:val="6BC840F9"/>
    <w:rsid w:val="6BCF278F"/>
    <w:rsid w:val="6BD34582"/>
    <w:rsid w:val="6BDB0DA6"/>
    <w:rsid w:val="6BE513E0"/>
    <w:rsid w:val="6BE60D35"/>
    <w:rsid w:val="6C1202AA"/>
    <w:rsid w:val="6C253301"/>
    <w:rsid w:val="6C366C74"/>
    <w:rsid w:val="6C7D56CA"/>
    <w:rsid w:val="6C855992"/>
    <w:rsid w:val="6CA74111"/>
    <w:rsid w:val="6CB83733"/>
    <w:rsid w:val="6CD90D4A"/>
    <w:rsid w:val="6CE64A72"/>
    <w:rsid w:val="6CF70A80"/>
    <w:rsid w:val="6D1C3206"/>
    <w:rsid w:val="6D31724A"/>
    <w:rsid w:val="6D3F5359"/>
    <w:rsid w:val="6D4136F6"/>
    <w:rsid w:val="6D4657DB"/>
    <w:rsid w:val="6D83251A"/>
    <w:rsid w:val="6D9C3AEA"/>
    <w:rsid w:val="6DA8410E"/>
    <w:rsid w:val="6DBF2B83"/>
    <w:rsid w:val="6DC949DA"/>
    <w:rsid w:val="6DD72664"/>
    <w:rsid w:val="6DDC393A"/>
    <w:rsid w:val="6DE74642"/>
    <w:rsid w:val="6DFC5A78"/>
    <w:rsid w:val="6DFD1AD2"/>
    <w:rsid w:val="6DFE46C5"/>
    <w:rsid w:val="6E0F3B32"/>
    <w:rsid w:val="6E1C4A4E"/>
    <w:rsid w:val="6E3B1FD2"/>
    <w:rsid w:val="6E486F1C"/>
    <w:rsid w:val="6E4E5158"/>
    <w:rsid w:val="6E69648E"/>
    <w:rsid w:val="6E75747B"/>
    <w:rsid w:val="6E8E4711"/>
    <w:rsid w:val="6EA832F8"/>
    <w:rsid w:val="6EB15A77"/>
    <w:rsid w:val="6EC7020C"/>
    <w:rsid w:val="6EF03C87"/>
    <w:rsid w:val="6EF72B9E"/>
    <w:rsid w:val="6F3452A9"/>
    <w:rsid w:val="6F443FE2"/>
    <w:rsid w:val="6F45707F"/>
    <w:rsid w:val="6F464BCB"/>
    <w:rsid w:val="6F4E58B6"/>
    <w:rsid w:val="6F5C07AD"/>
    <w:rsid w:val="6F5C6DD6"/>
    <w:rsid w:val="6F606132"/>
    <w:rsid w:val="6F60746E"/>
    <w:rsid w:val="6FAE7268"/>
    <w:rsid w:val="6FB600D2"/>
    <w:rsid w:val="6FEA253A"/>
    <w:rsid w:val="6FFC1492"/>
    <w:rsid w:val="6FFD0A4D"/>
    <w:rsid w:val="7000528D"/>
    <w:rsid w:val="70316D0E"/>
    <w:rsid w:val="703E1532"/>
    <w:rsid w:val="70407CD6"/>
    <w:rsid w:val="70446E49"/>
    <w:rsid w:val="704A3A6A"/>
    <w:rsid w:val="704D59A3"/>
    <w:rsid w:val="7066621E"/>
    <w:rsid w:val="70883470"/>
    <w:rsid w:val="70AE32F9"/>
    <w:rsid w:val="70B944C1"/>
    <w:rsid w:val="70C17F8F"/>
    <w:rsid w:val="70C22A81"/>
    <w:rsid w:val="70C33648"/>
    <w:rsid w:val="70E55E5C"/>
    <w:rsid w:val="70FE6200"/>
    <w:rsid w:val="71090B07"/>
    <w:rsid w:val="710968B1"/>
    <w:rsid w:val="71215954"/>
    <w:rsid w:val="71334D42"/>
    <w:rsid w:val="71454D94"/>
    <w:rsid w:val="714C14E1"/>
    <w:rsid w:val="714C32BF"/>
    <w:rsid w:val="715D2ADD"/>
    <w:rsid w:val="716F1963"/>
    <w:rsid w:val="718469FB"/>
    <w:rsid w:val="718F4BB2"/>
    <w:rsid w:val="719E6F3C"/>
    <w:rsid w:val="71AE0270"/>
    <w:rsid w:val="71B576FF"/>
    <w:rsid w:val="71BC19EE"/>
    <w:rsid w:val="71D9140A"/>
    <w:rsid w:val="71D94899"/>
    <w:rsid w:val="71E26F8C"/>
    <w:rsid w:val="72197706"/>
    <w:rsid w:val="72344736"/>
    <w:rsid w:val="724849E5"/>
    <w:rsid w:val="72523FF1"/>
    <w:rsid w:val="72532C0A"/>
    <w:rsid w:val="72685160"/>
    <w:rsid w:val="726C4864"/>
    <w:rsid w:val="728F3F17"/>
    <w:rsid w:val="72962FA1"/>
    <w:rsid w:val="72A5708A"/>
    <w:rsid w:val="72C05685"/>
    <w:rsid w:val="72D41F08"/>
    <w:rsid w:val="72D65A1C"/>
    <w:rsid w:val="72E47408"/>
    <w:rsid w:val="72E80ABF"/>
    <w:rsid w:val="73096556"/>
    <w:rsid w:val="731951CC"/>
    <w:rsid w:val="733314C0"/>
    <w:rsid w:val="73520181"/>
    <w:rsid w:val="735F6070"/>
    <w:rsid w:val="73687140"/>
    <w:rsid w:val="736B0639"/>
    <w:rsid w:val="7371702B"/>
    <w:rsid w:val="737514EF"/>
    <w:rsid w:val="73816669"/>
    <w:rsid w:val="73970124"/>
    <w:rsid w:val="73A67131"/>
    <w:rsid w:val="73B53D01"/>
    <w:rsid w:val="73B6450D"/>
    <w:rsid w:val="73BA4AE8"/>
    <w:rsid w:val="73E72560"/>
    <w:rsid w:val="73F47982"/>
    <w:rsid w:val="73F62645"/>
    <w:rsid w:val="73FD33E1"/>
    <w:rsid w:val="743201AE"/>
    <w:rsid w:val="746B0189"/>
    <w:rsid w:val="746C6FD2"/>
    <w:rsid w:val="746D381A"/>
    <w:rsid w:val="749016E7"/>
    <w:rsid w:val="74C75008"/>
    <w:rsid w:val="74CE4B3A"/>
    <w:rsid w:val="74E221CD"/>
    <w:rsid w:val="74E71E5A"/>
    <w:rsid w:val="74F0461F"/>
    <w:rsid w:val="750C2791"/>
    <w:rsid w:val="75262590"/>
    <w:rsid w:val="752B7140"/>
    <w:rsid w:val="75302A07"/>
    <w:rsid w:val="75317E6E"/>
    <w:rsid w:val="753E35B8"/>
    <w:rsid w:val="756D385E"/>
    <w:rsid w:val="75776365"/>
    <w:rsid w:val="757857A5"/>
    <w:rsid w:val="759A4B0B"/>
    <w:rsid w:val="75A0624A"/>
    <w:rsid w:val="75B87B1D"/>
    <w:rsid w:val="75D84A2F"/>
    <w:rsid w:val="75E751A1"/>
    <w:rsid w:val="75EF102E"/>
    <w:rsid w:val="75F34FFC"/>
    <w:rsid w:val="7643163C"/>
    <w:rsid w:val="766C11CC"/>
    <w:rsid w:val="767D797D"/>
    <w:rsid w:val="768737F7"/>
    <w:rsid w:val="768A12E9"/>
    <w:rsid w:val="7690619D"/>
    <w:rsid w:val="76A24306"/>
    <w:rsid w:val="76AC6E13"/>
    <w:rsid w:val="76CD017B"/>
    <w:rsid w:val="76D7401B"/>
    <w:rsid w:val="76EA2741"/>
    <w:rsid w:val="77065503"/>
    <w:rsid w:val="771F65E5"/>
    <w:rsid w:val="77323E68"/>
    <w:rsid w:val="774E32C0"/>
    <w:rsid w:val="77567A71"/>
    <w:rsid w:val="77AE0AF8"/>
    <w:rsid w:val="77AE58B4"/>
    <w:rsid w:val="77C56EF9"/>
    <w:rsid w:val="77C92FBA"/>
    <w:rsid w:val="77CF766F"/>
    <w:rsid w:val="77DD545C"/>
    <w:rsid w:val="7802152E"/>
    <w:rsid w:val="78131028"/>
    <w:rsid w:val="78155655"/>
    <w:rsid w:val="78362B28"/>
    <w:rsid w:val="784313A2"/>
    <w:rsid w:val="785A6123"/>
    <w:rsid w:val="785F1270"/>
    <w:rsid w:val="786B4F49"/>
    <w:rsid w:val="78A508E7"/>
    <w:rsid w:val="78AB59DA"/>
    <w:rsid w:val="78CE0FA6"/>
    <w:rsid w:val="78D14D1D"/>
    <w:rsid w:val="78E21A3F"/>
    <w:rsid w:val="78F23F93"/>
    <w:rsid w:val="790254F2"/>
    <w:rsid w:val="79062F79"/>
    <w:rsid w:val="79100E58"/>
    <w:rsid w:val="791F6424"/>
    <w:rsid w:val="79200C13"/>
    <w:rsid w:val="7924441D"/>
    <w:rsid w:val="79250F46"/>
    <w:rsid w:val="793259CC"/>
    <w:rsid w:val="794C0772"/>
    <w:rsid w:val="79592F2E"/>
    <w:rsid w:val="795E4570"/>
    <w:rsid w:val="797C16C6"/>
    <w:rsid w:val="79A77EB1"/>
    <w:rsid w:val="79BF5D47"/>
    <w:rsid w:val="79BF6574"/>
    <w:rsid w:val="79C150C6"/>
    <w:rsid w:val="79D2637B"/>
    <w:rsid w:val="79F92BB6"/>
    <w:rsid w:val="7A1511E0"/>
    <w:rsid w:val="7A277384"/>
    <w:rsid w:val="7A313D01"/>
    <w:rsid w:val="7A366EF0"/>
    <w:rsid w:val="7A390DFD"/>
    <w:rsid w:val="7A431CCA"/>
    <w:rsid w:val="7A4C7037"/>
    <w:rsid w:val="7A732696"/>
    <w:rsid w:val="7A8F1118"/>
    <w:rsid w:val="7A985442"/>
    <w:rsid w:val="7A9C1115"/>
    <w:rsid w:val="7AB86595"/>
    <w:rsid w:val="7AE75F56"/>
    <w:rsid w:val="7B17648A"/>
    <w:rsid w:val="7B216A82"/>
    <w:rsid w:val="7B2813A3"/>
    <w:rsid w:val="7B2C214F"/>
    <w:rsid w:val="7B464705"/>
    <w:rsid w:val="7B5D5F1B"/>
    <w:rsid w:val="7B626FF1"/>
    <w:rsid w:val="7B670D22"/>
    <w:rsid w:val="7B6D0BF1"/>
    <w:rsid w:val="7B7856AF"/>
    <w:rsid w:val="7B7F2E61"/>
    <w:rsid w:val="7B91139B"/>
    <w:rsid w:val="7BAE5B2A"/>
    <w:rsid w:val="7BB6110A"/>
    <w:rsid w:val="7BE75BC4"/>
    <w:rsid w:val="7BEB7A3A"/>
    <w:rsid w:val="7BF34AA6"/>
    <w:rsid w:val="7C153081"/>
    <w:rsid w:val="7C3879E4"/>
    <w:rsid w:val="7C5F58C4"/>
    <w:rsid w:val="7CCF1E65"/>
    <w:rsid w:val="7CF3498A"/>
    <w:rsid w:val="7D10271E"/>
    <w:rsid w:val="7D2F4DE2"/>
    <w:rsid w:val="7D535630"/>
    <w:rsid w:val="7D627C94"/>
    <w:rsid w:val="7D8972CB"/>
    <w:rsid w:val="7D8C20B4"/>
    <w:rsid w:val="7D91739E"/>
    <w:rsid w:val="7D936FD2"/>
    <w:rsid w:val="7D99216E"/>
    <w:rsid w:val="7D9D2E23"/>
    <w:rsid w:val="7D9E67B0"/>
    <w:rsid w:val="7DA0456A"/>
    <w:rsid w:val="7DA65EF6"/>
    <w:rsid w:val="7DAB56FC"/>
    <w:rsid w:val="7DB1620C"/>
    <w:rsid w:val="7DBA2BDA"/>
    <w:rsid w:val="7DBC2F11"/>
    <w:rsid w:val="7DC41FDC"/>
    <w:rsid w:val="7DC505F9"/>
    <w:rsid w:val="7DC50665"/>
    <w:rsid w:val="7E09601A"/>
    <w:rsid w:val="7E142BE3"/>
    <w:rsid w:val="7E1E20E2"/>
    <w:rsid w:val="7E1F2B41"/>
    <w:rsid w:val="7E3F7B0C"/>
    <w:rsid w:val="7E555701"/>
    <w:rsid w:val="7E5635AC"/>
    <w:rsid w:val="7E676548"/>
    <w:rsid w:val="7EAD7372"/>
    <w:rsid w:val="7EBD70E1"/>
    <w:rsid w:val="7ED32FFC"/>
    <w:rsid w:val="7EE57A87"/>
    <w:rsid w:val="7EF06504"/>
    <w:rsid w:val="7F1149F2"/>
    <w:rsid w:val="7F1C7D7F"/>
    <w:rsid w:val="7F375C2B"/>
    <w:rsid w:val="7F3B5F19"/>
    <w:rsid w:val="7F454D59"/>
    <w:rsid w:val="7F6958C9"/>
    <w:rsid w:val="7F712D73"/>
    <w:rsid w:val="7F751532"/>
    <w:rsid w:val="7F895BD5"/>
    <w:rsid w:val="7F8B17EC"/>
    <w:rsid w:val="7F974F96"/>
    <w:rsid w:val="7F9C25B8"/>
    <w:rsid w:val="7F9C70B0"/>
    <w:rsid w:val="7FA45AFD"/>
    <w:rsid w:val="7FAB5B90"/>
    <w:rsid w:val="7FB21583"/>
    <w:rsid w:val="7FBA2B6D"/>
    <w:rsid w:val="7FE84D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endarrow="block"/>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after="330" w:line="578" w:lineRule="auto"/>
      <w:outlineLvl w:val="0"/>
    </w:pPr>
    <w:rPr>
      <w:b/>
      <w:bCs/>
      <w:kern w:val="44"/>
      <w:sz w:val="44"/>
      <w:szCs w:val="44"/>
    </w:rPr>
  </w:style>
  <w:style w:type="paragraph" w:styleId="5">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6">
    <w:name w:val="heading 3"/>
    <w:basedOn w:val="1"/>
    <w:next w:val="1"/>
    <w:qFormat/>
    <w:uiPriority w:val="0"/>
    <w:pPr>
      <w:keepNext/>
      <w:spacing w:line="360" w:lineRule="auto"/>
      <w:ind w:firstLine="200" w:firstLineChars="200"/>
      <w:outlineLvl w:val="2"/>
    </w:pPr>
    <w:rPr>
      <w:b/>
      <w:sz w:val="28"/>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customStyle="1" w:styleId="2">
    <w:name w:val="Default"/>
    <w:next w:val="3"/>
    <w:qForma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3">
    <w:name w:val="样式35"/>
    <w:basedOn w:val="1"/>
    <w:next w:val="1"/>
    <w:qFormat/>
    <w:uiPriority w:val="0"/>
    <w:pPr>
      <w:spacing w:line="312" w:lineRule="auto"/>
      <w:ind w:firstLine="567"/>
    </w:pPr>
    <w:rPr>
      <w:rFonts w:ascii="宋体"/>
      <w:sz w:val="28"/>
    </w:rPr>
  </w:style>
  <w:style w:type="paragraph" w:styleId="8">
    <w:name w:val="Normal Indent"/>
    <w:basedOn w:val="1"/>
    <w:next w:val="1"/>
    <w:qFormat/>
    <w:uiPriority w:val="0"/>
    <w:pPr>
      <w:ind w:firstLine="420" w:firstLineChars="200"/>
    </w:pPr>
  </w:style>
  <w:style w:type="paragraph" w:styleId="9">
    <w:name w:val="caption"/>
    <w:basedOn w:val="1"/>
    <w:next w:val="1"/>
    <w:qFormat/>
    <w:uiPriority w:val="0"/>
    <w:rPr>
      <w:rFonts w:ascii="Arial" w:hAnsi="Arial" w:eastAsia="黑体" w:cs="Arial"/>
      <w:sz w:val="20"/>
    </w:rPr>
  </w:style>
  <w:style w:type="paragraph" w:styleId="10">
    <w:name w:val="annotation text"/>
    <w:basedOn w:val="1"/>
    <w:semiHidden/>
    <w:qFormat/>
    <w:uiPriority w:val="0"/>
    <w:pPr>
      <w:jc w:val="left"/>
    </w:pPr>
  </w:style>
  <w:style w:type="paragraph" w:styleId="11">
    <w:name w:val="Body Text"/>
    <w:basedOn w:val="1"/>
    <w:next w:val="12"/>
    <w:qFormat/>
    <w:uiPriority w:val="0"/>
    <w:pPr>
      <w:spacing w:line="400" w:lineRule="exact"/>
    </w:pPr>
    <w:rPr>
      <w:rFonts w:ascii="宋体"/>
      <w:sz w:val="24"/>
    </w:rPr>
  </w:style>
  <w:style w:type="paragraph" w:styleId="12">
    <w:name w:val="List Bullet 5"/>
    <w:basedOn w:val="1"/>
    <w:qFormat/>
    <w:uiPriority w:val="0"/>
    <w:pPr>
      <w:numPr>
        <w:ilvl w:val="0"/>
        <w:numId w:val="1"/>
      </w:numPr>
    </w:pPr>
  </w:style>
  <w:style w:type="paragraph" w:styleId="13">
    <w:name w:val="Body Text Indent"/>
    <w:basedOn w:val="1"/>
    <w:next w:val="14"/>
    <w:link w:val="47"/>
    <w:qFormat/>
    <w:uiPriority w:val="0"/>
    <w:pPr>
      <w:spacing w:before="240" w:line="360" w:lineRule="auto"/>
      <w:ind w:firstLine="482"/>
    </w:pPr>
    <w:rPr>
      <w:rFonts w:ascii="宋体"/>
      <w:sz w:val="24"/>
    </w:rPr>
  </w:style>
  <w:style w:type="paragraph" w:styleId="14">
    <w:name w:val="Body Text First Indent"/>
    <w:basedOn w:val="11"/>
    <w:next w:val="1"/>
    <w:qFormat/>
    <w:uiPriority w:val="0"/>
    <w:pPr>
      <w:spacing w:after="120" w:line="240" w:lineRule="auto"/>
      <w:ind w:firstLine="420" w:firstLineChars="100"/>
    </w:pPr>
    <w:rPr>
      <w:rFonts w:ascii="Times New Roman"/>
      <w:sz w:val="21"/>
    </w:rPr>
  </w:style>
  <w:style w:type="paragraph" w:styleId="15">
    <w:name w:val="Plain Text"/>
    <w:basedOn w:val="1"/>
    <w:link w:val="49"/>
    <w:qFormat/>
    <w:uiPriority w:val="0"/>
    <w:rPr>
      <w:rFonts w:ascii="宋体" w:hAnsi="Courier New" w:cs="Courier New"/>
      <w:szCs w:val="21"/>
    </w:rPr>
  </w:style>
  <w:style w:type="paragraph" w:styleId="16">
    <w:name w:val="Date"/>
    <w:basedOn w:val="1"/>
    <w:next w:val="1"/>
    <w:qFormat/>
    <w:uiPriority w:val="0"/>
    <w:rPr>
      <w:sz w:val="28"/>
    </w:rPr>
  </w:style>
  <w:style w:type="paragraph" w:styleId="17">
    <w:name w:val="Body Text Indent 2"/>
    <w:basedOn w:val="1"/>
    <w:link w:val="50"/>
    <w:qFormat/>
    <w:uiPriority w:val="0"/>
    <w:pPr>
      <w:spacing w:line="360" w:lineRule="auto"/>
      <w:ind w:left="720" w:hanging="720"/>
    </w:pPr>
    <w:rPr>
      <w:rFonts w:ascii="宋体"/>
      <w:sz w:val="24"/>
    </w:rPr>
  </w:style>
  <w:style w:type="paragraph" w:styleId="18">
    <w:name w:val="Balloon Text"/>
    <w:basedOn w:val="1"/>
    <w:semiHidden/>
    <w:qFormat/>
    <w:uiPriority w:val="0"/>
    <w:rPr>
      <w:sz w:val="18"/>
      <w:szCs w:val="18"/>
    </w:rPr>
  </w:style>
  <w:style w:type="paragraph" w:styleId="19">
    <w:name w:val="footer"/>
    <w:basedOn w:val="1"/>
    <w:qFormat/>
    <w:uiPriority w:val="0"/>
    <w:pPr>
      <w:tabs>
        <w:tab w:val="center" w:pos="4153"/>
        <w:tab w:val="right" w:pos="8306"/>
      </w:tabs>
      <w:snapToGrid w:val="0"/>
      <w:jc w:val="left"/>
    </w:pPr>
    <w:rPr>
      <w:sz w:val="18"/>
      <w:szCs w:val="18"/>
    </w:rPr>
  </w:style>
  <w:style w:type="paragraph" w:styleId="2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1">
    <w:name w:val="Body Text Indent 3"/>
    <w:basedOn w:val="1"/>
    <w:qFormat/>
    <w:uiPriority w:val="0"/>
    <w:pPr>
      <w:spacing w:after="120"/>
      <w:ind w:left="420" w:leftChars="200"/>
    </w:pPr>
    <w:rPr>
      <w:sz w:val="16"/>
      <w:szCs w:val="16"/>
    </w:rPr>
  </w:style>
  <w:style w:type="paragraph" w:styleId="22">
    <w:name w:val="toc 2"/>
    <w:basedOn w:val="1"/>
    <w:next w:val="1"/>
    <w:qFormat/>
    <w:uiPriority w:val="0"/>
    <w:pPr>
      <w:ind w:left="420" w:leftChars="200"/>
    </w:pPr>
  </w:style>
  <w:style w:type="paragraph" w:styleId="23">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24">
    <w:name w:val="Normal (Web)"/>
    <w:basedOn w:val="1"/>
    <w:qFormat/>
    <w:uiPriority w:val="0"/>
    <w:pPr>
      <w:widowControl/>
      <w:spacing w:before="100" w:beforeAutospacing="1" w:after="100" w:afterAutospacing="1"/>
      <w:jc w:val="left"/>
    </w:pPr>
    <w:rPr>
      <w:rFonts w:ascii="宋体" w:hAnsi="宋体"/>
      <w:color w:val="000000"/>
      <w:kern w:val="0"/>
      <w:sz w:val="24"/>
      <w:szCs w:val="24"/>
    </w:rPr>
  </w:style>
  <w:style w:type="paragraph" w:styleId="25">
    <w:name w:val="annotation subject"/>
    <w:basedOn w:val="10"/>
    <w:next w:val="10"/>
    <w:semiHidden/>
    <w:qFormat/>
    <w:uiPriority w:val="0"/>
    <w:rPr>
      <w:b/>
      <w:bCs/>
    </w:rPr>
  </w:style>
  <w:style w:type="paragraph" w:styleId="26">
    <w:name w:val="Body Text First Indent 2"/>
    <w:basedOn w:val="13"/>
    <w:next w:val="1"/>
    <w:qFormat/>
    <w:uiPriority w:val="0"/>
    <w:pPr>
      <w:spacing w:after="120" w:line="240" w:lineRule="auto"/>
      <w:ind w:left="420" w:leftChars="200" w:firstLine="420"/>
    </w:pPr>
    <w:rPr>
      <w:rFonts w:ascii="Times New Roman"/>
      <w:sz w:val="21"/>
    </w:rPr>
  </w:style>
  <w:style w:type="table" w:styleId="28">
    <w:name w:val="Table Grid"/>
    <w:basedOn w:val="27"/>
    <w:unhideWhenUse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0">
    <w:name w:val="Strong"/>
    <w:qFormat/>
    <w:uiPriority w:val="0"/>
    <w:rPr>
      <w:b/>
      <w:bCs/>
      <w:sz w:val="24"/>
      <w:szCs w:val="24"/>
    </w:rPr>
  </w:style>
  <w:style w:type="character" w:styleId="31">
    <w:name w:val="page number"/>
    <w:basedOn w:val="29"/>
    <w:qFormat/>
    <w:uiPriority w:val="0"/>
  </w:style>
  <w:style w:type="character" w:styleId="32">
    <w:name w:val="FollowedHyperlink"/>
    <w:basedOn w:val="29"/>
    <w:qFormat/>
    <w:uiPriority w:val="0"/>
    <w:rPr>
      <w:color w:val="000000"/>
      <w:u w:val="none"/>
    </w:rPr>
  </w:style>
  <w:style w:type="character" w:styleId="33">
    <w:name w:val="Emphasis"/>
    <w:qFormat/>
    <w:uiPriority w:val="0"/>
    <w:rPr>
      <w:i/>
      <w:sz w:val="24"/>
      <w:szCs w:val="24"/>
    </w:rPr>
  </w:style>
  <w:style w:type="character" w:styleId="34">
    <w:name w:val="Hyperlink"/>
    <w:basedOn w:val="29"/>
    <w:qFormat/>
    <w:uiPriority w:val="0"/>
    <w:rPr>
      <w:color w:val="0000FF"/>
      <w:sz w:val="24"/>
      <w:szCs w:val="24"/>
      <w:u w:val="single"/>
    </w:rPr>
  </w:style>
  <w:style w:type="character" w:styleId="35">
    <w:name w:val="annotation reference"/>
    <w:semiHidden/>
    <w:qFormat/>
    <w:uiPriority w:val="0"/>
    <w:rPr>
      <w:sz w:val="21"/>
      <w:szCs w:val="21"/>
    </w:rPr>
  </w:style>
  <w:style w:type="paragraph" w:customStyle="1" w:styleId="36">
    <w:name w:val="样式 样式 样式 样式 小四 左 首行缩进:  2 字符 + 首行缩进:  2 字符 Char + 右  0 字符1 + 首行缩...3"/>
    <w:basedOn w:val="1"/>
    <w:qFormat/>
    <w:uiPriority w:val="99"/>
    <w:pPr>
      <w:adjustRightInd w:val="0"/>
      <w:spacing w:line="360" w:lineRule="auto"/>
      <w:ind w:firstLine="480" w:firstLineChars="200"/>
      <w:jc w:val="left"/>
      <w:textAlignment w:val="baseline"/>
    </w:pPr>
    <w:rPr>
      <w:rFonts w:cs="宋体"/>
      <w:sz w:val="24"/>
    </w:rPr>
  </w:style>
  <w:style w:type="paragraph" w:customStyle="1" w:styleId="37">
    <w:name w:val="li_正文"/>
    <w:basedOn w:val="1"/>
    <w:qFormat/>
    <w:uiPriority w:val="0"/>
    <w:pPr>
      <w:ind w:firstLine="200" w:firstLineChars="200"/>
      <w:jc w:val="left"/>
    </w:pPr>
    <w:rPr>
      <w:sz w:val="28"/>
      <w:szCs w:val="28"/>
    </w:rPr>
  </w:style>
  <w:style w:type="paragraph" w:customStyle="1" w:styleId="38">
    <w:name w:val="样式 标题 1一级标题 + 段前: 0.5 行 段后: 0.5 行"/>
    <w:basedOn w:val="4"/>
    <w:qFormat/>
    <w:uiPriority w:val="99"/>
    <w:pPr>
      <w:spacing w:line="320" w:lineRule="exact"/>
      <w:outlineLvl w:val="9"/>
    </w:pPr>
    <w:rPr>
      <w:spacing w:val="-6"/>
      <w:sz w:val="21"/>
      <w:szCs w:val="21"/>
    </w:rPr>
  </w:style>
  <w:style w:type="paragraph" w:customStyle="1" w:styleId="39">
    <w:name w:val="默认段落字体 Para Char Char Char Char"/>
    <w:basedOn w:val="1"/>
    <w:qFormat/>
    <w:uiPriority w:val="0"/>
    <w:rPr>
      <w:sz w:val="24"/>
      <w:szCs w:val="24"/>
    </w:rPr>
  </w:style>
  <w:style w:type="paragraph" w:customStyle="1" w:styleId="40">
    <w:name w:val="样式 正文文本缩进 + 行距: 1.5 倍行距"/>
    <w:basedOn w:val="13"/>
    <w:qFormat/>
    <w:uiPriority w:val="0"/>
    <w:pPr>
      <w:spacing w:before="0" w:after="120"/>
      <w:ind w:left="90" w:leftChars="32" w:firstLine="560" w:firstLineChars="200"/>
    </w:pPr>
    <w:rPr>
      <w:rFonts w:ascii="Times New Roman" w:cs="宋体"/>
    </w:rPr>
  </w:style>
  <w:style w:type="paragraph" w:customStyle="1" w:styleId="41">
    <w:name w:val="Default1"/>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42">
    <w:name w:val="unnamed11"/>
    <w:qFormat/>
    <w:uiPriority w:val="0"/>
    <w:rPr>
      <w:sz w:val="18"/>
      <w:szCs w:val="18"/>
    </w:rPr>
  </w:style>
  <w:style w:type="character" w:customStyle="1" w:styleId="43">
    <w:name w:val="正1 Char"/>
    <w:link w:val="44"/>
    <w:qFormat/>
    <w:uiPriority w:val="0"/>
    <w:rPr>
      <w:rFonts w:eastAsia="楷体_GB2312"/>
      <w:kern w:val="2"/>
      <w:sz w:val="24"/>
      <w:szCs w:val="24"/>
      <w:lang w:val="en-US" w:eastAsia="zh-CN" w:bidi="ar-SA"/>
    </w:rPr>
  </w:style>
  <w:style w:type="paragraph" w:customStyle="1" w:styleId="44">
    <w:name w:val="正1"/>
    <w:basedOn w:val="1"/>
    <w:link w:val="43"/>
    <w:qFormat/>
    <w:uiPriority w:val="0"/>
    <w:pPr>
      <w:spacing w:line="360" w:lineRule="auto"/>
      <w:ind w:firstLine="200" w:firstLineChars="200"/>
      <w:jc w:val="left"/>
    </w:pPr>
    <w:rPr>
      <w:rFonts w:eastAsia="楷体_GB2312"/>
      <w:sz w:val="24"/>
      <w:szCs w:val="24"/>
    </w:rPr>
  </w:style>
  <w:style w:type="character" w:customStyle="1" w:styleId="45">
    <w:name w:val="纯文本 Char"/>
    <w:qFormat/>
    <w:uiPriority w:val="0"/>
    <w:rPr>
      <w:rFonts w:ascii="宋体" w:hAnsi="Courier New" w:eastAsia="宋体"/>
      <w:kern w:val="2"/>
      <w:sz w:val="21"/>
      <w:szCs w:val="24"/>
      <w:lang w:val="en-US" w:eastAsia="zh-CN" w:bidi="ar-SA"/>
    </w:rPr>
  </w:style>
  <w:style w:type="character" w:customStyle="1" w:styleId="46">
    <w:name w:val="f12_0000_1"/>
    <w:basedOn w:val="29"/>
    <w:qFormat/>
    <w:uiPriority w:val="0"/>
  </w:style>
  <w:style w:type="character" w:customStyle="1" w:styleId="47">
    <w:name w:val="正文文本缩进 Char"/>
    <w:link w:val="13"/>
    <w:qFormat/>
    <w:uiPriority w:val="0"/>
    <w:rPr>
      <w:rFonts w:ascii="宋体"/>
      <w:kern w:val="2"/>
      <w:sz w:val="24"/>
      <w:szCs w:val="24"/>
    </w:rPr>
  </w:style>
  <w:style w:type="character" w:customStyle="1" w:styleId="48">
    <w:name w:val="样式 宋体 四号"/>
    <w:qFormat/>
    <w:uiPriority w:val="0"/>
    <w:rPr>
      <w:rFonts w:ascii="宋体" w:hAnsi="宋体" w:eastAsia="仿宋_GB2312"/>
      <w:sz w:val="30"/>
      <w:szCs w:val="24"/>
    </w:rPr>
  </w:style>
  <w:style w:type="character" w:customStyle="1" w:styleId="49">
    <w:name w:val="纯文本 Char1"/>
    <w:link w:val="15"/>
    <w:qFormat/>
    <w:uiPriority w:val="0"/>
    <w:rPr>
      <w:rFonts w:ascii="宋体" w:hAnsi="Courier New" w:eastAsia="宋体" w:cs="Courier New"/>
      <w:kern w:val="2"/>
      <w:sz w:val="21"/>
      <w:szCs w:val="21"/>
      <w:lang w:val="en-US" w:eastAsia="zh-CN" w:bidi="ar-SA"/>
    </w:rPr>
  </w:style>
  <w:style w:type="character" w:customStyle="1" w:styleId="50">
    <w:name w:val="正文文本缩进 2 Char"/>
    <w:link w:val="17"/>
    <w:qFormat/>
    <w:uiPriority w:val="0"/>
    <w:rPr>
      <w:rFonts w:ascii="宋体"/>
      <w:kern w:val="2"/>
      <w:sz w:val="24"/>
      <w:szCs w:val="24"/>
    </w:rPr>
  </w:style>
  <w:style w:type="character" w:customStyle="1" w:styleId="51">
    <w:name w:val="col1"/>
    <w:basedOn w:val="29"/>
    <w:qFormat/>
    <w:uiPriority w:val="0"/>
  </w:style>
  <w:style w:type="character" w:customStyle="1" w:styleId="52">
    <w:name w:val="style71"/>
    <w:qFormat/>
    <w:uiPriority w:val="0"/>
    <w:rPr>
      <w:b/>
      <w:bCs/>
      <w:sz w:val="21"/>
      <w:szCs w:val="21"/>
    </w:rPr>
  </w:style>
  <w:style w:type="character" w:customStyle="1" w:styleId="53">
    <w:name w:val="ask-title"/>
    <w:basedOn w:val="29"/>
    <w:qFormat/>
    <w:uiPriority w:val="0"/>
  </w:style>
  <w:style w:type="character" w:customStyle="1" w:styleId="54">
    <w:name w:val="正文文本_"/>
    <w:link w:val="55"/>
    <w:unhideWhenUsed/>
    <w:qFormat/>
    <w:uiPriority w:val="0"/>
    <w:rPr>
      <w:rFonts w:ascii="宋体" w:hAnsi="宋体" w:eastAsia="Times New Roman"/>
      <w:kern w:val="0"/>
      <w:sz w:val="23"/>
      <w:szCs w:val="20"/>
    </w:rPr>
  </w:style>
  <w:style w:type="paragraph" w:customStyle="1" w:styleId="55">
    <w:name w:val="正文文本1"/>
    <w:basedOn w:val="1"/>
    <w:link w:val="54"/>
    <w:unhideWhenUsed/>
    <w:qFormat/>
    <w:uiPriority w:val="0"/>
    <w:pPr>
      <w:shd w:val="clear" w:color="auto" w:fill="FFFFFF"/>
      <w:spacing w:line="468" w:lineRule="exact"/>
      <w:ind w:hanging="500"/>
      <w:jc w:val="distribute"/>
    </w:pPr>
    <w:rPr>
      <w:rFonts w:ascii="宋体" w:hAnsi="宋体" w:eastAsia="Times New Roman"/>
      <w:kern w:val="0"/>
      <w:sz w:val="23"/>
    </w:rPr>
  </w:style>
  <w:style w:type="paragraph" w:customStyle="1" w:styleId="56">
    <w:name w:val="简单回函地址"/>
    <w:basedOn w:val="1"/>
    <w:qFormat/>
    <w:uiPriority w:val="0"/>
    <w:rPr>
      <w:rFonts w:hint="eastAsia" w:ascii="宋体" w:hAnsi="Courier New"/>
      <w:kern w:val="0"/>
    </w:rPr>
  </w:style>
  <w:style w:type="paragraph" w:customStyle="1" w:styleId="57">
    <w:name w:val="四级标题1.1.1.1"/>
    <w:basedOn w:val="1"/>
    <w:next w:val="1"/>
    <w:qFormat/>
    <w:uiPriority w:val="0"/>
    <w:pPr>
      <w:keepNext/>
      <w:keepLines/>
      <w:widowControl/>
      <w:adjustRightInd w:val="0"/>
      <w:spacing w:before="40" w:after="40" w:line="360" w:lineRule="auto"/>
      <w:ind w:firstLine="200" w:firstLineChars="200"/>
      <w:outlineLvl w:val="3"/>
    </w:pPr>
    <w:rPr>
      <w:rFonts w:eastAsia="仿宋_GB2312" w:cs="宋体"/>
      <w:b/>
      <w:kern w:val="0"/>
      <w:sz w:val="24"/>
      <w:szCs w:val="28"/>
    </w:rPr>
  </w:style>
  <w:style w:type="paragraph" w:customStyle="1" w:styleId="58">
    <w:name w:val="Table Paragraph"/>
    <w:basedOn w:val="1"/>
    <w:qFormat/>
    <w:uiPriority w:val="1"/>
    <w:rPr>
      <w:rFonts w:ascii="Calibri" w:hAnsi="Calibri"/>
      <w:sz w:val="22"/>
      <w:szCs w:val="22"/>
      <w:lang w:eastAsia="en-US"/>
    </w:rPr>
  </w:style>
  <w:style w:type="paragraph" w:customStyle="1" w:styleId="59">
    <w:name w:val="二级标题"/>
    <w:basedOn w:val="1"/>
    <w:qFormat/>
    <w:uiPriority w:val="0"/>
    <w:pPr>
      <w:adjustRightInd w:val="0"/>
      <w:spacing w:before="120" w:after="120" w:line="400" w:lineRule="atLeast"/>
      <w:textAlignment w:val="baseline"/>
    </w:pPr>
    <w:rPr>
      <w:rFonts w:eastAsia="黑体"/>
      <w:kern w:val="0"/>
      <w:sz w:val="28"/>
    </w:rPr>
  </w:style>
  <w:style w:type="paragraph" w:customStyle="1" w:styleId="60">
    <w:name w:val="正文 New New New New New New New New New New New New New New New New"/>
    <w:qFormat/>
    <w:uiPriority w:val="0"/>
    <w:pPr>
      <w:widowControl w:val="0"/>
      <w:jc w:val="both"/>
    </w:pPr>
    <w:rPr>
      <w:rFonts w:ascii="Calibri" w:hAnsi="Calibri" w:eastAsia="Calibri" w:cs="Times New Roman"/>
      <w:kern w:val="2"/>
      <w:sz w:val="21"/>
      <w:szCs w:val="24"/>
      <w:lang w:val="en-US" w:eastAsia="zh-CN" w:bidi="ar-SA"/>
    </w:rPr>
  </w:style>
  <w:style w:type="paragraph" w:customStyle="1" w:styleId="61">
    <w:name w:val="Body Text 22"/>
    <w:basedOn w:val="1"/>
    <w:qFormat/>
    <w:uiPriority w:val="0"/>
    <w:pPr>
      <w:adjustRightInd w:val="0"/>
      <w:spacing w:line="440" w:lineRule="atLeast"/>
      <w:ind w:firstLine="480"/>
      <w:textAlignment w:val="baseline"/>
    </w:pPr>
    <w:rPr>
      <w:rFonts w:eastAsia="仿宋_GB2312"/>
      <w:sz w:val="24"/>
    </w:rPr>
  </w:style>
  <w:style w:type="paragraph" w:customStyle="1" w:styleId="62">
    <w:name w:val="表格填充1"/>
    <w:basedOn w:val="1"/>
    <w:qFormat/>
    <w:uiPriority w:val="0"/>
    <w:pPr>
      <w:jc w:val="center"/>
    </w:pPr>
    <w:rPr>
      <w:sz w:val="30"/>
      <w:szCs w:val="18"/>
    </w:rPr>
  </w:style>
  <w:style w:type="paragraph" w:customStyle="1" w:styleId="63">
    <w:name w:val="样式8"/>
    <w:basedOn w:val="64"/>
    <w:qFormat/>
    <w:uiPriority w:val="0"/>
    <w:pPr>
      <w:spacing w:line="360" w:lineRule="auto"/>
    </w:pPr>
  </w:style>
  <w:style w:type="paragraph" w:customStyle="1" w:styleId="64">
    <w:name w:val="样式7"/>
    <w:basedOn w:val="1"/>
    <w:qFormat/>
    <w:uiPriority w:val="0"/>
    <w:pPr>
      <w:autoSpaceDE w:val="0"/>
      <w:autoSpaceDN w:val="0"/>
      <w:snapToGrid w:val="0"/>
      <w:spacing w:line="480" w:lineRule="exact"/>
      <w:ind w:firstLine="200" w:firstLineChars="200"/>
    </w:pPr>
    <w:rPr>
      <w:kern w:val="0"/>
      <w:sz w:val="24"/>
    </w:rPr>
  </w:style>
  <w:style w:type="paragraph" w:customStyle="1" w:styleId="65">
    <w:name w:val="1正文"/>
    <w:basedOn w:val="1"/>
    <w:qFormat/>
    <w:uiPriority w:val="0"/>
    <w:pPr>
      <w:widowControl/>
      <w:spacing w:line="360" w:lineRule="auto"/>
      <w:ind w:firstLine="200" w:firstLineChars="200"/>
    </w:pPr>
    <w:rPr>
      <w:kern w:val="0"/>
    </w:rPr>
  </w:style>
  <w:style w:type="paragraph" w:customStyle="1" w:styleId="66">
    <w:name w:val="正文(首行缩进)"/>
    <w:next w:val="1"/>
    <w:qFormat/>
    <w:uiPriority w:val="0"/>
    <w:pPr>
      <w:widowControl w:val="0"/>
      <w:adjustRightInd w:val="0"/>
      <w:snapToGrid w:val="0"/>
      <w:spacing w:line="360" w:lineRule="auto"/>
      <w:ind w:firstLine="200" w:firstLineChars="200"/>
      <w:jc w:val="both"/>
      <w:textAlignment w:val="baseline"/>
    </w:pPr>
    <w:rPr>
      <w:rFonts w:ascii="Times New Roman" w:hAnsi="Times New Roman" w:eastAsia="宋体" w:cs="Times New Roman"/>
      <w:snapToGrid w:val="0"/>
      <w:sz w:val="24"/>
      <w:szCs w:val="24"/>
      <w:lang w:val="en-US" w:eastAsia="zh-CN" w:bidi="ar-SA"/>
    </w:rPr>
  </w:style>
  <w:style w:type="paragraph" w:customStyle="1" w:styleId="67">
    <w:name w:val="正文01"/>
    <w:basedOn w:val="1"/>
    <w:qFormat/>
    <w:uiPriority w:val="0"/>
    <w:pPr>
      <w:snapToGrid w:val="0"/>
      <w:spacing w:before="60" w:line="460" w:lineRule="exact"/>
      <w:ind w:firstLine="200" w:firstLineChars="200"/>
    </w:pPr>
    <w:rPr>
      <w:kern w:val="0"/>
      <w:sz w:val="24"/>
    </w:rPr>
  </w:style>
  <w:style w:type="paragraph" w:customStyle="1" w:styleId="68">
    <w:name w:val="表"/>
    <w:basedOn w:val="11"/>
    <w:qFormat/>
    <w:uiPriority w:val="0"/>
    <w:pPr>
      <w:adjustRightInd w:val="0"/>
      <w:snapToGrid w:val="0"/>
      <w:spacing w:line="240" w:lineRule="auto"/>
      <w:jc w:val="center"/>
    </w:pPr>
    <w:rPr>
      <w:rFonts w:ascii="Times New Roman"/>
      <w:kern w:val="0"/>
      <w:sz w:val="21"/>
      <w:szCs w:val="24"/>
    </w:rPr>
  </w:style>
  <w:style w:type="paragraph" w:customStyle="1" w:styleId="69">
    <w:name w:val="Char Char Char Char Char Char"/>
    <w:basedOn w:val="1"/>
    <w:qFormat/>
    <w:uiPriority w:val="0"/>
    <w:rPr>
      <w:sz w:val="24"/>
      <w:szCs w:val="24"/>
    </w:rPr>
  </w:style>
  <w:style w:type="paragraph" w:customStyle="1" w:styleId="70">
    <w:name w:val="Char1"/>
    <w:basedOn w:val="1"/>
    <w:qFormat/>
    <w:uiPriority w:val="0"/>
    <w:pPr>
      <w:snapToGrid w:val="0"/>
      <w:spacing w:line="360" w:lineRule="auto"/>
      <w:ind w:firstLine="529" w:firstLineChars="200"/>
    </w:pPr>
    <w:rPr>
      <w:rFonts w:ascii="宋体" w:hAnsi="宋体"/>
      <w:b/>
      <w:szCs w:val="24"/>
    </w:rPr>
  </w:style>
  <w:style w:type="paragraph" w:customStyle="1" w:styleId="71">
    <w:name w:val="Char Char Char"/>
    <w:basedOn w:val="1"/>
    <w:qFormat/>
    <w:uiPriority w:val="0"/>
    <w:rPr>
      <w:sz w:val="24"/>
      <w:szCs w:val="24"/>
    </w:rPr>
  </w:style>
  <w:style w:type="paragraph" w:customStyle="1" w:styleId="72">
    <w:name w:val="xl22"/>
    <w:basedOn w:val="1"/>
    <w:qFormat/>
    <w:uiPriority w:val="0"/>
    <w:pPr>
      <w:widowControl/>
      <w:spacing w:before="100" w:after="100"/>
      <w:jc w:val="center"/>
    </w:pPr>
    <w:rPr>
      <w:kern w:val="0"/>
      <w:sz w:val="24"/>
      <w:szCs w:val="24"/>
    </w:rPr>
  </w:style>
  <w:style w:type="paragraph" w:customStyle="1" w:styleId="73">
    <w:name w:val="标准"/>
    <w:basedOn w:val="1"/>
    <w:qFormat/>
    <w:uiPriority w:val="0"/>
    <w:pPr>
      <w:adjustRightInd w:val="0"/>
      <w:spacing w:line="312" w:lineRule="atLeast"/>
      <w:jc w:val="center"/>
    </w:pPr>
    <w:rPr>
      <w:kern w:val="0"/>
    </w:rPr>
  </w:style>
  <w:style w:type="paragraph" w:customStyle="1" w:styleId="74">
    <w:name w:val="报告书表格"/>
    <w:basedOn w:val="1"/>
    <w:qFormat/>
    <w:uiPriority w:val="0"/>
    <w:pPr>
      <w:adjustRightInd w:val="0"/>
      <w:spacing w:before="60" w:after="60" w:line="240" w:lineRule="atLeast"/>
      <w:jc w:val="center"/>
      <w:textAlignment w:val="baseline"/>
    </w:pPr>
    <w:rPr>
      <w:kern w:val="0"/>
    </w:rPr>
  </w:style>
  <w:style w:type="paragraph" w:customStyle="1" w:styleId="75">
    <w:name w:val="HP正文"/>
    <w:basedOn w:val="1"/>
    <w:qFormat/>
    <w:uiPriority w:val="0"/>
    <w:pPr>
      <w:spacing w:line="360" w:lineRule="auto"/>
      <w:ind w:firstLine="480" w:firstLineChars="200"/>
    </w:pPr>
    <w:rPr>
      <w:sz w:val="24"/>
    </w:rPr>
  </w:style>
  <w:style w:type="paragraph" w:customStyle="1" w:styleId="76">
    <w:name w:val="WPS Plain"/>
    <w:qFormat/>
    <w:uiPriority w:val="0"/>
    <w:rPr>
      <w:rFonts w:ascii="Times New Roman" w:hAnsi="Times New Roman" w:eastAsia="宋体" w:cs="Times New Roman"/>
      <w:lang w:val="en-US" w:eastAsia="zh-CN" w:bidi="ar-SA"/>
    </w:rPr>
  </w:style>
  <w:style w:type="paragraph" w:customStyle="1" w:styleId="77">
    <w:name w:val="报告表正文"/>
    <w:basedOn w:val="1"/>
    <w:qFormat/>
    <w:uiPriority w:val="99"/>
    <w:pPr>
      <w:adjustRightInd w:val="0"/>
      <w:spacing w:line="312" w:lineRule="auto"/>
      <w:ind w:left="113" w:right="113" w:firstLine="482"/>
      <w:jc w:val="left"/>
      <w:textAlignment w:val="baseline"/>
    </w:pPr>
    <w:rPr>
      <w:kern w:val="0"/>
      <w:sz w:val="24"/>
    </w:rPr>
  </w:style>
  <w:style w:type="paragraph" w:customStyle="1" w:styleId="78">
    <w:name w:val="正文 首行缩进:  2 字符"/>
    <w:basedOn w:val="1"/>
    <w:qFormat/>
    <w:uiPriority w:val="0"/>
    <w:pPr>
      <w:adjustRightInd w:val="0"/>
      <w:snapToGrid w:val="0"/>
      <w:spacing w:line="500" w:lineRule="exact"/>
      <w:ind w:firstLine="200" w:firstLineChars="200"/>
      <w:jc w:val="left"/>
    </w:pPr>
    <w:rPr>
      <w:rFonts w:cs="宋体"/>
    </w:rPr>
  </w:style>
  <w:style w:type="paragraph" w:customStyle="1" w:styleId="79">
    <w:name w:val="表格内文字"/>
    <w:basedOn w:val="1"/>
    <w:qFormat/>
    <w:uiPriority w:val="0"/>
    <w:pPr>
      <w:tabs>
        <w:tab w:val="left" w:pos="0"/>
      </w:tabs>
      <w:adjustRightInd w:val="0"/>
      <w:snapToGrid w:val="0"/>
      <w:jc w:val="center"/>
    </w:pPr>
    <w:rPr>
      <w:rFonts w:eastAsia="仿宋_GB2312"/>
      <w:sz w:val="24"/>
    </w:rPr>
  </w:style>
  <w:style w:type="paragraph" w:customStyle="1" w:styleId="80">
    <w:name w:val="Char Char Char Char Char Char Char Char Char Char Char Char Char Char Char Char1"/>
    <w:basedOn w:val="1"/>
    <w:qFormat/>
    <w:uiPriority w:val="0"/>
    <w:rPr>
      <w:szCs w:val="24"/>
    </w:rPr>
  </w:style>
  <w:style w:type="paragraph" w:styleId="81">
    <w:name w:val="List Paragraph"/>
    <w:basedOn w:val="1"/>
    <w:qFormat/>
    <w:uiPriority w:val="34"/>
    <w:pPr>
      <w:ind w:firstLine="420" w:firstLineChars="200"/>
    </w:pPr>
  </w:style>
  <w:style w:type="paragraph" w:customStyle="1" w:styleId="82">
    <w:name w:val="样式1"/>
    <w:basedOn w:val="15"/>
    <w:qFormat/>
    <w:uiPriority w:val="0"/>
    <w:pPr>
      <w:spacing w:line="300" w:lineRule="auto"/>
      <w:ind w:firstLine="200" w:firstLineChars="200"/>
    </w:pPr>
    <w:rPr>
      <w:rFonts w:ascii="Times New Roman" w:hAnsi="Times New Roman" w:eastAsia="仿宋_GB2312" w:cs="Times New Roman"/>
      <w:color w:val="000000"/>
      <w:kern w:val="30"/>
      <w:sz w:val="30"/>
      <w:szCs w:val="30"/>
    </w:rPr>
  </w:style>
  <w:style w:type="paragraph" w:customStyle="1" w:styleId="83">
    <w:name w:val="样式3"/>
    <w:basedOn w:val="1"/>
    <w:qFormat/>
    <w:uiPriority w:val="99"/>
    <w:pPr>
      <w:tabs>
        <w:tab w:val="left" w:pos="6780"/>
      </w:tabs>
      <w:snapToGrid w:val="0"/>
      <w:spacing w:line="360" w:lineRule="auto"/>
      <w:ind w:left="105" w:leftChars="50" w:right="105" w:rightChars="50" w:firstLine="480" w:firstLineChars="200"/>
    </w:pPr>
    <w:rPr>
      <w:sz w:val="24"/>
      <w:lang w:val="zh-CN"/>
    </w:rPr>
  </w:style>
  <w:style w:type="paragraph" w:customStyle="1" w:styleId="84">
    <w:name w:val="样式 黑体 四号 左 行距: 固定值 33 磅"/>
    <w:basedOn w:val="1"/>
    <w:qFormat/>
    <w:uiPriority w:val="0"/>
    <w:pPr>
      <w:numPr>
        <w:ilvl w:val="0"/>
        <w:numId w:val="2"/>
      </w:numPr>
      <w:spacing w:line="360" w:lineRule="auto"/>
      <w:ind w:left="0" w:firstLine="0"/>
    </w:pPr>
    <w:rPr>
      <w:b/>
      <w:color w:val="000000"/>
      <w:sz w:val="24"/>
    </w:rPr>
  </w:style>
  <w:style w:type="paragraph" w:customStyle="1" w:styleId="85">
    <w:name w:val="默认段落字体 Para Char Char Char1 Char Char Char Char Char Char Char Char Char Char"/>
    <w:basedOn w:val="1"/>
    <w:qFormat/>
    <w:uiPriority w:val="0"/>
    <w:rPr>
      <w:sz w:val="24"/>
      <w:szCs w:val="24"/>
    </w:rPr>
  </w:style>
  <w:style w:type="paragraph" w:customStyle="1" w:styleId="86">
    <w:name w:val="CM3"/>
    <w:basedOn w:val="2"/>
    <w:next w:val="2"/>
    <w:qFormat/>
    <w:uiPriority w:val="0"/>
    <w:pPr>
      <w:spacing w:line="603" w:lineRule="atLeast"/>
    </w:pPr>
    <w:rPr>
      <w:rFonts w:ascii="楷体_GB2312" w:eastAsia="楷体_GB2312" w:cs="楷体_GB2312"/>
      <w:color w:val="auto"/>
    </w:rPr>
  </w:style>
  <w:style w:type="paragraph" w:customStyle="1" w:styleId="87">
    <w:name w:val="_Style 2"/>
    <w:basedOn w:val="1"/>
    <w:qFormat/>
    <w:uiPriority w:val="34"/>
    <w:pPr>
      <w:ind w:firstLine="420" w:firstLineChars="200"/>
    </w:pPr>
  </w:style>
  <w:style w:type="paragraph" w:customStyle="1" w:styleId="88">
    <w:name w:val="Char Char Char Char"/>
    <w:basedOn w:val="1"/>
    <w:qFormat/>
    <w:uiPriority w:val="0"/>
    <w:rPr>
      <w:szCs w:val="24"/>
    </w:rPr>
  </w:style>
  <w:style w:type="paragraph" w:customStyle="1" w:styleId="89">
    <w:name w:val="Char Char Char1"/>
    <w:basedOn w:val="1"/>
    <w:qFormat/>
    <w:uiPriority w:val="0"/>
    <w:rPr>
      <w:sz w:val="24"/>
      <w:szCs w:val="24"/>
    </w:rPr>
  </w:style>
  <w:style w:type="paragraph" w:customStyle="1" w:styleId="90">
    <w:name w:val="样式 样式 创艺简中圆 (符号) 宋体 行距: 2 倍行距 + 首行缩进:  2 字符"/>
    <w:basedOn w:val="1"/>
    <w:qFormat/>
    <w:uiPriority w:val="0"/>
    <w:pPr>
      <w:spacing w:line="360" w:lineRule="auto"/>
      <w:ind w:firstLine="476" w:firstLineChars="200"/>
      <w:jc w:val="left"/>
    </w:pPr>
    <w:rPr>
      <w:rFonts w:ascii="宋体" w:hAnsi="宋体"/>
      <w:spacing w:val="9"/>
      <w:sz w:val="22"/>
    </w:rPr>
  </w:style>
  <w:style w:type="paragraph" w:customStyle="1" w:styleId="91">
    <w:name w:val="样式 宋体 四号 行距: 固定值 33 磅3"/>
    <w:basedOn w:val="1"/>
    <w:qFormat/>
    <w:uiPriority w:val="0"/>
    <w:pPr>
      <w:spacing w:line="360" w:lineRule="auto"/>
      <w:ind w:firstLine="480" w:firstLineChars="200"/>
    </w:pPr>
    <w:rPr>
      <w:sz w:val="24"/>
      <w:szCs w:val="24"/>
    </w:rPr>
  </w:style>
  <w:style w:type="paragraph" w:customStyle="1" w:styleId="92">
    <w:name w:val="列出段落1"/>
    <w:basedOn w:val="1"/>
    <w:qFormat/>
    <w:uiPriority w:val="0"/>
    <w:pPr>
      <w:ind w:firstLine="200" w:firstLineChars="200"/>
    </w:pPr>
    <w:rPr>
      <w:rFonts w:ascii="Calibri" w:hAnsi="Calibri"/>
      <w:szCs w:val="22"/>
    </w:rPr>
  </w:style>
  <w:style w:type="paragraph" w:customStyle="1" w:styleId="93">
    <w:name w:val="列出段落11"/>
    <w:basedOn w:val="1"/>
    <w:qFormat/>
    <w:uiPriority w:val="99"/>
    <w:pPr>
      <w:ind w:firstLine="420" w:firstLineChars="200"/>
    </w:pPr>
    <w:rPr>
      <w:rFonts w:ascii="Calibri" w:hAnsi="Calibri"/>
      <w:szCs w:val="22"/>
    </w:rPr>
  </w:style>
  <w:style w:type="paragraph" w:customStyle="1" w:styleId="94">
    <w:name w:val="列出段落2"/>
    <w:basedOn w:val="1"/>
    <w:unhideWhenUsed/>
    <w:qFormat/>
    <w:uiPriority w:val="99"/>
    <w:pPr>
      <w:ind w:firstLine="420" w:firstLineChars="200"/>
    </w:pPr>
  </w:style>
  <w:style w:type="paragraph" w:customStyle="1" w:styleId="95">
    <w:name w:val="正文小四"/>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paragraph" w:customStyle="1" w:styleId="96">
    <w:name w:val="表文"/>
    <w:basedOn w:val="11"/>
    <w:next w:val="8"/>
    <w:qFormat/>
    <w:uiPriority w:val="0"/>
    <w:pPr>
      <w:spacing w:line="240" w:lineRule="auto"/>
      <w:jc w:val="center"/>
    </w:pPr>
    <w:rPr>
      <w:rFonts w:ascii="Times New Roman"/>
    </w:rPr>
  </w:style>
  <w:style w:type="paragraph" w:customStyle="1" w:styleId="97">
    <w:name w:val="正文首行缩进1"/>
    <w:basedOn w:val="11"/>
    <w:qFormat/>
    <w:uiPriority w:val="0"/>
    <w:pPr>
      <w:spacing w:line="240" w:lineRule="auto"/>
      <w:ind w:firstLine="420" w:firstLineChars="100"/>
    </w:pPr>
    <w:rPr>
      <w:kern w:val="0"/>
      <w:sz w:val="20"/>
    </w:rPr>
  </w:style>
  <w:style w:type="paragraph" w:customStyle="1" w:styleId="98">
    <w:name w:val="样式5"/>
    <w:basedOn w:val="1"/>
    <w:qFormat/>
    <w:uiPriority w:val="0"/>
    <w:pPr>
      <w:tabs>
        <w:tab w:val="left" w:pos="7380"/>
      </w:tabs>
      <w:snapToGrid w:val="0"/>
      <w:spacing w:line="360" w:lineRule="auto"/>
      <w:ind w:firstLine="480" w:firstLineChars="200"/>
      <w:jc w:val="left"/>
    </w:pPr>
    <w:rPr>
      <w:rFonts w:ascii="宋体" w:hAnsi="宋体"/>
      <w:sz w:val="24"/>
    </w:rPr>
  </w:style>
  <w:style w:type="character" w:customStyle="1" w:styleId="99">
    <w:name w:val="lable"/>
    <w:basedOn w:val="29"/>
    <w:qFormat/>
    <w:uiPriority w:val="0"/>
    <w:rPr>
      <w:sz w:val="19"/>
      <w:szCs w:val="19"/>
    </w:rPr>
  </w:style>
  <w:style w:type="character" w:customStyle="1" w:styleId="100">
    <w:name w:val="bsharetext"/>
    <w:basedOn w:val="29"/>
    <w:qFormat/>
    <w:uiPriority w:val="0"/>
  </w:style>
  <w:style w:type="character" w:customStyle="1" w:styleId="101">
    <w:name w:val="radio-btn"/>
    <w:basedOn w:val="29"/>
    <w:qFormat/>
    <w:uiPriority w:val="0"/>
    <w:rPr>
      <w:sz w:val="19"/>
      <w:szCs w:val="19"/>
    </w:rPr>
  </w:style>
  <w:style w:type="character" w:customStyle="1" w:styleId="102">
    <w:name w:val="radio-btn1"/>
    <w:basedOn w:val="29"/>
    <w:qFormat/>
    <w:uiPriority w:val="0"/>
    <w:rPr>
      <w:sz w:val="16"/>
      <w:szCs w:val="16"/>
    </w:rPr>
  </w:style>
  <w:style w:type="character" w:customStyle="1" w:styleId="103">
    <w:name w:val="radio-btn2"/>
    <w:basedOn w:val="29"/>
    <w:qFormat/>
    <w:uiPriority w:val="0"/>
    <w:rPr>
      <w:sz w:val="19"/>
      <w:szCs w:val="19"/>
    </w:rPr>
  </w:style>
  <w:style w:type="character" w:customStyle="1" w:styleId="104">
    <w:name w:val="lishishuju"/>
    <w:basedOn w:val="29"/>
    <w:qFormat/>
    <w:uiPriority w:val="0"/>
    <w:rPr>
      <w:b/>
      <w:color w:val="000052"/>
      <w:sz w:val="19"/>
      <w:szCs w:val="19"/>
      <w:bdr w:val="single" w:color="E3E3E3" w:sz="4" w:space="0"/>
    </w:rPr>
  </w:style>
  <w:style w:type="character" w:customStyle="1" w:styleId="105">
    <w:name w:val="cur1"/>
    <w:basedOn w:val="29"/>
    <w:qFormat/>
    <w:uiPriority w:val="0"/>
    <w:rPr>
      <w:color w:val="FFFFFF"/>
      <w:shd w:val="clear" w:color="auto" w:fill="2F6B98"/>
    </w:rPr>
  </w:style>
  <w:style w:type="character" w:customStyle="1" w:styleId="106">
    <w:name w:val="znspantitle"/>
    <w:basedOn w:val="29"/>
    <w:qFormat/>
    <w:uiPriority w:val="0"/>
    <w:rPr>
      <w:b/>
      <w:color w:val="333333"/>
    </w:rPr>
  </w:style>
  <w:style w:type="paragraph" w:customStyle="1" w:styleId="107">
    <w:name w:val="二级条标题"/>
    <w:basedOn w:val="108"/>
    <w:next w:val="109"/>
    <w:qFormat/>
    <w:uiPriority w:val="99"/>
    <w:pPr>
      <w:numPr>
        <w:ilvl w:val="2"/>
      </w:numPr>
      <w:spacing w:before="50" w:after="50"/>
      <w:outlineLvl w:val="3"/>
    </w:pPr>
  </w:style>
  <w:style w:type="paragraph" w:customStyle="1" w:styleId="108">
    <w:name w:val="一级条标题"/>
    <w:next w:val="109"/>
    <w:qFormat/>
    <w:uiPriority w:val="99"/>
    <w:pPr>
      <w:numPr>
        <w:ilvl w:val="1"/>
        <w:numId w:val="3"/>
      </w:numPr>
      <w:spacing w:beforeLines="50" w:afterLines="50"/>
      <w:outlineLvl w:val="2"/>
    </w:pPr>
    <w:rPr>
      <w:rFonts w:ascii="黑体" w:hAnsi="Times New Roman" w:eastAsia="黑体" w:cs="Times New Roman"/>
      <w:sz w:val="21"/>
      <w:szCs w:val="21"/>
      <w:lang w:val="en-US" w:eastAsia="zh-CN" w:bidi="ar-SA"/>
    </w:rPr>
  </w:style>
  <w:style w:type="paragraph" w:customStyle="1" w:styleId="109">
    <w:name w:val="段"/>
    <w:qFormat/>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10">
    <w:name w:val="报告正文"/>
    <w:qFormat/>
    <w:uiPriority w:val="0"/>
    <w:pPr>
      <w:spacing w:line="360" w:lineRule="auto"/>
      <w:ind w:firstLine="200" w:firstLineChars="200"/>
      <w:jc w:val="both"/>
    </w:pPr>
    <w:rPr>
      <w:rFonts w:ascii="Calibri" w:hAnsi="Calibri" w:eastAsia="宋体" w:cs="Times New Roman"/>
      <w:bCs/>
      <w:kern w:val="44"/>
      <w:sz w:val="24"/>
      <w:szCs w:val="44"/>
      <w:lang w:val="en-US" w:eastAsia="zh-CN" w:bidi="ar-SA"/>
    </w:rPr>
  </w:style>
  <w:style w:type="paragraph" w:customStyle="1" w:styleId="111">
    <w:name w:val="文本框"/>
    <w:basedOn w:val="1"/>
    <w:qFormat/>
    <w:uiPriority w:val="0"/>
    <w:pPr>
      <w:jc w:val="center"/>
    </w:pPr>
  </w:style>
  <w:style w:type="paragraph" w:customStyle="1" w:styleId="112">
    <w:name w:val="表格"/>
    <w:basedOn w:val="8"/>
    <w:next w:val="1"/>
    <w:qFormat/>
    <w:uiPriority w:val="0"/>
    <w:pPr>
      <w:tabs>
        <w:tab w:val="left" w:pos="630"/>
      </w:tabs>
      <w:adjustRightInd w:val="0"/>
      <w:snapToGrid w:val="0"/>
      <w:spacing w:line="340" w:lineRule="exact"/>
      <w:jc w:val="center"/>
    </w:pPr>
    <w:rPr>
      <w:spacing w:val="-10"/>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5" Type="http://schemas.openxmlformats.org/officeDocument/2006/relationships/fontTable" Target="fontTable.xml"/><Relationship Id="rId44" Type="http://schemas.openxmlformats.org/officeDocument/2006/relationships/numbering" Target="numbering.xml"/><Relationship Id="rId43" Type="http://schemas.openxmlformats.org/officeDocument/2006/relationships/customXml" Target="../customXml/item1.xml"/><Relationship Id="rId42" Type="http://schemas.openxmlformats.org/officeDocument/2006/relationships/image" Target="media/image32.png"/><Relationship Id="rId41" Type="http://schemas.openxmlformats.org/officeDocument/2006/relationships/image" Target="media/image31.png"/><Relationship Id="rId40" Type="http://schemas.openxmlformats.org/officeDocument/2006/relationships/image" Target="media/image30.png"/><Relationship Id="rId4" Type="http://schemas.openxmlformats.org/officeDocument/2006/relationships/header" Target="header1.xml"/><Relationship Id="rId39" Type="http://schemas.openxmlformats.org/officeDocument/2006/relationships/image" Target="media/image29.jpeg"/><Relationship Id="rId38" Type="http://schemas.openxmlformats.org/officeDocument/2006/relationships/image" Target="media/image28.png"/><Relationship Id="rId37" Type="http://schemas.openxmlformats.org/officeDocument/2006/relationships/image" Target="media/image27.png"/><Relationship Id="rId36" Type="http://schemas.openxmlformats.org/officeDocument/2006/relationships/image" Target="media/image26.jpeg"/><Relationship Id="rId35" Type="http://schemas.openxmlformats.org/officeDocument/2006/relationships/image" Target="media/image25.png"/><Relationship Id="rId34" Type="http://schemas.openxmlformats.org/officeDocument/2006/relationships/image" Target="media/image24.png"/><Relationship Id="rId33" Type="http://schemas.openxmlformats.org/officeDocument/2006/relationships/image" Target="media/image23.png"/><Relationship Id="rId32" Type="http://schemas.openxmlformats.org/officeDocument/2006/relationships/image" Target="media/image22.png"/><Relationship Id="rId31" Type="http://schemas.openxmlformats.org/officeDocument/2006/relationships/image" Target="media/image21.png"/><Relationship Id="rId30" Type="http://schemas.openxmlformats.org/officeDocument/2006/relationships/image" Target="media/image20.jpeg"/><Relationship Id="rId3" Type="http://schemas.openxmlformats.org/officeDocument/2006/relationships/footer" Target="footer1.xml"/><Relationship Id="rId29" Type="http://schemas.openxmlformats.org/officeDocument/2006/relationships/image" Target="media/image19.jpeg"/><Relationship Id="rId28" Type="http://schemas.openxmlformats.org/officeDocument/2006/relationships/image" Target="media/image18.jpeg"/><Relationship Id="rId27" Type="http://schemas.openxmlformats.org/officeDocument/2006/relationships/image" Target="media/image17.jpeg"/><Relationship Id="rId26" Type="http://schemas.openxmlformats.org/officeDocument/2006/relationships/image" Target="media/image16.jpeg"/><Relationship Id="rId25" Type="http://schemas.openxmlformats.org/officeDocument/2006/relationships/image" Target="media/image15.jpeg"/><Relationship Id="rId24" Type="http://schemas.openxmlformats.org/officeDocument/2006/relationships/image" Target="media/image14.jpeg"/><Relationship Id="rId23" Type="http://schemas.openxmlformats.org/officeDocument/2006/relationships/image" Target="media/image13.jpeg"/><Relationship Id="rId22" Type="http://schemas.openxmlformats.org/officeDocument/2006/relationships/image" Target="media/image12.jpeg"/><Relationship Id="rId21" Type="http://schemas.openxmlformats.org/officeDocument/2006/relationships/image" Target="media/image11.jpe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jpe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jpeg"/><Relationship Id="rId15" Type="http://schemas.openxmlformats.org/officeDocument/2006/relationships/image" Target="media/image5.jpeg"/><Relationship Id="rId14" Type="http://schemas.openxmlformats.org/officeDocument/2006/relationships/image" Target="media/image4.jpe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96</Pages>
  <Words>8031</Words>
  <Characters>45782</Characters>
  <Lines>381</Lines>
  <Paragraphs>107</Paragraphs>
  <TotalTime>12</TotalTime>
  <ScaleCrop>false</ScaleCrop>
  <LinksUpToDate>false</LinksUpToDate>
  <CharactersWithSpaces>53706</CharactersWithSpaces>
  <Application>WPS Office_12.8.2.18605_F1E327BC-269C-435d-A152-05C5408002CA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2019-09-02T16:09:00Z</dcterms:created>
  <dc:creator>徐徐</dc:creator>
  <cp:lastModifiedBy>thtf</cp:lastModifiedBy>
  <cp:lastPrinted>2019-04-16T15:54:00Z</cp:lastPrinted>
  <dcterms:modified xsi:type="dcterms:W3CDTF">2025-03-07T10:47:55Z</dcterms:modified>
  <dc:title>建设项目环境影响报告表</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2052-12.8.2.18605</vt:lpwstr>
  </property>
  <property fmtid="{D5CDD505-2E9C-101B-9397-08002B2CF9AE}" pid="3" name="ICV">
    <vt:lpwstr>F215E5483FE5E8615B5ECA67E3C3B40D_42</vt:lpwstr>
  </property>
</Properties>
</file>