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Times New Roman" w:hAnsi="Times New Roman"/>
        </w:rPr>
      </w:pPr>
    </w:p>
    <w:p>
      <w:pPr>
        <w:rPr>
          <w:rFonts w:ascii="Times New Roman" w:hAnsi="Times New Roman"/>
        </w:rPr>
      </w:pPr>
    </w:p>
    <w:p>
      <w:pPr>
        <w:rPr>
          <w:rFonts w:ascii="Times New Roman" w:hAnsi="Times New Roman"/>
        </w:rPr>
      </w:pPr>
    </w:p>
    <w:p>
      <w:pPr>
        <w:jc w:val="center"/>
        <w:rPr>
          <w:rFonts w:ascii="Times New Roman" w:hAnsi="Times New Roman" w:eastAsia="黑体"/>
          <w:sz w:val="72"/>
        </w:rPr>
      </w:pPr>
    </w:p>
    <w:p>
      <w:pPr>
        <w:jc w:val="center"/>
        <w:rPr>
          <w:rFonts w:ascii="Times New Roman" w:hAnsi="Times New Roman" w:eastAsia="黑体"/>
          <w:sz w:val="72"/>
        </w:rPr>
      </w:pPr>
    </w:p>
    <w:p>
      <w:pPr>
        <w:jc w:val="center"/>
        <w:rPr>
          <w:rFonts w:ascii="Times New Roman" w:hAnsi="Times New Roman" w:eastAsia="黑体"/>
          <w:sz w:val="72"/>
        </w:rPr>
      </w:pPr>
      <w:r>
        <w:rPr>
          <w:rFonts w:ascii="Times New Roman" w:hAnsi="Times New Roman" w:eastAsia="黑体"/>
          <w:sz w:val="72"/>
        </w:rPr>
        <w:t>建设项目环境影响报告表</w:t>
      </w: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sz w:val="28"/>
        </w:rPr>
      </w:pPr>
    </w:p>
    <w:p>
      <w:pPr>
        <w:rPr>
          <w:rFonts w:ascii="Times New Roman" w:hAnsi="Times New Roman"/>
          <w:sz w:val="28"/>
        </w:rPr>
      </w:pPr>
    </w:p>
    <w:p>
      <w:pPr>
        <w:rPr>
          <w:rFonts w:ascii="Times New Roman" w:hAnsi="Times New Roman"/>
          <w:sz w:val="28"/>
        </w:rPr>
      </w:pPr>
    </w:p>
    <w:p>
      <w:pPr>
        <w:spacing w:line="360" w:lineRule="auto"/>
        <w:jc w:val="center"/>
        <w:rPr>
          <w:rFonts w:ascii="Times New Roman" w:hAnsi="Times New Roman" w:eastAsia="黑体"/>
          <w:sz w:val="36"/>
        </w:rPr>
      </w:pPr>
      <w:r>
        <w:rPr>
          <w:rFonts w:ascii="Times New Roman" w:hAnsi="Times New Roman" w:eastAsia="黑体"/>
          <w:sz w:val="36"/>
        </w:rPr>
        <w:t>项目名称:</w:t>
      </w:r>
      <w:r>
        <w:rPr>
          <w:rFonts w:ascii="Times New Roman" w:hAnsi="Times New Roman" w:eastAsia="黑体"/>
          <w:sz w:val="36"/>
          <w:u w:val="single"/>
        </w:rPr>
        <w:t xml:space="preserve"> </w:t>
      </w:r>
      <w:r>
        <w:rPr>
          <w:rFonts w:hint="eastAsia" w:ascii="Times New Roman" w:hAnsi="Times New Roman" w:eastAsia="黑体"/>
          <w:sz w:val="36"/>
          <w:u w:val="single"/>
        </w:rPr>
        <w:t>威海步特户外用品有限公司充气桨板标签生产项目</w:t>
      </w:r>
    </w:p>
    <w:p>
      <w:pPr>
        <w:spacing w:line="360" w:lineRule="auto"/>
        <w:ind w:left="420" w:leftChars="175"/>
        <w:jc w:val="center"/>
        <w:rPr>
          <w:rFonts w:ascii="Times New Roman" w:hAnsi="Times New Roman" w:eastAsia="黑体"/>
          <w:sz w:val="36"/>
          <w:u w:val="single"/>
        </w:rPr>
      </w:pPr>
      <w:r>
        <w:rPr>
          <w:rFonts w:ascii="Times New Roman" w:hAnsi="Times New Roman" w:eastAsia="黑体"/>
          <w:sz w:val="36"/>
        </w:rPr>
        <w:t>建设单位（盖章）：</w:t>
      </w:r>
      <w:r>
        <w:rPr>
          <w:rFonts w:ascii="Times New Roman" w:hAnsi="Times New Roman" w:eastAsia="黑体"/>
          <w:sz w:val="36"/>
          <w:u w:val="single"/>
        </w:rPr>
        <w:t xml:space="preserve">  </w:t>
      </w:r>
      <w:r>
        <w:rPr>
          <w:rFonts w:hint="eastAsia" w:ascii="Times New Roman" w:hAnsi="Times New Roman" w:eastAsia="黑体"/>
          <w:sz w:val="36"/>
          <w:u w:val="single"/>
        </w:rPr>
        <w:t>威海步特户外用品有限公司</w:t>
      </w:r>
    </w:p>
    <w:p>
      <w:pPr>
        <w:rPr>
          <w:rFonts w:ascii="Times New Roman" w:hAnsi="Times New Roman" w:eastAsia="黑体"/>
          <w:sz w:val="30"/>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rPr>
          <w:rFonts w:ascii="Times New Roman" w:hAnsi="Times New Roman"/>
        </w:rPr>
      </w:pPr>
    </w:p>
    <w:p>
      <w:pPr>
        <w:jc w:val="center"/>
        <w:rPr>
          <w:rFonts w:ascii="Times New Roman" w:hAnsi="Times New Roman" w:eastAsia="黑体"/>
          <w:sz w:val="36"/>
        </w:rPr>
      </w:pPr>
      <w:r>
        <w:rPr>
          <w:rFonts w:ascii="Times New Roman" w:hAnsi="Times New Roman" w:eastAsia="黑体"/>
          <w:sz w:val="36"/>
        </w:rPr>
        <w:t xml:space="preserve"> 编制日期：二O二</w:t>
      </w:r>
      <w:r>
        <w:rPr>
          <w:rFonts w:hint="eastAsia" w:ascii="Times New Roman" w:hAnsi="Times New Roman" w:eastAsia="黑体"/>
          <w:sz w:val="36"/>
        </w:rPr>
        <w:t>一</w:t>
      </w:r>
      <w:r>
        <w:rPr>
          <w:rFonts w:ascii="Times New Roman" w:hAnsi="Times New Roman" w:eastAsia="黑体"/>
          <w:sz w:val="36"/>
        </w:rPr>
        <w:t>年</w:t>
      </w:r>
      <w:r>
        <w:rPr>
          <w:rFonts w:hint="eastAsia" w:ascii="Times New Roman" w:hAnsi="Times New Roman" w:eastAsia="黑体"/>
          <w:sz w:val="36"/>
        </w:rPr>
        <w:t>二</w:t>
      </w:r>
      <w:r>
        <w:rPr>
          <w:rFonts w:ascii="Times New Roman" w:hAnsi="Times New Roman" w:eastAsia="黑体"/>
          <w:sz w:val="36"/>
        </w:rPr>
        <w:t>月</w:t>
      </w:r>
    </w:p>
    <w:p>
      <w:pPr>
        <w:jc w:val="center"/>
        <w:rPr>
          <w:rFonts w:ascii="Times New Roman" w:hAnsi="Times New Roman" w:eastAsia="黑体"/>
        </w:rPr>
      </w:pPr>
      <w:r>
        <w:rPr>
          <w:rFonts w:ascii="Times New Roman" w:hAnsi="Times New Roman" w:eastAsia="黑体"/>
          <w:sz w:val="36"/>
        </w:rPr>
        <w:t xml:space="preserve">  国家</w:t>
      </w:r>
      <w:r>
        <w:rPr>
          <w:rFonts w:hint="eastAsia" w:ascii="Times New Roman" w:hAnsi="Times New Roman" w:eastAsia="黑体"/>
          <w:sz w:val="36"/>
        </w:rPr>
        <w:t>生态环境</w:t>
      </w:r>
      <w:r>
        <w:rPr>
          <w:rFonts w:ascii="Times New Roman" w:hAnsi="Times New Roman" w:eastAsia="黑体"/>
          <w:sz w:val="36"/>
        </w:rPr>
        <w:t>部制</w:t>
      </w:r>
    </w:p>
    <w:p>
      <w:pPr>
        <w:rPr>
          <w:rFonts w:ascii="Times New Roman" w:hAnsi="Times New Roman"/>
          <w:b/>
          <w:sz w:val="30"/>
        </w:rPr>
        <w:sectPr>
          <w:footerReference r:id="rId3" w:type="even"/>
          <w:pgSz w:w="11906" w:h="16838"/>
          <w:pgMar w:top="1440" w:right="1134" w:bottom="1440" w:left="1134" w:header="851" w:footer="992" w:gutter="397"/>
          <w:pgNumType w:fmt="numberInDash" w:start="1"/>
          <w:cols w:space="720" w:num="1"/>
          <w:docGrid w:linePitch="312" w:charSpace="0"/>
        </w:sectPr>
      </w:pPr>
    </w:p>
    <w:p>
      <w:pPr>
        <w:ind w:left="360" w:leftChars="150" w:right="401" w:rightChars="167"/>
        <w:jc w:val="center"/>
        <w:rPr>
          <w:rFonts w:ascii="Times New Roman" w:hAnsi="Times New Roman"/>
          <w:sz w:val="30"/>
        </w:rPr>
      </w:pPr>
      <w:r>
        <w:rPr>
          <w:rFonts w:ascii="Times New Roman" w:hAnsi="Times New Roman"/>
          <w:sz w:val="30"/>
        </w:rPr>
        <w:drawing>
          <wp:anchor distT="0" distB="0" distL="114300" distR="114300" simplePos="0" relativeHeight="251658240" behindDoc="0" locked="0" layoutInCell="1" allowOverlap="1">
            <wp:simplePos x="0" y="0"/>
            <wp:positionH relativeFrom="margin">
              <wp:posOffset>-231140</wp:posOffset>
            </wp:positionH>
            <wp:positionV relativeFrom="margin">
              <wp:posOffset>-245745</wp:posOffset>
            </wp:positionV>
            <wp:extent cx="6402070" cy="8993505"/>
            <wp:effectExtent l="19050" t="0" r="0" b="0"/>
            <wp:wrapSquare wrapText="bothSides"/>
            <wp:docPr id="1" name="图片 1" descr="C:\Users\ADMINI~1\AppData\Local\Temp\WeChat Files\b946f691391850a90e49ef1a1fd0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Users\ADMINI~1\AppData\Local\Temp\WeChat Files\b946f691391850a90e49ef1a1fd0012.jpg"/>
                    <pic:cNvPicPr>
                      <a:picLocks noChangeAspect="1" noChangeArrowheads="1"/>
                    </pic:cNvPicPr>
                  </pic:nvPicPr>
                  <pic:blipFill>
                    <a:blip r:embed="rId9" cstate="print"/>
                    <a:srcRect/>
                    <a:stretch>
                      <a:fillRect/>
                    </a:stretch>
                  </pic:blipFill>
                  <pic:spPr>
                    <a:xfrm>
                      <a:off x="0" y="0"/>
                      <a:ext cx="6402070" cy="8993505"/>
                    </a:xfrm>
                    <a:prstGeom prst="rect">
                      <a:avLst/>
                    </a:prstGeom>
                    <a:noFill/>
                    <a:ln w="9525">
                      <a:noFill/>
                      <a:miter lim="800000"/>
                      <a:headEnd/>
                      <a:tailEnd/>
                    </a:ln>
                  </pic:spPr>
                </pic:pic>
              </a:graphicData>
            </a:graphic>
          </wp:anchor>
        </w:drawing>
      </w:r>
    </w:p>
    <w:p>
      <w:pPr>
        <w:ind w:left="360" w:leftChars="150" w:right="401" w:rightChars="167"/>
        <w:jc w:val="center"/>
        <w:rPr>
          <w:rFonts w:ascii="Times New Roman" w:hAnsi="Times New Roman"/>
          <w:sz w:val="30"/>
        </w:rPr>
      </w:pPr>
      <w:r>
        <w:rPr>
          <w:rFonts w:ascii="Times New Roman" w:hAnsi="Times New Roman"/>
          <w:sz w:val="30"/>
        </w:rPr>
        <w:drawing>
          <wp:anchor distT="0" distB="0" distL="114300" distR="114300" simplePos="0" relativeHeight="251659264" behindDoc="0" locked="0" layoutInCell="1" allowOverlap="1">
            <wp:simplePos x="0" y="0"/>
            <wp:positionH relativeFrom="margin">
              <wp:align>center</wp:align>
            </wp:positionH>
            <wp:positionV relativeFrom="margin">
              <wp:posOffset>518160</wp:posOffset>
            </wp:positionV>
            <wp:extent cx="6081395" cy="8392795"/>
            <wp:effectExtent l="19050" t="0" r="0" b="0"/>
            <wp:wrapSquare wrapText="bothSides"/>
            <wp:docPr id="2" name="图片 2" descr="C:\Users\ADMINI~1\AppData\Local\Temp\WeChat Files\1227aba08f73f75dea5121039fb898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C:\Users\ADMINI~1\AppData\Local\Temp\WeChat Files\1227aba08f73f75dea5121039fb898a.jpg"/>
                    <pic:cNvPicPr>
                      <a:picLocks noChangeAspect="1" noChangeArrowheads="1"/>
                    </pic:cNvPicPr>
                  </pic:nvPicPr>
                  <pic:blipFill>
                    <a:blip r:embed="rId10" cstate="print"/>
                    <a:srcRect/>
                    <a:stretch>
                      <a:fillRect/>
                    </a:stretch>
                  </pic:blipFill>
                  <pic:spPr>
                    <a:xfrm>
                      <a:off x="0" y="0"/>
                      <a:ext cx="6081395" cy="8392795"/>
                    </a:xfrm>
                    <a:prstGeom prst="rect">
                      <a:avLst/>
                    </a:prstGeom>
                    <a:noFill/>
                    <a:ln w="9525">
                      <a:noFill/>
                      <a:miter lim="800000"/>
                      <a:headEnd/>
                      <a:tailEnd/>
                    </a:ln>
                  </pic:spPr>
                </pic:pic>
              </a:graphicData>
            </a:graphic>
          </wp:anchor>
        </w:drawing>
      </w: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r>
        <w:rPr>
          <w:rFonts w:hint="eastAsia" w:ascii="Times New Roman" w:hAnsi="Times New Roman"/>
          <w:sz w:val="30"/>
        </w:rPr>
        <w:drawing>
          <wp:anchor distT="0" distB="0" distL="114300" distR="114300" simplePos="0" relativeHeight="251661312" behindDoc="0" locked="0" layoutInCell="1" allowOverlap="1">
            <wp:simplePos x="0" y="0"/>
            <wp:positionH relativeFrom="margin">
              <wp:posOffset>464820</wp:posOffset>
            </wp:positionH>
            <wp:positionV relativeFrom="margin">
              <wp:posOffset>95250</wp:posOffset>
            </wp:positionV>
            <wp:extent cx="5179060" cy="7315200"/>
            <wp:effectExtent l="19050" t="0" r="2540" b="0"/>
            <wp:wrapSquare wrapText="bothSides"/>
            <wp:docPr id="4" name="图片 3" descr="C:\Users\ADMINI~1\AppData\Local\Temp\WeChat Files\de5b5ad21519115f479e2945e72aef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descr="C:\Users\ADMINI~1\AppData\Local\Temp\WeChat Files\de5b5ad21519115f479e2945e72aefb.jpg"/>
                    <pic:cNvPicPr>
                      <a:picLocks noChangeAspect="1" noChangeArrowheads="1"/>
                    </pic:cNvPicPr>
                  </pic:nvPicPr>
                  <pic:blipFill>
                    <a:blip r:embed="rId11" cstate="print"/>
                    <a:srcRect/>
                    <a:stretch>
                      <a:fillRect/>
                    </a:stretch>
                  </pic:blipFill>
                  <pic:spPr>
                    <a:xfrm>
                      <a:off x="0" y="0"/>
                      <a:ext cx="5179060" cy="7315200"/>
                    </a:xfrm>
                    <a:prstGeom prst="rect">
                      <a:avLst/>
                    </a:prstGeom>
                    <a:noFill/>
                    <a:ln w="9525">
                      <a:noFill/>
                      <a:miter lim="800000"/>
                      <a:headEnd/>
                      <a:tailEnd/>
                    </a:ln>
                  </pic:spPr>
                </pic:pic>
              </a:graphicData>
            </a:graphic>
          </wp:anchor>
        </w:drawing>
      </w: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r>
        <w:rPr>
          <w:rFonts w:hint="eastAsia" w:ascii="Times New Roman" w:hAnsi="Times New Roman"/>
          <w:sz w:val="30"/>
        </w:rPr>
        <w:drawing>
          <wp:anchor distT="0" distB="0" distL="114300" distR="114300" simplePos="0" relativeHeight="251662336" behindDoc="0" locked="0" layoutInCell="1" allowOverlap="1">
            <wp:simplePos x="0" y="0"/>
            <wp:positionH relativeFrom="margin">
              <wp:posOffset>628650</wp:posOffset>
            </wp:positionH>
            <wp:positionV relativeFrom="margin">
              <wp:posOffset>408940</wp:posOffset>
            </wp:positionV>
            <wp:extent cx="4975860" cy="6864350"/>
            <wp:effectExtent l="19050" t="0" r="0" b="0"/>
            <wp:wrapSquare wrapText="bothSides"/>
            <wp:docPr id="5" name="图片 4" descr="C:\Users\ADMINI~1\AppData\Local\Temp\WeChat Files\bdb1ab8880b378c1f651b84ae60b3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C:\Users\ADMINI~1\AppData\Local\Temp\WeChat Files\bdb1ab8880b378c1f651b84ae60b327.jpg"/>
                    <pic:cNvPicPr>
                      <a:picLocks noChangeAspect="1" noChangeArrowheads="1"/>
                    </pic:cNvPicPr>
                  </pic:nvPicPr>
                  <pic:blipFill>
                    <a:blip r:embed="rId12" cstate="print"/>
                    <a:srcRect/>
                    <a:stretch>
                      <a:fillRect/>
                    </a:stretch>
                  </pic:blipFill>
                  <pic:spPr>
                    <a:xfrm>
                      <a:off x="0" y="0"/>
                      <a:ext cx="4975860" cy="6864350"/>
                    </a:xfrm>
                    <a:prstGeom prst="rect">
                      <a:avLst/>
                    </a:prstGeom>
                    <a:noFill/>
                    <a:ln w="9525">
                      <a:noFill/>
                      <a:miter lim="800000"/>
                      <a:headEnd/>
                      <a:tailEnd/>
                    </a:ln>
                  </pic:spPr>
                </pic:pic>
              </a:graphicData>
            </a:graphic>
          </wp:anchor>
        </w:drawing>
      </w: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r>
        <w:rPr>
          <w:rFonts w:ascii="Times New Roman" w:hAnsi="Times New Roman"/>
          <w:sz w:val="30"/>
        </w:rPr>
        <w:drawing>
          <wp:anchor distT="0" distB="0" distL="114300" distR="114300" simplePos="0" relativeHeight="251663360" behindDoc="0" locked="0" layoutInCell="1" allowOverlap="1">
            <wp:simplePos x="0" y="0"/>
            <wp:positionH relativeFrom="margin">
              <wp:align>center</wp:align>
            </wp:positionH>
            <wp:positionV relativeFrom="margin">
              <wp:align>center</wp:align>
            </wp:positionV>
            <wp:extent cx="6081395" cy="8393430"/>
            <wp:effectExtent l="19050" t="0" r="0" b="0"/>
            <wp:wrapSquare wrapText="bothSides"/>
            <wp:docPr id="6" name="图片 5" descr="C:\Users\ADMINI~1\AppData\Local\Temp\WeChat Files\40c5fae990002c9dcde35ab206c08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descr="C:\Users\ADMINI~1\AppData\Local\Temp\WeChat Files\40c5fae990002c9dcde35ab206c0889.jpg"/>
                    <pic:cNvPicPr>
                      <a:picLocks noChangeAspect="1" noChangeArrowheads="1"/>
                    </pic:cNvPicPr>
                  </pic:nvPicPr>
                  <pic:blipFill>
                    <a:blip r:embed="rId13" cstate="print"/>
                    <a:srcRect/>
                    <a:stretch>
                      <a:fillRect/>
                    </a:stretch>
                  </pic:blipFill>
                  <pic:spPr>
                    <a:xfrm>
                      <a:off x="0" y="0"/>
                      <a:ext cx="6081499" cy="8393373"/>
                    </a:xfrm>
                    <a:prstGeom prst="rect">
                      <a:avLst/>
                    </a:prstGeom>
                    <a:noFill/>
                    <a:ln w="9525">
                      <a:noFill/>
                      <a:miter lim="800000"/>
                      <a:headEnd/>
                      <a:tailEnd/>
                    </a:ln>
                  </pic:spPr>
                </pic:pic>
              </a:graphicData>
            </a:graphic>
          </wp:anchor>
        </w:drawing>
      </w: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r>
        <w:rPr>
          <w:rFonts w:ascii="Times New Roman" w:hAnsi="Times New Roman"/>
          <w:sz w:val="30"/>
        </w:rPr>
        <w:drawing>
          <wp:anchor distT="0" distB="0" distL="114300" distR="114300" simplePos="0" relativeHeight="251664384" behindDoc="0" locked="0" layoutInCell="1" allowOverlap="1">
            <wp:simplePos x="0" y="0"/>
            <wp:positionH relativeFrom="margin">
              <wp:align>center</wp:align>
            </wp:positionH>
            <wp:positionV relativeFrom="margin">
              <wp:align>center</wp:align>
            </wp:positionV>
            <wp:extent cx="6081395" cy="8107045"/>
            <wp:effectExtent l="19050" t="0" r="0" b="0"/>
            <wp:wrapSquare wrapText="bothSides"/>
            <wp:docPr id="7" name="图片 6" descr="C:\Users\ADMINI~1\AppData\Local\Temp\WeChat Files\80be07aa05eb1551d457763a7e6d6b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descr="C:\Users\ADMINI~1\AppData\Local\Temp\WeChat Files\80be07aa05eb1551d457763a7e6d6b7.jpg"/>
                    <pic:cNvPicPr>
                      <a:picLocks noChangeAspect="1" noChangeArrowheads="1"/>
                    </pic:cNvPicPr>
                  </pic:nvPicPr>
                  <pic:blipFill>
                    <a:blip r:embed="rId14" cstate="print"/>
                    <a:srcRect/>
                    <a:stretch>
                      <a:fillRect/>
                    </a:stretch>
                  </pic:blipFill>
                  <pic:spPr>
                    <a:xfrm>
                      <a:off x="0" y="0"/>
                      <a:ext cx="6081499" cy="8106770"/>
                    </a:xfrm>
                    <a:prstGeom prst="rect">
                      <a:avLst/>
                    </a:prstGeom>
                    <a:noFill/>
                    <a:ln w="9525">
                      <a:noFill/>
                      <a:miter lim="800000"/>
                      <a:headEnd/>
                      <a:tailEnd/>
                    </a:ln>
                  </pic:spPr>
                </pic:pic>
              </a:graphicData>
            </a:graphic>
          </wp:anchor>
        </w:drawing>
      </w: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r>
        <w:rPr>
          <w:rFonts w:ascii="Times New Roman" w:hAnsi="Times New Roman"/>
          <w:sz w:val="30"/>
        </w:rPr>
        <w:drawing>
          <wp:anchor distT="0" distB="0" distL="114300" distR="114300" simplePos="0" relativeHeight="251665408" behindDoc="0" locked="0" layoutInCell="1" allowOverlap="1">
            <wp:simplePos x="0" y="0"/>
            <wp:positionH relativeFrom="margin">
              <wp:align>center</wp:align>
            </wp:positionH>
            <wp:positionV relativeFrom="margin">
              <wp:align>center</wp:align>
            </wp:positionV>
            <wp:extent cx="6081395" cy="8120380"/>
            <wp:effectExtent l="19050" t="0" r="0" b="0"/>
            <wp:wrapSquare wrapText="bothSides"/>
            <wp:docPr id="8" name="图片 7" descr="C:\Users\ADMINI~1\AppData\Local\Temp\WeChat Files\14e3740ab8f52ff0a70cf64197dbad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7" descr="C:\Users\ADMINI~1\AppData\Local\Temp\WeChat Files\14e3740ab8f52ff0a70cf64197dbad2.jpg"/>
                    <pic:cNvPicPr>
                      <a:picLocks noChangeAspect="1" noChangeArrowheads="1"/>
                    </pic:cNvPicPr>
                  </pic:nvPicPr>
                  <pic:blipFill>
                    <a:blip r:embed="rId15" cstate="print"/>
                    <a:srcRect/>
                    <a:stretch>
                      <a:fillRect/>
                    </a:stretch>
                  </pic:blipFill>
                  <pic:spPr>
                    <a:xfrm>
                      <a:off x="0" y="0"/>
                      <a:ext cx="6081499" cy="8120418"/>
                    </a:xfrm>
                    <a:prstGeom prst="rect">
                      <a:avLst/>
                    </a:prstGeom>
                    <a:noFill/>
                    <a:ln w="9525">
                      <a:noFill/>
                      <a:miter lim="800000"/>
                      <a:headEnd/>
                      <a:tailEnd/>
                    </a:ln>
                  </pic:spPr>
                </pic:pic>
              </a:graphicData>
            </a:graphic>
          </wp:anchor>
        </w:drawing>
      </w:r>
    </w:p>
    <w:p>
      <w:pPr>
        <w:ind w:right="401" w:rightChars="167"/>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p>
    <w:p>
      <w:pPr>
        <w:ind w:left="360" w:leftChars="150" w:right="401" w:rightChars="167"/>
        <w:jc w:val="center"/>
        <w:rPr>
          <w:rFonts w:ascii="Times New Roman" w:hAnsi="Times New Roman"/>
          <w:sz w:val="30"/>
        </w:rPr>
      </w:pPr>
      <w:r>
        <w:rPr>
          <w:rFonts w:ascii="Times New Roman" w:hAnsi="Times New Roman"/>
          <w:sz w:val="30"/>
        </w:rPr>
        <w:t>《建设项目环境影响报告表》编制说明</w:t>
      </w:r>
    </w:p>
    <w:p>
      <w:pPr>
        <w:ind w:left="360" w:leftChars="150" w:right="401" w:rightChars="167"/>
        <w:jc w:val="center"/>
        <w:rPr>
          <w:rFonts w:ascii="Times New Roman" w:hAnsi="Times New Roman"/>
          <w:sz w:val="30"/>
        </w:rPr>
      </w:pPr>
    </w:p>
    <w:p>
      <w:pPr>
        <w:spacing w:line="360" w:lineRule="auto"/>
        <w:ind w:left="360" w:leftChars="150" w:right="401" w:rightChars="167"/>
        <w:rPr>
          <w:rFonts w:ascii="Times New Roman" w:hAnsi="Times New Roman"/>
        </w:rPr>
      </w:pPr>
    </w:p>
    <w:p>
      <w:pPr>
        <w:spacing w:line="360" w:lineRule="auto"/>
        <w:ind w:left="360" w:leftChars="150" w:right="401" w:rightChars="167" w:firstLine="480" w:firstLineChars="200"/>
        <w:rPr>
          <w:rFonts w:ascii="Times New Roman" w:hAnsi="Times New Roman"/>
        </w:rPr>
      </w:pPr>
      <w:r>
        <w:rPr>
          <w:rFonts w:ascii="Times New Roman" w:hAnsi="Times New Roman"/>
        </w:rPr>
        <w:t>《建设项目环境影响报告表》由具有从事环境影响评价工作资质的单位编制。</w:t>
      </w:r>
    </w:p>
    <w:p>
      <w:pPr>
        <w:spacing w:line="360" w:lineRule="auto"/>
        <w:ind w:left="360" w:leftChars="150" w:right="401" w:rightChars="167" w:firstLine="480" w:firstLineChars="200"/>
        <w:rPr>
          <w:rFonts w:ascii="Times New Roman" w:hAnsi="Times New Roman"/>
        </w:rPr>
      </w:pPr>
      <w:r>
        <w:rPr>
          <w:rFonts w:ascii="Times New Roman" w:hAnsi="Times New Roman"/>
        </w:rPr>
        <w:t>1、项目名称——指项目立项批复时的名称，应不超过30个字（两个英文字段作一个汉字）。</w:t>
      </w:r>
    </w:p>
    <w:p>
      <w:pPr>
        <w:spacing w:line="360" w:lineRule="auto"/>
        <w:ind w:left="360" w:leftChars="150" w:right="401" w:rightChars="167" w:firstLine="480" w:firstLineChars="200"/>
        <w:rPr>
          <w:rFonts w:ascii="Times New Roman" w:hAnsi="Times New Roman"/>
        </w:rPr>
      </w:pPr>
      <w:r>
        <w:rPr>
          <w:rFonts w:ascii="Times New Roman" w:hAnsi="Times New Roman"/>
        </w:rPr>
        <w:t>2、建设地点——指项目所在地详细地址，公路、铁路应填写起止地点。</w:t>
      </w:r>
    </w:p>
    <w:p>
      <w:pPr>
        <w:spacing w:line="360" w:lineRule="auto"/>
        <w:ind w:left="360" w:leftChars="150" w:right="401" w:rightChars="167" w:firstLine="480" w:firstLineChars="200"/>
        <w:rPr>
          <w:rFonts w:ascii="Times New Roman" w:hAnsi="Times New Roman"/>
        </w:rPr>
      </w:pPr>
      <w:r>
        <w:rPr>
          <w:rFonts w:ascii="Times New Roman" w:hAnsi="Times New Roman"/>
        </w:rPr>
        <w:t>3、行业类别——按国标填写。</w:t>
      </w:r>
    </w:p>
    <w:p>
      <w:pPr>
        <w:spacing w:line="360" w:lineRule="auto"/>
        <w:ind w:left="360" w:leftChars="150" w:right="401" w:rightChars="167" w:firstLine="480" w:firstLineChars="200"/>
        <w:rPr>
          <w:rFonts w:ascii="Times New Roman" w:hAnsi="Times New Roman"/>
        </w:rPr>
      </w:pPr>
      <w:r>
        <w:rPr>
          <w:rFonts w:ascii="Times New Roman" w:hAnsi="Times New Roman"/>
        </w:rPr>
        <w:t>4、总投资——指项目投资总额。</w:t>
      </w:r>
    </w:p>
    <w:p>
      <w:pPr>
        <w:spacing w:line="360" w:lineRule="auto"/>
        <w:ind w:left="360" w:leftChars="150" w:right="401" w:rightChars="167" w:firstLine="480" w:firstLineChars="200"/>
        <w:rPr>
          <w:rFonts w:ascii="Times New Roman" w:hAnsi="Times New Roman"/>
        </w:rPr>
      </w:pPr>
      <w:r>
        <w:rPr>
          <w:rFonts w:ascii="Times New Roman" w:hAnsi="Times New Roman"/>
        </w:rPr>
        <w:t>5、主要环境保护目标——指项目区周围一定范围内集中居民住宅区、学校、医院、保护文物、风景名胜区、水源地和生态敏感点等，应尽可能给出保护目标、性质、规模和距厂界距离等。</w:t>
      </w:r>
    </w:p>
    <w:p>
      <w:pPr>
        <w:spacing w:line="360" w:lineRule="auto"/>
        <w:ind w:left="360" w:leftChars="150" w:right="401" w:rightChars="167" w:firstLine="480" w:firstLineChars="200"/>
        <w:rPr>
          <w:rFonts w:ascii="Times New Roman" w:hAnsi="Times New Roman"/>
        </w:rPr>
      </w:pPr>
      <w:r>
        <w:rPr>
          <w:rFonts w:ascii="Times New Roman" w:hAnsi="Times New Roman"/>
        </w:rPr>
        <w:t>6、结论与建议——给出本项目清洁生产、达标排放和总量控制的分析结论，确定污染防治措施的有效性，说明本项目对环境造成的影响，给出建设项目环境可行性的明确结论。同时提出减少环境影响的其他建议。</w:t>
      </w:r>
    </w:p>
    <w:p>
      <w:pPr>
        <w:spacing w:line="360" w:lineRule="auto"/>
        <w:ind w:left="360" w:leftChars="150" w:right="401" w:rightChars="167" w:firstLine="480" w:firstLineChars="200"/>
        <w:rPr>
          <w:rFonts w:ascii="Times New Roman" w:hAnsi="Times New Roman"/>
        </w:rPr>
      </w:pPr>
      <w:r>
        <w:rPr>
          <w:rFonts w:ascii="Times New Roman" w:hAnsi="Times New Roman"/>
        </w:rPr>
        <w:t>7、预审意见——由行业主管部门填写答复意见，无主管部门项目，可不填。</w:t>
      </w:r>
    </w:p>
    <w:p>
      <w:pPr>
        <w:spacing w:line="360" w:lineRule="auto"/>
        <w:ind w:left="360" w:leftChars="150" w:right="401" w:rightChars="167" w:firstLine="480" w:firstLineChars="200"/>
        <w:rPr>
          <w:rFonts w:ascii="Times New Roman" w:hAnsi="Times New Roman"/>
        </w:rPr>
      </w:pPr>
      <w:r>
        <w:rPr>
          <w:rFonts w:ascii="Times New Roman" w:hAnsi="Times New Roman"/>
        </w:rPr>
        <w:t>8、审批意见——由负责审批该项目的环境保护行政主管部门批复。</w:t>
      </w:r>
    </w:p>
    <w:p>
      <w:pPr>
        <w:spacing w:line="540" w:lineRule="exact"/>
        <w:ind w:right="53"/>
        <w:rPr>
          <w:rFonts w:ascii="Times New Roman" w:hAnsi="Times New Roman"/>
        </w:rPr>
      </w:pPr>
    </w:p>
    <w:p>
      <w:pPr>
        <w:spacing w:line="540" w:lineRule="exact"/>
        <w:ind w:right="53"/>
        <w:rPr>
          <w:rFonts w:ascii="Times New Roman" w:hAnsi="Times New Roman"/>
        </w:rPr>
      </w:pPr>
    </w:p>
    <w:p>
      <w:pPr>
        <w:spacing w:line="540" w:lineRule="exact"/>
        <w:ind w:right="53"/>
        <w:rPr>
          <w:rFonts w:ascii="Times New Roman" w:hAnsi="Times New Roman"/>
        </w:rPr>
      </w:pPr>
    </w:p>
    <w:p>
      <w:pPr>
        <w:spacing w:line="540" w:lineRule="exact"/>
        <w:ind w:right="53"/>
        <w:rPr>
          <w:rFonts w:ascii="Times New Roman" w:hAnsi="Times New Roman"/>
        </w:rPr>
      </w:pPr>
    </w:p>
    <w:p>
      <w:pPr>
        <w:spacing w:line="540" w:lineRule="exact"/>
        <w:ind w:right="53"/>
        <w:rPr>
          <w:rFonts w:ascii="Times New Roman" w:hAnsi="Times New Roman"/>
        </w:rPr>
      </w:pPr>
    </w:p>
    <w:p>
      <w:pPr>
        <w:spacing w:line="540" w:lineRule="exact"/>
        <w:ind w:right="53"/>
        <w:rPr>
          <w:rFonts w:ascii="Times New Roman" w:hAnsi="Times New Roman"/>
        </w:rPr>
      </w:pPr>
    </w:p>
    <w:p>
      <w:pPr>
        <w:spacing w:line="540" w:lineRule="exact"/>
        <w:ind w:right="53"/>
        <w:rPr>
          <w:rFonts w:ascii="Times New Roman" w:hAnsi="Times New Roman"/>
        </w:rPr>
      </w:pPr>
    </w:p>
    <w:p>
      <w:pPr>
        <w:spacing w:line="540" w:lineRule="exact"/>
        <w:ind w:right="53"/>
        <w:rPr>
          <w:rFonts w:ascii="Times New Roman" w:hAnsi="Times New Roman"/>
        </w:rPr>
      </w:pPr>
    </w:p>
    <w:p>
      <w:pPr>
        <w:spacing w:line="540" w:lineRule="exact"/>
        <w:ind w:right="53"/>
        <w:rPr>
          <w:rFonts w:ascii="Times New Roman" w:hAnsi="Times New Roman"/>
        </w:rPr>
      </w:pPr>
    </w:p>
    <w:p>
      <w:pPr>
        <w:spacing w:line="540" w:lineRule="exact"/>
        <w:ind w:right="53"/>
        <w:rPr>
          <w:rFonts w:ascii="Times New Roman" w:hAnsi="Times New Roman"/>
        </w:rPr>
      </w:pPr>
    </w:p>
    <w:p>
      <w:pPr>
        <w:spacing w:line="540" w:lineRule="exact"/>
        <w:ind w:right="53"/>
        <w:rPr>
          <w:rFonts w:ascii="Times New Roman" w:hAnsi="Times New Roman"/>
        </w:rPr>
        <w:sectPr>
          <w:footerReference r:id="rId4" w:type="default"/>
          <w:pgSz w:w="11906" w:h="16838"/>
          <w:pgMar w:top="1440" w:right="964" w:bottom="1440" w:left="964" w:header="851" w:footer="992" w:gutter="397"/>
          <w:pgNumType w:start="1"/>
          <w:cols w:space="720" w:num="1"/>
          <w:docGrid w:linePitch="312" w:charSpace="0"/>
        </w:sectPr>
      </w:pPr>
    </w:p>
    <w:p>
      <w:pPr>
        <w:pStyle w:val="3"/>
        <w:spacing w:before="0" w:after="0" w:line="240" w:lineRule="auto"/>
        <w:rPr>
          <w:rFonts w:ascii="Times New Roman" w:hAnsi="Times New Roman" w:eastAsia="黑体"/>
          <w:b w:val="0"/>
          <w:sz w:val="28"/>
          <w:szCs w:val="28"/>
        </w:rPr>
      </w:pPr>
      <w:r>
        <w:rPr>
          <w:rFonts w:ascii="Times New Roman" w:hAnsi="Times New Roman" w:eastAsia="黑体"/>
          <w:b w:val="0"/>
          <w:sz w:val="28"/>
          <w:szCs w:val="28"/>
        </w:rPr>
        <w:t>建设项目基本情况</w:t>
      </w:r>
    </w:p>
    <w:tbl>
      <w:tblPr>
        <w:tblStyle w:val="30"/>
        <w:tblW w:w="10183" w:type="dxa"/>
        <w:tblInd w:w="-43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2005"/>
        <w:gridCol w:w="255"/>
        <w:gridCol w:w="917"/>
        <w:gridCol w:w="732"/>
        <w:gridCol w:w="916"/>
        <w:gridCol w:w="366"/>
        <w:gridCol w:w="1279"/>
        <w:gridCol w:w="183"/>
        <w:gridCol w:w="153"/>
        <w:gridCol w:w="30"/>
        <w:gridCol w:w="250"/>
        <w:gridCol w:w="358"/>
        <w:gridCol w:w="857"/>
        <w:gridCol w:w="59"/>
        <w:gridCol w:w="18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13" w:hRule="atLeast"/>
        </w:trPr>
        <w:tc>
          <w:tcPr>
            <w:tcW w:w="2005" w:type="dxa"/>
            <w:vAlign w:val="center"/>
          </w:tcPr>
          <w:p>
            <w:pPr>
              <w:spacing w:line="440" w:lineRule="exact"/>
              <w:rPr>
                <w:rFonts w:ascii="Times New Roman" w:hAnsi="Times New Roman"/>
                <w:spacing w:val="20"/>
              </w:rPr>
            </w:pPr>
            <w:bookmarkStart w:id="0" w:name="_Hlk56518440"/>
            <w:r>
              <w:rPr>
                <w:rFonts w:ascii="Times New Roman" w:hAnsi="Times New Roman"/>
                <w:spacing w:val="20"/>
              </w:rPr>
              <w:t>项目名称</w:t>
            </w:r>
          </w:p>
        </w:tc>
        <w:tc>
          <w:tcPr>
            <w:tcW w:w="8178" w:type="dxa"/>
            <w:gridSpan w:val="14"/>
            <w:vAlign w:val="center"/>
          </w:tcPr>
          <w:p>
            <w:pPr>
              <w:spacing w:line="440" w:lineRule="exact"/>
              <w:jc w:val="center"/>
              <w:rPr>
                <w:rFonts w:ascii="Times New Roman" w:hAnsi="Times New Roman"/>
                <w:lang w:val="zh-CN"/>
              </w:rPr>
            </w:pPr>
            <w:r>
              <w:rPr>
                <w:rFonts w:hint="eastAsia" w:ascii="Times New Roman" w:hAnsi="Times New Roman"/>
                <w:lang w:val="zh-CN"/>
              </w:rPr>
              <w:t>威海步特户外用品有限公司充气桨板标签生产项目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13" w:hRule="atLeast"/>
        </w:trPr>
        <w:tc>
          <w:tcPr>
            <w:tcW w:w="2005" w:type="dxa"/>
            <w:vAlign w:val="center"/>
          </w:tcPr>
          <w:p>
            <w:pPr>
              <w:spacing w:line="440" w:lineRule="exact"/>
              <w:rPr>
                <w:rFonts w:ascii="Times New Roman" w:hAnsi="Times New Roman"/>
                <w:spacing w:val="20"/>
              </w:rPr>
            </w:pPr>
            <w:r>
              <w:rPr>
                <w:rFonts w:ascii="Times New Roman" w:hAnsi="Times New Roman"/>
                <w:spacing w:val="20"/>
              </w:rPr>
              <w:t>建设单位</w:t>
            </w:r>
          </w:p>
        </w:tc>
        <w:tc>
          <w:tcPr>
            <w:tcW w:w="8178" w:type="dxa"/>
            <w:gridSpan w:val="14"/>
            <w:vAlign w:val="center"/>
          </w:tcPr>
          <w:p>
            <w:pPr>
              <w:autoSpaceDE w:val="0"/>
              <w:autoSpaceDN w:val="0"/>
              <w:spacing w:line="440" w:lineRule="exact"/>
              <w:jc w:val="center"/>
              <w:rPr>
                <w:rFonts w:ascii="Times New Roman" w:hAnsi="Times New Roman"/>
              </w:rPr>
            </w:pPr>
            <w:r>
              <w:rPr>
                <w:rFonts w:hint="eastAsia" w:ascii="Times New Roman" w:hAnsi="Times New Roman"/>
                <w:lang w:val="zh-CN"/>
              </w:rPr>
              <w:t>威海步特户外用品有限公司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13" w:hRule="atLeast"/>
        </w:trPr>
        <w:tc>
          <w:tcPr>
            <w:tcW w:w="2005" w:type="dxa"/>
            <w:vAlign w:val="center"/>
          </w:tcPr>
          <w:p>
            <w:pPr>
              <w:autoSpaceDE w:val="0"/>
              <w:autoSpaceDN w:val="0"/>
              <w:spacing w:line="440" w:lineRule="exact"/>
              <w:rPr>
                <w:rFonts w:ascii="Times New Roman" w:hAnsi="Times New Roman"/>
              </w:rPr>
            </w:pPr>
            <w:r>
              <w:rPr>
                <w:rFonts w:ascii="Times New Roman" w:hAnsi="Times New Roman"/>
                <w:lang w:val="zh-CN"/>
              </w:rPr>
              <w:t>法人代表</w:t>
            </w:r>
          </w:p>
        </w:tc>
        <w:tc>
          <w:tcPr>
            <w:tcW w:w="2820" w:type="dxa"/>
            <w:gridSpan w:val="4"/>
            <w:vAlign w:val="center"/>
          </w:tcPr>
          <w:p>
            <w:pPr>
              <w:autoSpaceDE w:val="0"/>
              <w:autoSpaceDN w:val="0"/>
              <w:spacing w:line="440" w:lineRule="exact"/>
              <w:jc w:val="center"/>
              <w:rPr>
                <w:rFonts w:ascii="Times New Roman" w:hAnsi="Times New Roman"/>
                <w:spacing w:val="20"/>
              </w:rPr>
            </w:pPr>
            <w:r>
              <w:rPr>
                <w:rFonts w:hint="eastAsia" w:ascii="Times New Roman" w:hAnsi="Times New Roman"/>
                <w:spacing w:val="20"/>
              </w:rPr>
              <w:t>林鹏</w:t>
            </w:r>
          </w:p>
        </w:tc>
        <w:tc>
          <w:tcPr>
            <w:tcW w:w="1645" w:type="dxa"/>
            <w:gridSpan w:val="2"/>
            <w:vAlign w:val="center"/>
          </w:tcPr>
          <w:p>
            <w:pPr>
              <w:autoSpaceDE w:val="0"/>
              <w:autoSpaceDN w:val="0"/>
              <w:spacing w:line="440" w:lineRule="exact"/>
              <w:jc w:val="center"/>
              <w:rPr>
                <w:rFonts w:ascii="Times New Roman" w:hAnsi="Times New Roman"/>
              </w:rPr>
            </w:pPr>
            <w:r>
              <w:rPr>
                <w:rFonts w:ascii="Times New Roman" w:hAnsi="Times New Roman"/>
                <w:lang w:val="zh-CN"/>
              </w:rPr>
              <w:t>联系人</w:t>
            </w:r>
          </w:p>
        </w:tc>
        <w:tc>
          <w:tcPr>
            <w:tcW w:w="3713" w:type="dxa"/>
            <w:gridSpan w:val="8"/>
            <w:vAlign w:val="center"/>
          </w:tcPr>
          <w:p>
            <w:pPr>
              <w:autoSpaceDE w:val="0"/>
              <w:autoSpaceDN w:val="0"/>
              <w:spacing w:line="440" w:lineRule="exact"/>
              <w:ind w:firstLine="1400" w:firstLineChars="500"/>
              <w:rPr>
                <w:rFonts w:ascii="Times New Roman" w:hAnsi="Times New Roman"/>
                <w:spacing w:val="20"/>
              </w:rPr>
            </w:pPr>
            <w:r>
              <w:rPr>
                <w:rFonts w:hint="eastAsia" w:ascii="Times New Roman" w:hAnsi="Times New Roman"/>
                <w:spacing w:val="20"/>
              </w:rPr>
              <w:t>林鹏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13" w:hRule="atLeast"/>
        </w:trPr>
        <w:tc>
          <w:tcPr>
            <w:tcW w:w="2005" w:type="dxa"/>
            <w:vAlign w:val="center"/>
          </w:tcPr>
          <w:p>
            <w:pPr>
              <w:spacing w:line="440" w:lineRule="exact"/>
              <w:rPr>
                <w:rFonts w:ascii="Times New Roman" w:hAnsi="Times New Roman"/>
                <w:spacing w:val="20"/>
              </w:rPr>
            </w:pPr>
            <w:r>
              <w:rPr>
                <w:rFonts w:ascii="Times New Roman" w:hAnsi="Times New Roman"/>
                <w:spacing w:val="20"/>
              </w:rPr>
              <w:t>通讯地址</w:t>
            </w:r>
          </w:p>
        </w:tc>
        <w:tc>
          <w:tcPr>
            <w:tcW w:w="8178" w:type="dxa"/>
            <w:gridSpan w:val="14"/>
          </w:tcPr>
          <w:p>
            <w:pPr>
              <w:spacing w:line="440" w:lineRule="exact"/>
              <w:jc w:val="center"/>
              <w:rPr>
                <w:rFonts w:ascii="Times New Roman" w:hAnsi="Times New Roman"/>
                <w:spacing w:val="20"/>
              </w:rPr>
            </w:pPr>
            <w:r>
              <w:rPr>
                <w:rFonts w:hint="eastAsia"/>
                <w:kern w:val="0"/>
                <w:szCs w:val="28"/>
              </w:rPr>
              <w:t>山东省威海市环翠区桥头镇旺桥路8号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13" w:hRule="atLeast"/>
        </w:trPr>
        <w:tc>
          <w:tcPr>
            <w:tcW w:w="2005" w:type="dxa"/>
            <w:vAlign w:val="center"/>
          </w:tcPr>
          <w:p>
            <w:pPr>
              <w:spacing w:line="440" w:lineRule="exact"/>
              <w:rPr>
                <w:rFonts w:ascii="Times New Roman" w:hAnsi="Times New Roman"/>
                <w:spacing w:val="20"/>
              </w:rPr>
            </w:pPr>
            <w:r>
              <w:rPr>
                <w:rFonts w:ascii="Times New Roman" w:hAnsi="Times New Roman"/>
                <w:spacing w:val="20"/>
              </w:rPr>
              <w:t>联系电话</w:t>
            </w:r>
          </w:p>
        </w:tc>
        <w:tc>
          <w:tcPr>
            <w:tcW w:w="1904" w:type="dxa"/>
            <w:gridSpan w:val="3"/>
            <w:vAlign w:val="center"/>
          </w:tcPr>
          <w:p>
            <w:pPr>
              <w:spacing w:line="440" w:lineRule="exact"/>
              <w:jc w:val="center"/>
              <w:rPr>
                <w:rFonts w:ascii="Times New Roman" w:hAnsi="Times New Roman"/>
                <w:szCs w:val="24"/>
              </w:rPr>
            </w:pPr>
            <w:r>
              <w:rPr>
                <w:rFonts w:hint="eastAsia" w:ascii="Times New Roman" w:hAnsi="Times New Roman"/>
                <w:szCs w:val="24"/>
              </w:rPr>
              <w:t>15063175825</w:t>
            </w:r>
          </w:p>
        </w:tc>
        <w:tc>
          <w:tcPr>
            <w:tcW w:w="916" w:type="dxa"/>
            <w:vAlign w:val="center"/>
          </w:tcPr>
          <w:p>
            <w:pPr>
              <w:spacing w:line="440" w:lineRule="exact"/>
              <w:rPr>
                <w:rFonts w:ascii="Times New Roman" w:hAnsi="Times New Roman"/>
                <w:spacing w:val="20"/>
              </w:rPr>
            </w:pPr>
            <w:r>
              <w:rPr>
                <w:rFonts w:ascii="Times New Roman" w:hAnsi="Times New Roman"/>
                <w:spacing w:val="20"/>
              </w:rPr>
              <w:t>传真</w:t>
            </w:r>
          </w:p>
        </w:tc>
        <w:tc>
          <w:tcPr>
            <w:tcW w:w="2011" w:type="dxa"/>
            <w:gridSpan w:val="5"/>
            <w:vAlign w:val="center"/>
          </w:tcPr>
          <w:p>
            <w:pPr>
              <w:spacing w:line="440" w:lineRule="exact"/>
              <w:jc w:val="center"/>
              <w:rPr>
                <w:rFonts w:ascii="Times New Roman" w:hAnsi="Times New Roman"/>
                <w:spacing w:val="20"/>
              </w:rPr>
            </w:pPr>
            <w:r>
              <w:rPr>
                <w:rFonts w:hint="eastAsia" w:cs="宋体"/>
                <w:szCs w:val="24"/>
              </w:rPr>
              <w:t>——</w:t>
            </w:r>
          </w:p>
        </w:tc>
        <w:tc>
          <w:tcPr>
            <w:tcW w:w="1465" w:type="dxa"/>
            <w:gridSpan w:val="3"/>
            <w:vAlign w:val="center"/>
          </w:tcPr>
          <w:p>
            <w:pPr>
              <w:spacing w:line="440" w:lineRule="exact"/>
              <w:rPr>
                <w:rFonts w:ascii="Times New Roman" w:hAnsi="Times New Roman"/>
                <w:spacing w:val="20"/>
              </w:rPr>
            </w:pPr>
            <w:r>
              <w:rPr>
                <w:rFonts w:ascii="Times New Roman" w:hAnsi="Times New Roman"/>
                <w:spacing w:val="20"/>
              </w:rPr>
              <w:t>邮政编码</w:t>
            </w:r>
          </w:p>
        </w:tc>
        <w:tc>
          <w:tcPr>
            <w:tcW w:w="1882" w:type="dxa"/>
            <w:gridSpan w:val="2"/>
            <w:vAlign w:val="center"/>
          </w:tcPr>
          <w:p>
            <w:pPr>
              <w:spacing w:line="440" w:lineRule="exact"/>
              <w:jc w:val="center"/>
              <w:rPr>
                <w:rFonts w:ascii="Times New Roman" w:hAnsi="Times New Roman"/>
                <w:spacing w:val="20"/>
              </w:rPr>
            </w:pPr>
            <w:r>
              <w:rPr>
                <w:rFonts w:ascii="Times New Roman" w:hAnsi="Times New Roman"/>
                <w:spacing w:val="20"/>
              </w:rPr>
              <w:t>264200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13" w:hRule="atLeast"/>
        </w:trPr>
        <w:tc>
          <w:tcPr>
            <w:tcW w:w="2005" w:type="dxa"/>
            <w:vAlign w:val="center"/>
          </w:tcPr>
          <w:p>
            <w:pPr>
              <w:spacing w:line="440" w:lineRule="exact"/>
              <w:rPr>
                <w:rFonts w:ascii="Times New Roman" w:hAnsi="Times New Roman"/>
                <w:spacing w:val="20"/>
                <w:highlight w:val="yellow"/>
              </w:rPr>
            </w:pPr>
            <w:r>
              <w:rPr>
                <w:rFonts w:ascii="Times New Roman" w:hAnsi="Times New Roman"/>
                <w:spacing w:val="20"/>
              </w:rPr>
              <w:t>建设地点</w:t>
            </w:r>
          </w:p>
        </w:tc>
        <w:tc>
          <w:tcPr>
            <w:tcW w:w="8178" w:type="dxa"/>
            <w:gridSpan w:val="14"/>
            <w:vAlign w:val="center"/>
          </w:tcPr>
          <w:p>
            <w:pPr>
              <w:spacing w:line="440" w:lineRule="exact"/>
              <w:jc w:val="center"/>
              <w:rPr>
                <w:rFonts w:ascii="Times New Roman" w:hAnsi="Times New Roman"/>
                <w:spacing w:val="6"/>
              </w:rPr>
            </w:pPr>
            <w:r>
              <w:rPr>
                <w:rFonts w:hint="eastAsia"/>
                <w:kern w:val="0"/>
                <w:szCs w:val="28"/>
              </w:rPr>
              <w:t>山东省威海市环翠区桥头镇旺桥路8号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5" w:hRule="atLeast"/>
        </w:trPr>
        <w:tc>
          <w:tcPr>
            <w:tcW w:w="2260" w:type="dxa"/>
            <w:gridSpan w:val="2"/>
            <w:vAlign w:val="center"/>
          </w:tcPr>
          <w:p>
            <w:pPr>
              <w:spacing w:line="440" w:lineRule="exact"/>
              <w:rPr>
                <w:rFonts w:ascii="Times New Roman" w:hAnsi="Times New Roman"/>
              </w:rPr>
            </w:pPr>
            <w:r>
              <w:rPr>
                <w:rFonts w:ascii="Times New Roman" w:hAnsi="Times New Roman"/>
              </w:rPr>
              <w:t>立项审批部门</w:t>
            </w:r>
          </w:p>
        </w:tc>
        <w:tc>
          <w:tcPr>
            <w:tcW w:w="2565" w:type="dxa"/>
            <w:gridSpan w:val="3"/>
            <w:vAlign w:val="center"/>
          </w:tcPr>
          <w:p>
            <w:pPr>
              <w:jc w:val="center"/>
              <w:rPr>
                <w:rFonts w:ascii="Times New Roman" w:hAnsi="Times New Roman"/>
                <w:spacing w:val="20"/>
              </w:rPr>
            </w:pPr>
            <w:r>
              <w:rPr>
                <w:rFonts w:hint="eastAsia" w:ascii="Times New Roman" w:hAnsi="Times New Roman"/>
              </w:rPr>
              <w:t>环翠区行政审批局</w:t>
            </w:r>
          </w:p>
        </w:tc>
        <w:tc>
          <w:tcPr>
            <w:tcW w:w="1981" w:type="dxa"/>
            <w:gridSpan w:val="4"/>
            <w:vAlign w:val="center"/>
          </w:tcPr>
          <w:p>
            <w:pPr>
              <w:spacing w:line="440" w:lineRule="exact"/>
              <w:jc w:val="center"/>
              <w:rPr>
                <w:rFonts w:ascii="Times New Roman" w:hAnsi="Times New Roman"/>
                <w:spacing w:val="20"/>
              </w:rPr>
            </w:pPr>
            <w:r>
              <w:rPr>
                <w:rFonts w:ascii="Times New Roman" w:hAnsi="Times New Roman"/>
                <w:spacing w:val="20"/>
              </w:rPr>
              <w:t>批准文号</w:t>
            </w:r>
          </w:p>
        </w:tc>
        <w:tc>
          <w:tcPr>
            <w:tcW w:w="3377" w:type="dxa"/>
            <w:gridSpan w:val="6"/>
            <w:vAlign w:val="center"/>
          </w:tcPr>
          <w:p>
            <w:pPr>
              <w:jc w:val="center"/>
              <w:rPr>
                <w:rFonts w:ascii="Times New Roman" w:hAnsi="Times New Roman"/>
                <w:spacing w:val="-8"/>
              </w:rPr>
            </w:pPr>
            <w:r>
              <w:rPr>
                <w:rFonts w:ascii="Times New Roman" w:hAnsi="Times New Roman"/>
                <w:spacing w:val="-8"/>
              </w:rPr>
              <w:t>2020-371002-</w:t>
            </w:r>
            <w:r>
              <w:rPr>
                <w:rFonts w:hint="eastAsia" w:ascii="Times New Roman" w:hAnsi="Times New Roman"/>
                <w:spacing w:val="-8"/>
              </w:rPr>
              <w:t>04-01-616156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1" w:hRule="atLeast"/>
        </w:trPr>
        <w:tc>
          <w:tcPr>
            <w:tcW w:w="2005" w:type="dxa"/>
            <w:vAlign w:val="center"/>
          </w:tcPr>
          <w:p>
            <w:pPr>
              <w:spacing w:line="440" w:lineRule="exact"/>
              <w:rPr>
                <w:rFonts w:ascii="Times New Roman" w:hAnsi="Times New Roman"/>
              </w:rPr>
            </w:pPr>
            <w:r>
              <w:rPr>
                <w:rFonts w:ascii="Times New Roman" w:hAnsi="Times New Roman"/>
              </w:rPr>
              <w:t>建设性质</w:t>
            </w:r>
          </w:p>
        </w:tc>
        <w:tc>
          <w:tcPr>
            <w:tcW w:w="3186" w:type="dxa"/>
            <w:gridSpan w:val="5"/>
            <w:vAlign w:val="center"/>
          </w:tcPr>
          <w:p>
            <w:pPr>
              <w:spacing w:line="440" w:lineRule="exact"/>
              <w:jc w:val="center"/>
              <w:rPr>
                <w:rFonts w:ascii="Times New Roman" w:hAnsi="Times New Roman"/>
                <w:spacing w:val="10"/>
              </w:rPr>
            </w:pPr>
            <w:r>
              <w:rPr>
                <w:rFonts w:ascii="Times New Roman" w:hAnsi="Times New Roman"/>
                <w:spacing w:val="10"/>
              </w:rPr>
              <w:t>新建□改扩建</w:t>
            </w:r>
            <w:r>
              <w:rPr>
                <w:rFonts w:ascii="Times New Roman" w:hAnsi="Times New Roman"/>
                <w:spacing w:val="10"/>
                <w:szCs w:val="24"/>
              </w:rPr>
              <w:fldChar w:fldCharType="begin"/>
            </w:r>
            <w:r>
              <w:rPr>
                <w:rFonts w:ascii="Times New Roman" w:hAnsi="Times New Roman"/>
                <w:spacing w:val="10"/>
                <w:szCs w:val="24"/>
              </w:rPr>
              <w:instrText xml:space="preserve"> eq \o\ac(□,</w:instrText>
            </w:r>
            <w:r>
              <w:rPr>
                <w:rFonts w:ascii="Times New Roman" w:hAnsi="Times New Roman"/>
                <w:position w:val="2"/>
                <w:szCs w:val="24"/>
              </w:rPr>
              <w:instrText xml:space="preserve">√</w:instrText>
            </w:r>
            <w:r>
              <w:rPr>
                <w:rFonts w:ascii="Times New Roman" w:hAnsi="Times New Roman"/>
                <w:spacing w:val="10"/>
                <w:szCs w:val="24"/>
              </w:rPr>
              <w:instrText xml:space="preserve">)</w:instrText>
            </w:r>
            <w:r>
              <w:rPr>
                <w:rFonts w:ascii="Times New Roman" w:hAnsi="Times New Roman"/>
                <w:spacing w:val="10"/>
                <w:szCs w:val="24"/>
              </w:rPr>
              <w:fldChar w:fldCharType="end"/>
            </w:r>
            <w:r>
              <w:rPr>
                <w:rFonts w:ascii="Times New Roman" w:hAnsi="Times New Roman"/>
                <w:spacing w:val="10"/>
              </w:rPr>
              <w:t>技改□</w:t>
            </w:r>
          </w:p>
        </w:tc>
        <w:tc>
          <w:tcPr>
            <w:tcW w:w="1895" w:type="dxa"/>
            <w:gridSpan w:val="5"/>
            <w:vAlign w:val="center"/>
          </w:tcPr>
          <w:p>
            <w:pPr>
              <w:spacing w:line="440" w:lineRule="exact"/>
              <w:jc w:val="center"/>
              <w:rPr>
                <w:rFonts w:ascii="Times New Roman" w:hAnsi="Times New Roman"/>
              </w:rPr>
            </w:pPr>
            <w:r>
              <w:rPr>
                <w:rFonts w:ascii="Times New Roman" w:hAnsi="Times New Roman"/>
              </w:rPr>
              <w:t>行业类别及代码</w:t>
            </w:r>
          </w:p>
        </w:tc>
        <w:tc>
          <w:tcPr>
            <w:tcW w:w="3097" w:type="dxa"/>
            <w:gridSpan w:val="4"/>
            <w:vAlign w:val="center"/>
          </w:tcPr>
          <w:p>
            <w:pPr>
              <w:jc w:val="center"/>
              <w:rPr>
                <w:rFonts w:ascii="Times New Roman" w:hAnsi="Times New Roman"/>
              </w:rPr>
            </w:pPr>
            <w:r>
              <w:rPr>
                <w:rFonts w:ascii="Times New Roman" w:hAnsi="Times New Roman"/>
              </w:rPr>
              <w:t>C2319 包装印刷及其他印刷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2" w:hRule="atLeast"/>
        </w:trPr>
        <w:tc>
          <w:tcPr>
            <w:tcW w:w="3177" w:type="dxa"/>
            <w:gridSpan w:val="3"/>
            <w:vAlign w:val="center"/>
          </w:tcPr>
          <w:p>
            <w:pPr>
              <w:spacing w:line="440" w:lineRule="exact"/>
              <w:rPr>
                <w:rFonts w:ascii="Times New Roman" w:hAnsi="Times New Roman"/>
              </w:rPr>
            </w:pPr>
            <w:r>
              <w:rPr>
                <w:rFonts w:ascii="Times New Roman" w:hAnsi="Times New Roman"/>
              </w:rPr>
              <w:t>占地面积（m</w:t>
            </w:r>
            <w:r>
              <w:rPr>
                <w:rFonts w:ascii="Times New Roman" w:hAnsi="Times New Roman"/>
                <w:vertAlign w:val="superscript"/>
              </w:rPr>
              <w:t>2</w:t>
            </w:r>
            <w:r>
              <w:rPr>
                <w:rFonts w:ascii="Times New Roman" w:hAnsi="Times New Roman"/>
              </w:rPr>
              <w:t>）</w:t>
            </w:r>
          </w:p>
        </w:tc>
        <w:tc>
          <w:tcPr>
            <w:tcW w:w="2014" w:type="dxa"/>
            <w:gridSpan w:val="3"/>
            <w:vAlign w:val="center"/>
          </w:tcPr>
          <w:p>
            <w:pPr>
              <w:spacing w:line="440" w:lineRule="exact"/>
              <w:jc w:val="center"/>
              <w:rPr>
                <w:rFonts w:ascii="Times New Roman" w:hAnsi="Times New Roman"/>
                <w:szCs w:val="24"/>
              </w:rPr>
            </w:pPr>
            <w:r>
              <w:rPr>
                <w:rFonts w:hint="eastAsia" w:ascii="Times New Roman" w:hAnsi="Times New Roman"/>
                <w:szCs w:val="24"/>
              </w:rPr>
              <w:t>160</w:t>
            </w:r>
            <w:r>
              <w:rPr>
                <w:rFonts w:ascii="Times New Roman" w:hAnsi="Times New Roman"/>
                <w:szCs w:val="24"/>
              </w:rPr>
              <w:t>0</w:t>
            </w:r>
          </w:p>
        </w:tc>
        <w:tc>
          <w:tcPr>
            <w:tcW w:w="3169" w:type="dxa"/>
            <w:gridSpan w:val="8"/>
            <w:vAlign w:val="center"/>
          </w:tcPr>
          <w:p>
            <w:pPr>
              <w:spacing w:line="440" w:lineRule="exact"/>
              <w:jc w:val="center"/>
              <w:rPr>
                <w:rFonts w:ascii="Times New Roman" w:hAnsi="Times New Roman"/>
              </w:rPr>
            </w:pPr>
            <w:r>
              <w:rPr>
                <w:rFonts w:ascii="Times New Roman" w:hAnsi="Times New Roman"/>
              </w:rPr>
              <w:t>绿化面积（m</w:t>
            </w:r>
            <w:r>
              <w:rPr>
                <w:rFonts w:ascii="Times New Roman" w:hAnsi="Times New Roman"/>
                <w:vertAlign w:val="superscript"/>
              </w:rPr>
              <w:t>2</w:t>
            </w:r>
            <w:r>
              <w:rPr>
                <w:rFonts w:ascii="Times New Roman" w:hAnsi="Times New Roman"/>
              </w:rPr>
              <w:t>）</w:t>
            </w:r>
          </w:p>
        </w:tc>
        <w:tc>
          <w:tcPr>
            <w:tcW w:w="1823" w:type="dxa"/>
            <w:vAlign w:val="center"/>
          </w:tcPr>
          <w:p>
            <w:pPr>
              <w:spacing w:line="440" w:lineRule="exact"/>
              <w:jc w:val="center"/>
              <w:rPr>
                <w:rFonts w:ascii="Times New Roman" w:hAnsi="Times New Roman"/>
              </w:rPr>
            </w:pPr>
            <w:r>
              <w:rPr>
                <w:rFonts w:hint="eastAsia" w:ascii="Times New Roman" w:hAnsi="Times New Roma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13" w:hRule="atLeast"/>
        </w:trPr>
        <w:tc>
          <w:tcPr>
            <w:tcW w:w="2005" w:type="dxa"/>
            <w:vAlign w:val="center"/>
          </w:tcPr>
          <w:p>
            <w:pPr>
              <w:jc w:val="center"/>
              <w:rPr>
                <w:rFonts w:ascii="Times New Roman" w:hAnsi="Times New Roman"/>
                <w:spacing w:val="20"/>
              </w:rPr>
            </w:pPr>
            <w:r>
              <w:rPr>
                <w:rFonts w:ascii="Times New Roman" w:hAnsi="Times New Roman"/>
                <w:spacing w:val="20"/>
              </w:rPr>
              <w:t>总投资</w:t>
            </w:r>
          </w:p>
          <w:p>
            <w:pPr>
              <w:jc w:val="center"/>
              <w:rPr>
                <w:rFonts w:ascii="Times New Roman" w:hAnsi="Times New Roman"/>
              </w:rPr>
            </w:pPr>
            <w:r>
              <w:rPr>
                <w:rFonts w:ascii="Times New Roman" w:hAnsi="Times New Roman"/>
              </w:rPr>
              <w:t>（万元）</w:t>
            </w:r>
          </w:p>
        </w:tc>
        <w:tc>
          <w:tcPr>
            <w:tcW w:w="1172" w:type="dxa"/>
            <w:gridSpan w:val="2"/>
            <w:vAlign w:val="center"/>
          </w:tcPr>
          <w:p>
            <w:pPr>
              <w:jc w:val="center"/>
              <w:rPr>
                <w:rFonts w:ascii="Times New Roman" w:hAnsi="Times New Roman"/>
              </w:rPr>
            </w:pPr>
            <w:r>
              <w:rPr>
                <w:rFonts w:hint="eastAsia" w:ascii="Times New Roman" w:hAnsi="Times New Roman"/>
              </w:rPr>
              <w:t>5</w:t>
            </w:r>
            <w:r>
              <w:rPr>
                <w:rFonts w:ascii="Times New Roman" w:hAnsi="Times New Roman"/>
              </w:rPr>
              <w:t>0</w:t>
            </w:r>
          </w:p>
        </w:tc>
        <w:tc>
          <w:tcPr>
            <w:tcW w:w="2014" w:type="dxa"/>
            <w:gridSpan w:val="3"/>
            <w:vAlign w:val="center"/>
          </w:tcPr>
          <w:p>
            <w:pPr>
              <w:jc w:val="center"/>
              <w:rPr>
                <w:rFonts w:ascii="Times New Roman" w:hAnsi="Times New Roman"/>
              </w:rPr>
            </w:pPr>
            <w:r>
              <w:rPr>
                <w:rFonts w:ascii="Times New Roman" w:hAnsi="Times New Roman"/>
              </w:rPr>
              <w:t>其中：环保投资</w:t>
            </w:r>
          </w:p>
          <w:p>
            <w:pPr>
              <w:jc w:val="center"/>
              <w:rPr>
                <w:rFonts w:ascii="Times New Roman" w:hAnsi="Times New Roman"/>
              </w:rPr>
            </w:pPr>
            <w:r>
              <w:rPr>
                <w:rFonts w:ascii="Times New Roman" w:hAnsi="Times New Roman"/>
              </w:rPr>
              <w:t>（万元）</w:t>
            </w:r>
          </w:p>
        </w:tc>
        <w:tc>
          <w:tcPr>
            <w:tcW w:w="1462" w:type="dxa"/>
            <w:gridSpan w:val="2"/>
            <w:vAlign w:val="center"/>
          </w:tcPr>
          <w:p>
            <w:pPr>
              <w:jc w:val="center"/>
              <w:rPr>
                <w:rFonts w:ascii="Times New Roman" w:hAnsi="Times New Roman"/>
              </w:rPr>
            </w:pPr>
            <w:r>
              <w:rPr>
                <w:rFonts w:hint="eastAsia" w:ascii="Times New Roman" w:hAnsi="Times New Roman"/>
              </w:rPr>
              <w:t>20</w:t>
            </w:r>
          </w:p>
        </w:tc>
        <w:tc>
          <w:tcPr>
            <w:tcW w:w="1707" w:type="dxa"/>
            <w:gridSpan w:val="6"/>
            <w:vAlign w:val="center"/>
          </w:tcPr>
          <w:p>
            <w:pPr>
              <w:jc w:val="center"/>
              <w:rPr>
                <w:rFonts w:ascii="Times New Roman" w:hAnsi="Times New Roman"/>
              </w:rPr>
            </w:pPr>
            <w:r>
              <w:rPr>
                <w:rFonts w:ascii="Times New Roman" w:hAnsi="Times New Roman"/>
              </w:rPr>
              <w:t>环保投资占</w:t>
            </w:r>
          </w:p>
          <w:p>
            <w:pPr>
              <w:jc w:val="center"/>
              <w:rPr>
                <w:rFonts w:ascii="Times New Roman" w:hAnsi="Times New Roman"/>
              </w:rPr>
            </w:pPr>
            <w:r>
              <w:rPr>
                <w:rFonts w:ascii="Times New Roman" w:hAnsi="Times New Roman"/>
              </w:rPr>
              <w:t>总投资比例</w:t>
            </w:r>
          </w:p>
        </w:tc>
        <w:tc>
          <w:tcPr>
            <w:tcW w:w="1823" w:type="dxa"/>
            <w:vAlign w:val="center"/>
          </w:tcPr>
          <w:p>
            <w:pPr>
              <w:jc w:val="center"/>
              <w:rPr>
                <w:rFonts w:ascii="Times New Roman" w:hAnsi="Times New Roman"/>
              </w:rPr>
            </w:pPr>
            <w:r>
              <w:rPr>
                <w:rFonts w:hint="eastAsia" w:ascii="Times New Roman" w:hAnsi="Times New Roman"/>
              </w:rPr>
              <w:t>4</w:t>
            </w:r>
            <w:r>
              <w:rPr>
                <w:rFonts w:ascii="Times New Roman" w:hAnsi="Times New Roma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13" w:hRule="atLeast"/>
        </w:trPr>
        <w:tc>
          <w:tcPr>
            <w:tcW w:w="3177" w:type="dxa"/>
            <w:gridSpan w:val="3"/>
            <w:vAlign w:val="center"/>
          </w:tcPr>
          <w:p>
            <w:pPr>
              <w:spacing w:line="440" w:lineRule="exact"/>
              <w:rPr>
                <w:rFonts w:ascii="Times New Roman" w:hAnsi="Times New Roman"/>
              </w:rPr>
            </w:pPr>
            <w:r>
              <w:rPr>
                <w:rFonts w:ascii="Times New Roman" w:hAnsi="Times New Roman"/>
              </w:rPr>
              <w:t>评价经费（万元）</w:t>
            </w:r>
          </w:p>
        </w:tc>
        <w:tc>
          <w:tcPr>
            <w:tcW w:w="2014" w:type="dxa"/>
            <w:gridSpan w:val="3"/>
            <w:vAlign w:val="center"/>
          </w:tcPr>
          <w:p>
            <w:pPr>
              <w:spacing w:line="440" w:lineRule="exact"/>
              <w:jc w:val="center"/>
              <w:rPr>
                <w:rFonts w:ascii="Times New Roman" w:hAnsi="Times New Roman"/>
                <w:highlight w:val="yellow"/>
              </w:rPr>
            </w:pPr>
            <w:r>
              <w:rPr>
                <w:rFonts w:ascii="Times New Roman" w:hAnsi="Times New Roman"/>
              </w:rPr>
              <w:t>/</w:t>
            </w:r>
          </w:p>
        </w:tc>
        <w:tc>
          <w:tcPr>
            <w:tcW w:w="2253" w:type="dxa"/>
            <w:gridSpan w:val="6"/>
            <w:vAlign w:val="center"/>
          </w:tcPr>
          <w:p>
            <w:pPr>
              <w:spacing w:line="440" w:lineRule="exact"/>
              <w:jc w:val="center"/>
              <w:rPr>
                <w:rFonts w:ascii="Times New Roman" w:hAnsi="Times New Roman"/>
              </w:rPr>
            </w:pPr>
            <w:r>
              <w:rPr>
                <w:rFonts w:ascii="Times New Roman" w:hAnsi="Times New Roman"/>
              </w:rPr>
              <w:t>预计投产日期</w:t>
            </w:r>
          </w:p>
        </w:tc>
        <w:tc>
          <w:tcPr>
            <w:tcW w:w="2739" w:type="dxa"/>
            <w:gridSpan w:val="3"/>
            <w:vAlign w:val="center"/>
          </w:tcPr>
          <w:p>
            <w:pPr>
              <w:spacing w:line="440" w:lineRule="exact"/>
              <w:jc w:val="center"/>
              <w:rPr>
                <w:rFonts w:ascii="Times New Roman" w:hAnsi="Times New Roman"/>
              </w:rPr>
            </w:pPr>
            <w:r>
              <w:rPr>
                <w:rFonts w:ascii="Times New Roman" w:hAnsi="Times New Roman"/>
              </w:rPr>
              <w:t>2021年</w:t>
            </w:r>
            <w:r>
              <w:rPr>
                <w:rFonts w:hint="eastAsia" w:ascii="Times New Roman" w:hAnsi="Times New Roman"/>
              </w:rPr>
              <w:t>4</w:t>
            </w:r>
            <w:r>
              <w:rPr>
                <w:rFonts w:ascii="Times New Roman" w:hAnsi="Times New Roman"/>
              </w:rPr>
              <w:t>月</w:t>
            </w:r>
          </w:p>
        </w:tc>
      </w:tr>
      <w:bookmarkEnd w:id="0"/>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052" w:hRule="atLeast"/>
        </w:trPr>
        <w:tc>
          <w:tcPr>
            <w:tcW w:w="10183" w:type="dxa"/>
            <w:gridSpan w:val="15"/>
            <w:tcBorders>
              <w:bottom w:val="single" w:color="auto" w:sz="4" w:space="0"/>
            </w:tcBorders>
            <w:tcMar>
              <w:top w:w="57" w:type="dxa"/>
              <w:left w:w="57" w:type="dxa"/>
              <w:bottom w:w="57" w:type="dxa"/>
              <w:right w:w="57" w:type="dxa"/>
            </w:tcMar>
          </w:tcPr>
          <w:p>
            <w:pPr>
              <w:tabs>
                <w:tab w:val="left" w:pos="6255"/>
              </w:tabs>
              <w:spacing w:beforeLines="50" w:line="360" w:lineRule="auto"/>
              <w:rPr>
                <w:rFonts w:ascii="Times New Roman" w:hAnsi="Times New Roman" w:eastAsia="黑体"/>
              </w:rPr>
            </w:pPr>
            <w:r>
              <w:rPr>
                <w:rFonts w:ascii="Times New Roman" w:hAnsi="Times New Roman" w:eastAsia="黑体"/>
              </w:rPr>
              <w:t>工程内容及规模：</w:t>
            </w:r>
          </w:p>
          <w:p>
            <w:pPr>
              <w:spacing w:line="360" w:lineRule="auto"/>
              <w:ind w:firstLine="480" w:firstLineChars="200"/>
              <w:rPr>
                <w:rFonts w:ascii="Times New Roman" w:hAnsi="Times New Roman" w:eastAsia="黑体"/>
              </w:rPr>
            </w:pPr>
            <w:r>
              <w:rPr>
                <w:rFonts w:ascii="Times New Roman" w:hAnsi="Times New Roman" w:eastAsia="黑体"/>
              </w:rPr>
              <w:t>1、项目背景</w:t>
            </w:r>
          </w:p>
          <w:p>
            <w:pPr>
              <w:spacing w:line="360" w:lineRule="auto"/>
              <w:ind w:firstLine="480" w:firstLineChars="200"/>
            </w:pPr>
            <w:bookmarkStart w:id="1" w:name="_Hlk27413051"/>
            <w:r>
              <w:rPr>
                <w:rFonts w:hint="eastAsia"/>
              </w:rPr>
              <w:t>威海步特户外用品有限公司成立于2009年3月，主要经营充气艇及其配件、游艇及其配件、充气式冲浪板、充气帐篷、充气游泳池、充气睡床、充气式产品的设计、生产及销售；房屋租赁；备案范围内的货物及技术进出口；售电服务。2016年5月在桥头镇旺桥路8号建设充气艇及充气式冲浪板生产加工项目，2016年6月20日取得了威海市环境保护局关于《威海步特户外用品有限公司充气艇及充气式冲浪板生产加工项目环境影响报告表》的批复（威环经管表【2016】6-3号），项目建成后落实了各项环评要求，与2018年7月27日通过了验收，取得了威海市环境保护局验收意见（威环经验【2018】6号）。</w:t>
            </w:r>
          </w:p>
          <w:p>
            <w:pPr>
              <w:spacing w:line="360" w:lineRule="auto"/>
              <w:ind w:firstLine="480" w:firstLineChars="200"/>
            </w:pPr>
            <w:r>
              <w:rPr>
                <w:rFonts w:hint="eastAsia"/>
              </w:rPr>
              <w:t>现因公司生产需要，在厂区内4号车间一楼东部扩建充气桨板标签生产项目</w:t>
            </w:r>
            <w:r>
              <w:rPr>
                <w:rFonts w:hint="eastAsia"/>
                <w:lang w:val="zh-CN"/>
              </w:rPr>
              <w:t>，</w:t>
            </w:r>
            <w:r>
              <w:rPr>
                <w:rFonts w:hint="eastAsia"/>
              </w:rPr>
              <w:t>年生产充气桨板标签20万个/a，</w:t>
            </w:r>
            <w:r>
              <w:rPr>
                <w:rFonts w:hint="eastAsia" w:ascii="Times New Roman"/>
              </w:rPr>
              <w:t>威海步特户外用品有限公司拟增加一套活性炭吸附+催化燃烧装</w:t>
            </w:r>
            <w:r>
              <w:rPr>
                <w:rFonts w:ascii="Times New Roman"/>
              </w:rPr>
              <w:t>置</w:t>
            </w:r>
            <w:r>
              <w:rPr>
                <w:rFonts w:hint="eastAsia" w:ascii="Times New Roman"/>
              </w:rPr>
              <w:t>对项目印刷产生的有机废气进行收集处理，企业</w:t>
            </w:r>
            <w:r>
              <w:t>现委托我单位对此项目进行环境影响评价</w:t>
            </w:r>
            <w:r>
              <w:rPr>
                <w:rFonts w:hint="eastAsia" w:ascii="Times New Roman" w:hAnsi="Times New Roman"/>
              </w:rPr>
              <w:t>。</w:t>
            </w:r>
            <w:r>
              <w:t>项目地理位置图见</w:t>
            </w:r>
            <w:r>
              <w:rPr>
                <w:b/>
              </w:rPr>
              <w:t>附图1</w:t>
            </w:r>
            <w:r>
              <w:t>，平面布置图见</w:t>
            </w:r>
            <w:r>
              <w:rPr>
                <w:b/>
              </w:rPr>
              <w:t>附图</w:t>
            </w:r>
            <w:r>
              <w:rPr>
                <w:rFonts w:hint="eastAsia"/>
                <w:b/>
              </w:rPr>
              <w:t>2</w:t>
            </w:r>
            <w:r>
              <w:t>。</w:t>
            </w:r>
          </w:p>
          <w:bookmarkEnd w:id="1"/>
          <w:p>
            <w:pPr>
              <w:spacing w:line="360" w:lineRule="auto"/>
              <w:ind w:firstLine="480" w:firstLineChars="200"/>
            </w:pPr>
            <w:r>
              <w:rPr>
                <w:rFonts w:hint="eastAsia"/>
                <w:bCs/>
              </w:rPr>
              <w:t>项目建成</w:t>
            </w:r>
            <w:r>
              <w:rPr>
                <w:rFonts w:hint="eastAsia"/>
              </w:rPr>
              <w:t>后不仅能满足市场的一部分需求，减缓市场压力，还能解决一部分人的就业问题，具有较好的经济效益和社会效益。该公司预计于2021年3月动工建设，2021年4月建成投产，项目总投资50万元，资金来源均由项目单位自筹解决。</w:t>
            </w:r>
          </w:p>
          <w:p>
            <w:pPr>
              <w:pStyle w:val="32"/>
              <w:ind w:firstLine="480"/>
            </w:pPr>
            <w:r>
              <w:rPr>
                <w:rFonts w:hint="eastAsia"/>
              </w:rPr>
              <w:t>本项目为扩建项目，</w:t>
            </w:r>
            <w:r>
              <w:t>根据《中华人民共和国环境保护法》、《中华人民共和国环境影响评价法》和《建设项目环境影响评价分类管理目录》（20</w:t>
            </w:r>
            <w:r>
              <w:rPr>
                <w:rFonts w:hint="eastAsia"/>
              </w:rPr>
              <w:t>21年</w:t>
            </w:r>
            <w:r>
              <w:t>版）以及省、市有关环保政策，本项目属于</w:t>
            </w:r>
            <w:r>
              <w:rPr>
                <w:rFonts w:hint="eastAsia"/>
              </w:rPr>
              <w:t xml:space="preserve">二十、印刷和记录媒介复制业 23 </w:t>
            </w:r>
            <w:r>
              <w:t>中的</w:t>
            </w:r>
            <w:r>
              <w:rPr>
                <w:rFonts w:hint="eastAsia"/>
              </w:rPr>
              <w:t xml:space="preserve">39 印刷 231* </w:t>
            </w:r>
            <w:r>
              <w:t>中的</w:t>
            </w:r>
            <w:r>
              <w:rPr>
                <w:rFonts w:hint="eastAsia"/>
              </w:rPr>
              <w:t>“其他（激光印刷除外；年用低VOCs含量油墨10吨以下的印刷除外） ”</w:t>
            </w:r>
            <w:r>
              <w:t>类别，需编制环境影响评价报告表。建设方现委托我单位对此项目进行环境影响评价，我单位收到委托后，派有关环评技术人员到现场调查和收集资料，按照国家有关环评技术规范要求，编制完成该项目的环境影响报告表。</w:t>
            </w:r>
          </w:p>
          <w:p>
            <w:pPr>
              <w:overflowPunct w:val="0"/>
              <w:adjustRightInd w:val="0"/>
              <w:snapToGrid w:val="0"/>
              <w:spacing w:line="360" w:lineRule="auto"/>
              <w:ind w:firstLine="480" w:firstLineChars="200"/>
              <w:rPr>
                <w:rFonts w:ascii="Times New Roman" w:hAnsi="Times New Roman" w:eastAsia="黑体"/>
                <w:sz w:val="21"/>
              </w:rPr>
            </w:pPr>
            <w:r>
              <w:rPr>
                <w:rFonts w:hint="eastAsia" w:ascii="Times New Roman" w:hAnsi="Times New Roman"/>
              </w:rPr>
              <w:t>项目</w:t>
            </w:r>
            <w:r>
              <w:rPr>
                <w:rFonts w:ascii="Times New Roman" w:hAnsi="Times New Roman"/>
              </w:rPr>
              <w:t>位于</w:t>
            </w:r>
            <w:r>
              <w:rPr>
                <w:rFonts w:hint="eastAsia"/>
              </w:rPr>
              <w:t>山东省威海市环翠区桥头镇旺桥路8号</w:t>
            </w:r>
            <w:r>
              <w:rPr>
                <w:rFonts w:hint="eastAsia" w:ascii="Times New Roman" w:hAnsi="Times New Roman"/>
              </w:rPr>
              <w:t>，项目</w:t>
            </w:r>
            <w:r>
              <w:rPr>
                <w:rFonts w:ascii="Times New Roman" w:hAnsi="Times New Roman"/>
              </w:rPr>
              <w:t>占地面积</w:t>
            </w:r>
            <w:r>
              <w:rPr>
                <w:rFonts w:hint="eastAsia" w:ascii="Times New Roman" w:hAnsi="Times New Roman"/>
              </w:rPr>
              <w:t>约</w:t>
            </w:r>
            <w:r>
              <w:rPr>
                <w:rFonts w:hint="eastAsia" w:ascii="Times New Roman" w:hAnsi="Times New Roman"/>
                <w:szCs w:val="24"/>
              </w:rPr>
              <w:t>160</w:t>
            </w:r>
            <w:r>
              <w:rPr>
                <w:rFonts w:ascii="Times New Roman" w:hAnsi="Times New Roman"/>
                <w:szCs w:val="24"/>
              </w:rPr>
              <w:t>0</w:t>
            </w:r>
            <w:r>
              <w:rPr>
                <w:rFonts w:ascii="Times New Roman" w:hAnsi="Times New Roman"/>
              </w:rPr>
              <w:t>m</w:t>
            </w:r>
            <w:r>
              <w:rPr>
                <w:rFonts w:ascii="Times New Roman" w:hAnsi="Times New Roman"/>
                <w:vertAlign w:val="superscript"/>
              </w:rPr>
              <w:t>2</w:t>
            </w:r>
            <w:r>
              <w:rPr>
                <w:rFonts w:hint="eastAsia" w:ascii="Times New Roman" w:hAnsi="Times New Roman"/>
              </w:rPr>
              <w:t>，建筑面积约160</w:t>
            </w:r>
            <w:r>
              <w:rPr>
                <w:rFonts w:ascii="Times New Roman" w:hAnsi="Times New Roman"/>
              </w:rPr>
              <w:t>0m</w:t>
            </w:r>
            <w:r>
              <w:rPr>
                <w:rFonts w:ascii="Times New Roman" w:hAnsi="Times New Roman"/>
                <w:vertAlign w:val="superscript"/>
              </w:rPr>
              <w:t>2</w:t>
            </w:r>
            <w:r>
              <w:rPr>
                <w:rFonts w:hint="eastAsia" w:ascii="Times New Roman" w:hAnsi="Times New Roman"/>
              </w:rPr>
              <w:t>，年生产充气桨板标签20万个/a，</w:t>
            </w:r>
            <w:r>
              <w:rPr>
                <w:rFonts w:hint="eastAsia" w:ascii="Times New Roman" w:hAnsi="Times New Roman"/>
                <w:kern w:val="2"/>
                <w:szCs w:val="24"/>
              </w:rPr>
              <w:t>建设内容主要包括印刷车间、制版间等，本次</w:t>
            </w:r>
            <w:r>
              <w:rPr>
                <w:rFonts w:ascii="Times New Roman" w:hAnsi="Times New Roman"/>
                <w:kern w:val="2"/>
                <w:szCs w:val="24"/>
              </w:rPr>
              <w:t>项目具体建设内容</w:t>
            </w:r>
            <w:r>
              <w:rPr>
                <w:rFonts w:hint="eastAsia" w:ascii="Times New Roman" w:hAnsi="Times New Roman"/>
                <w:kern w:val="2"/>
                <w:szCs w:val="24"/>
              </w:rPr>
              <w:t>见下表。</w:t>
            </w:r>
          </w:p>
          <w:p>
            <w:pPr>
              <w:jc w:val="center"/>
              <w:rPr>
                <w:rFonts w:ascii="Times New Roman" w:hAnsi="Times New Roman" w:eastAsia="黑体"/>
                <w:sz w:val="21"/>
              </w:rPr>
            </w:pPr>
            <w:r>
              <w:rPr>
                <w:rFonts w:ascii="Times New Roman" w:hAnsi="Times New Roman" w:eastAsia="黑体"/>
                <w:sz w:val="21"/>
              </w:rPr>
              <w:t>表1项目工程组成一览表</w:t>
            </w:r>
          </w:p>
          <w:tbl>
            <w:tblPr>
              <w:tblStyle w:val="30"/>
              <w:tblW w:w="9692" w:type="dxa"/>
              <w:tblInd w:w="17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63"/>
              <w:gridCol w:w="1617"/>
              <w:gridCol w:w="75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75" w:hRule="atLeast"/>
              </w:trPr>
              <w:tc>
                <w:tcPr>
                  <w:tcW w:w="563" w:type="dxa"/>
                  <w:tcBorders>
                    <w:top w:val="single" w:color="auto" w:sz="4" w:space="0"/>
                    <w:left w:val="single" w:color="auto" w:sz="4" w:space="0"/>
                    <w:bottom w:val="single" w:color="auto" w:sz="4" w:space="0"/>
                    <w:right w:val="single" w:color="auto" w:sz="4" w:space="0"/>
                  </w:tcBorders>
                  <w:vAlign w:val="center"/>
                </w:tcPr>
                <w:p>
                  <w:pPr>
                    <w:spacing w:line="0" w:lineRule="atLeast"/>
                    <w:jc w:val="center"/>
                    <w:rPr>
                      <w:rFonts w:ascii="Times New Roman" w:hAnsi="Times New Roman" w:eastAsiaTheme="minorEastAsia"/>
                      <w:sz w:val="21"/>
                      <w:szCs w:val="21"/>
                    </w:rPr>
                  </w:pPr>
                  <w:r>
                    <w:rPr>
                      <w:rFonts w:ascii="Times New Roman" w:hAnsi="Times New Roman"/>
                      <w:sz w:val="21"/>
                      <w:szCs w:val="21"/>
                    </w:rPr>
                    <w:t>分类</w:t>
                  </w:r>
                </w:p>
              </w:tc>
              <w:tc>
                <w:tcPr>
                  <w:tcW w:w="1617" w:type="dxa"/>
                  <w:tcBorders>
                    <w:top w:val="single" w:color="auto" w:sz="4" w:space="0"/>
                    <w:left w:val="single" w:color="auto" w:sz="4" w:space="0"/>
                    <w:bottom w:val="single" w:color="auto" w:sz="4" w:space="0"/>
                    <w:right w:val="single" w:color="auto" w:sz="4" w:space="0"/>
                  </w:tcBorders>
                  <w:vAlign w:val="center"/>
                </w:tcPr>
                <w:p>
                  <w:pPr>
                    <w:spacing w:line="0" w:lineRule="atLeast"/>
                    <w:jc w:val="center"/>
                    <w:rPr>
                      <w:rFonts w:ascii="Times New Roman" w:hAnsi="Times New Roman"/>
                      <w:sz w:val="21"/>
                      <w:szCs w:val="21"/>
                    </w:rPr>
                  </w:pPr>
                  <w:r>
                    <w:rPr>
                      <w:rFonts w:ascii="Times New Roman" w:hAnsi="Times New Roman"/>
                      <w:sz w:val="21"/>
                      <w:szCs w:val="21"/>
                    </w:rPr>
                    <w:t>名称</w:t>
                  </w:r>
                </w:p>
              </w:tc>
              <w:tc>
                <w:tcPr>
                  <w:tcW w:w="7512" w:type="dxa"/>
                  <w:tcBorders>
                    <w:top w:val="single" w:color="auto" w:sz="4" w:space="0"/>
                    <w:left w:val="single" w:color="auto" w:sz="4" w:space="0"/>
                    <w:bottom w:val="single" w:color="auto" w:sz="4" w:space="0"/>
                    <w:right w:val="single" w:color="auto" w:sz="4" w:space="0"/>
                  </w:tcBorders>
                  <w:vAlign w:val="center"/>
                </w:tcPr>
                <w:p>
                  <w:pPr>
                    <w:spacing w:line="0" w:lineRule="atLeast"/>
                    <w:jc w:val="center"/>
                    <w:rPr>
                      <w:rFonts w:ascii="Times New Roman" w:hAnsi="Times New Roman"/>
                      <w:sz w:val="21"/>
                      <w:szCs w:val="21"/>
                    </w:rPr>
                  </w:pPr>
                  <w:r>
                    <w:rPr>
                      <w:rFonts w:ascii="Times New Roman" w:hAnsi="Times New Roman"/>
                      <w:sz w:val="21"/>
                      <w:szCs w:val="21"/>
                    </w:rPr>
                    <w:t>规模、内容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00" w:hRule="atLeast"/>
              </w:trPr>
              <w:tc>
                <w:tcPr>
                  <w:tcW w:w="563" w:type="dxa"/>
                  <w:vMerge w:val="restart"/>
                  <w:tcBorders>
                    <w:top w:val="single" w:color="auto" w:sz="4" w:space="0"/>
                    <w:left w:val="single" w:color="auto" w:sz="4" w:space="0"/>
                    <w:right w:val="single" w:color="auto" w:sz="4" w:space="0"/>
                  </w:tcBorders>
                  <w:vAlign w:val="center"/>
                </w:tcPr>
                <w:p>
                  <w:pPr>
                    <w:spacing w:line="0" w:lineRule="atLeast"/>
                    <w:jc w:val="center"/>
                    <w:rPr>
                      <w:rFonts w:ascii="Times New Roman" w:hAnsi="Times New Roman"/>
                      <w:b/>
                      <w:sz w:val="21"/>
                      <w:szCs w:val="21"/>
                    </w:rPr>
                  </w:pPr>
                  <w:r>
                    <w:rPr>
                      <w:rFonts w:ascii="Times New Roman" w:hAnsi="Times New Roman"/>
                      <w:b/>
                      <w:sz w:val="21"/>
                      <w:szCs w:val="21"/>
                    </w:rPr>
                    <w:t>主体工程</w:t>
                  </w:r>
                </w:p>
              </w:tc>
              <w:tc>
                <w:tcPr>
                  <w:tcW w:w="1617" w:type="dxa"/>
                  <w:tcBorders>
                    <w:left w:val="single" w:color="auto" w:sz="4" w:space="0"/>
                    <w:right w:val="single" w:color="auto" w:sz="4" w:space="0"/>
                  </w:tcBorders>
                </w:tcPr>
                <w:p>
                  <w:pPr>
                    <w:pStyle w:val="22"/>
                    <w:rPr>
                      <w:szCs w:val="21"/>
                    </w:rPr>
                  </w:pPr>
                  <w:r>
                    <w:rPr>
                      <w:rFonts w:hint="eastAsia"/>
                      <w:szCs w:val="21"/>
                    </w:rPr>
                    <w:t>印刷车间</w:t>
                  </w:r>
                </w:p>
              </w:tc>
              <w:tc>
                <w:tcPr>
                  <w:tcW w:w="7512" w:type="dxa"/>
                  <w:tcBorders>
                    <w:top w:val="single" w:color="auto" w:sz="4" w:space="0"/>
                    <w:left w:val="single" w:color="auto" w:sz="4" w:space="0"/>
                    <w:bottom w:val="single" w:color="auto" w:sz="4" w:space="0"/>
                    <w:right w:val="single" w:color="auto" w:sz="4" w:space="0"/>
                  </w:tcBorders>
                </w:tcPr>
                <w:p>
                  <w:pPr>
                    <w:pStyle w:val="22"/>
                    <w:jc w:val="left"/>
                    <w:rPr>
                      <w:bCs w:val="0"/>
                      <w:kern w:val="36"/>
                      <w:szCs w:val="21"/>
                    </w:rPr>
                  </w:pPr>
                  <w:r>
                    <w:rPr>
                      <w:szCs w:val="21"/>
                    </w:rPr>
                    <w:t>一层，</w:t>
                  </w:r>
                  <w:r>
                    <w:rPr>
                      <w:bCs w:val="0"/>
                      <w:kern w:val="36"/>
                      <w:szCs w:val="21"/>
                    </w:rPr>
                    <w:t>建筑面积</w:t>
                  </w:r>
                  <w:r>
                    <w:rPr>
                      <w:rFonts w:hint="eastAsia"/>
                      <w:bCs w:val="0"/>
                      <w:kern w:val="36"/>
                      <w:szCs w:val="21"/>
                    </w:rPr>
                    <w:t>约150</w:t>
                  </w:r>
                  <w:r>
                    <w:rPr>
                      <w:bCs w:val="0"/>
                      <w:kern w:val="36"/>
                      <w:szCs w:val="21"/>
                    </w:rPr>
                    <w:t>0m</w:t>
                  </w:r>
                  <w:r>
                    <w:rPr>
                      <w:bCs w:val="0"/>
                      <w:kern w:val="36"/>
                      <w:szCs w:val="21"/>
                      <w:vertAlign w:val="superscript"/>
                    </w:rPr>
                    <w:t>2</w:t>
                  </w:r>
                  <w:r>
                    <w:rPr>
                      <w:bCs w:val="0"/>
                      <w:kern w:val="36"/>
                      <w:szCs w:val="21"/>
                    </w:rPr>
                    <w:t>，包括原料存放区、印刷区、成品存放区等，在此车间进行</w:t>
                  </w:r>
                  <w:r>
                    <w:rPr>
                      <w:rFonts w:hint="eastAsia"/>
                      <w:bCs w:val="0"/>
                      <w:kern w:val="36"/>
                      <w:szCs w:val="21"/>
                    </w:rPr>
                    <w:t>充气桨板标签</w:t>
                  </w:r>
                  <w:r>
                    <w:rPr>
                      <w:bCs w:val="0"/>
                      <w:kern w:val="36"/>
                      <w:szCs w:val="21"/>
                    </w:rPr>
                    <w:t>印刷作业。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00" w:hRule="atLeast"/>
              </w:trPr>
              <w:tc>
                <w:tcPr>
                  <w:tcW w:w="563" w:type="dxa"/>
                  <w:vMerge w:val="continue"/>
                  <w:tcBorders>
                    <w:left w:val="single" w:color="auto" w:sz="4" w:space="0"/>
                    <w:right w:val="single" w:color="auto" w:sz="4" w:space="0"/>
                  </w:tcBorders>
                  <w:vAlign w:val="center"/>
                </w:tcPr>
                <w:p>
                  <w:pPr>
                    <w:spacing w:line="0" w:lineRule="atLeast"/>
                    <w:jc w:val="center"/>
                    <w:rPr>
                      <w:rFonts w:ascii="Times New Roman" w:hAnsi="Times New Roman"/>
                      <w:b/>
                      <w:sz w:val="21"/>
                      <w:szCs w:val="21"/>
                    </w:rPr>
                  </w:pPr>
                </w:p>
              </w:tc>
              <w:tc>
                <w:tcPr>
                  <w:tcW w:w="1617" w:type="dxa"/>
                  <w:tcBorders>
                    <w:left w:val="single" w:color="auto" w:sz="4" w:space="0"/>
                    <w:right w:val="single" w:color="auto" w:sz="4" w:space="0"/>
                  </w:tcBorders>
                </w:tcPr>
                <w:p>
                  <w:pPr>
                    <w:pStyle w:val="22"/>
                    <w:rPr>
                      <w:szCs w:val="21"/>
                    </w:rPr>
                  </w:pPr>
                  <w:r>
                    <w:rPr>
                      <w:rFonts w:hint="eastAsia"/>
                      <w:szCs w:val="21"/>
                    </w:rPr>
                    <w:t>制版间</w:t>
                  </w:r>
                </w:p>
              </w:tc>
              <w:tc>
                <w:tcPr>
                  <w:tcW w:w="7512" w:type="dxa"/>
                  <w:tcBorders>
                    <w:top w:val="single" w:color="auto" w:sz="4" w:space="0"/>
                    <w:left w:val="single" w:color="auto" w:sz="4" w:space="0"/>
                    <w:bottom w:val="single" w:color="auto" w:sz="4" w:space="0"/>
                    <w:right w:val="single" w:color="auto" w:sz="4" w:space="0"/>
                  </w:tcBorders>
                </w:tcPr>
                <w:p>
                  <w:pPr>
                    <w:pStyle w:val="22"/>
                    <w:jc w:val="left"/>
                    <w:rPr>
                      <w:bCs w:val="0"/>
                      <w:kern w:val="36"/>
                      <w:szCs w:val="21"/>
                    </w:rPr>
                  </w:pPr>
                  <w:r>
                    <w:rPr>
                      <w:szCs w:val="21"/>
                    </w:rPr>
                    <w:t>一层</w:t>
                  </w:r>
                  <w:r>
                    <w:rPr>
                      <w:rFonts w:hint="eastAsia"/>
                      <w:bCs w:val="0"/>
                      <w:kern w:val="36"/>
                      <w:szCs w:val="21"/>
                    </w:rPr>
                    <w:t>，</w:t>
                  </w:r>
                  <w:r>
                    <w:rPr>
                      <w:bCs w:val="0"/>
                      <w:kern w:val="36"/>
                      <w:szCs w:val="21"/>
                    </w:rPr>
                    <w:t>建筑面积</w:t>
                  </w:r>
                  <w:r>
                    <w:rPr>
                      <w:rFonts w:hint="eastAsia"/>
                      <w:bCs w:val="0"/>
                      <w:kern w:val="36"/>
                      <w:szCs w:val="21"/>
                    </w:rPr>
                    <w:t>约10</w:t>
                  </w:r>
                  <w:r>
                    <w:rPr>
                      <w:bCs w:val="0"/>
                      <w:kern w:val="36"/>
                      <w:szCs w:val="21"/>
                    </w:rPr>
                    <w:t>0m</w:t>
                  </w:r>
                  <w:r>
                    <w:rPr>
                      <w:bCs w:val="0"/>
                      <w:kern w:val="36"/>
                      <w:szCs w:val="21"/>
                      <w:vertAlign w:val="superscript"/>
                    </w:rPr>
                    <w:t>2</w:t>
                  </w:r>
                  <w:r>
                    <w:rPr>
                      <w:bCs w:val="0"/>
                      <w:kern w:val="36"/>
                      <w:szCs w:val="21"/>
                    </w:rPr>
                    <w:t>，</w:t>
                  </w:r>
                  <w:r>
                    <w:rPr>
                      <w:rFonts w:hint="eastAsia"/>
                      <w:bCs w:val="0"/>
                      <w:kern w:val="36"/>
                      <w:szCs w:val="21"/>
                    </w:rPr>
                    <w:t>主要</w:t>
                  </w:r>
                  <w:r>
                    <w:rPr>
                      <w:bCs w:val="0"/>
                      <w:kern w:val="36"/>
                      <w:szCs w:val="21"/>
                    </w:rPr>
                    <w:t>进行</w:t>
                  </w:r>
                  <w:r>
                    <w:rPr>
                      <w:rFonts w:hint="eastAsia"/>
                      <w:bCs w:val="0"/>
                      <w:kern w:val="36"/>
                      <w:szCs w:val="21"/>
                    </w:rPr>
                    <w:t>制版</w:t>
                  </w:r>
                  <w:r>
                    <w:rPr>
                      <w:bCs w:val="0"/>
                      <w:kern w:val="36"/>
                      <w:szCs w:val="21"/>
                    </w:rPr>
                    <w:t>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03" w:hRule="atLeast"/>
              </w:trPr>
              <w:tc>
                <w:tcPr>
                  <w:tcW w:w="563" w:type="dxa"/>
                  <w:vMerge w:val="restart"/>
                  <w:tcBorders>
                    <w:top w:val="single" w:color="auto" w:sz="4" w:space="0"/>
                    <w:left w:val="single" w:color="auto" w:sz="4" w:space="0"/>
                    <w:right w:val="single" w:color="auto" w:sz="4" w:space="0"/>
                  </w:tcBorders>
                  <w:vAlign w:val="center"/>
                </w:tcPr>
                <w:p>
                  <w:pPr>
                    <w:spacing w:line="0" w:lineRule="atLeast"/>
                    <w:jc w:val="center"/>
                    <w:rPr>
                      <w:rFonts w:ascii="Times New Roman" w:hAnsi="Times New Roman"/>
                      <w:b/>
                      <w:sz w:val="21"/>
                      <w:szCs w:val="21"/>
                    </w:rPr>
                  </w:pPr>
                  <w:r>
                    <w:rPr>
                      <w:rFonts w:ascii="Times New Roman" w:hAnsi="Times New Roman"/>
                      <w:b/>
                      <w:sz w:val="21"/>
                      <w:szCs w:val="21"/>
                    </w:rPr>
                    <w:t>辅助工程</w:t>
                  </w:r>
                </w:p>
              </w:tc>
              <w:tc>
                <w:tcPr>
                  <w:tcW w:w="1617" w:type="dxa"/>
                  <w:tcBorders>
                    <w:top w:val="single" w:color="auto" w:sz="4" w:space="0"/>
                    <w:left w:val="single" w:color="auto" w:sz="4" w:space="0"/>
                    <w:bottom w:val="single" w:color="auto" w:sz="4" w:space="0"/>
                    <w:right w:val="single" w:color="auto" w:sz="4" w:space="0"/>
                  </w:tcBorders>
                </w:tcPr>
                <w:p>
                  <w:pPr>
                    <w:spacing w:line="0" w:lineRule="atLeast"/>
                    <w:jc w:val="center"/>
                    <w:rPr>
                      <w:rFonts w:ascii="Times New Roman" w:hAnsi="Times New Roman"/>
                      <w:sz w:val="21"/>
                      <w:szCs w:val="21"/>
                    </w:rPr>
                  </w:pPr>
                  <w:r>
                    <w:rPr>
                      <w:rFonts w:hint="eastAsia" w:ascii="Times New Roman" w:hAnsi="Times New Roman"/>
                      <w:sz w:val="21"/>
                      <w:szCs w:val="21"/>
                    </w:rPr>
                    <w:t>一般固废暂存间</w:t>
                  </w:r>
                </w:p>
              </w:tc>
              <w:tc>
                <w:tcPr>
                  <w:tcW w:w="7512" w:type="dxa"/>
                  <w:tcBorders>
                    <w:top w:val="single" w:color="auto" w:sz="4" w:space="0"/>
                    <w:left w:val="single" w:color="auto" w:sz="4" w:space="0"/>
                    <w:bottom w:val="single" w:color="auto" w:sz="4" w:space="0"/>
                    <w:right w:val="single" w:color="auto" w:sz="4" w:space="0"/>
                  </w:tcBorders>
                </w:tcPr>
                <w:p>
                  <w:pPr>
                    <w:pStyle w:val="22"/>
                    <w:jc w:val="left"/>
                    <w:rPr>
                      <w:bCs w:val="0"/>
                      <w:kern w:val="36"/>
                      <w:szCs w:val="21"/>
                    </w:rPr>
                  </w:pPr>
                  <w:r>
                    <w:rPr>
                      <w:rFonts w:hint="eastAsia"/>
                      <w:bCs w:val="0"/>
                      <w:kern w:val="36"/>
                      <w:szCs w:val="21"/>
                    </w:rPr>
                    <w:t>依托现有工程，</w:t>
                  </w:r>
                  <w:r>
                    <w:rPr>
                      <w:bCs w:val="0"/>
                      <w:kern w:val="36"/>
                      <w:szCs w:val="21"/>
                    </w:rPr>
                    <w:t>建筑面积</w:t>
                  </w:r>
                  <w:r>
                    <w:rPr>
                      <w:rFonts w:hint="eastAsia"/>
                      <w:bCs w:val="0"/>
                      <w:kern w:val="36"/>
                      <w:szCs w:val="21"/>
                    </w:rPr>
                    <w:t>约</w:t>
                  </w:r>
                  <w:r>
                    <w:rPr>
                      <w:bCs w:val="0"/>
                      <w:kern w:val="36"/>
                      <w:szCs w:val="21"/>
                    </w:rPr>
                    <w:t>20m</w:t>
                  </w:r>
                  <w:r>
                    <w:rPr>
                      <w:bCs w:val="0"/>
                      <w:kern w:val="36"/>
                      <w:szCs w:val="21"/>
                      <w:vertAlign w:val="superscript"/>
                    </w:rPr>
                    <w:t>2</w:t>
                  </w:r>
                  <w:r>
                    <w:rPr>
                      <w:bCs w:val="0"/>
                      <w:kern w:val="36"/>
                      <w:szCs w:val="21"/>
                    </w:rPr>
                    <w:t>，主要用于</w:t>
                  </w:r>
                  <w:r>
                    <w:rPr>
                      <w:rFonts w:hint="eastAsia"/>
                      <w:bCs w:val="0"/>
                      <w:kern w:val="36"/>
                      <w:szCs w:val="21"/>
                    </w:rPr>
                    <w:t>一般固废存放。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49" w:hRule="atLeast"/>
              </w:trPr>
              <w:tc>
                <w:tcPr>
                  <w:tcW w:w="563" w:type="dxa"/>
                  <w:vMerge w:val="continue"/>
                  <w:tcBorders>
                    <w:left w:val="single" w:color="auto" w:sz="4" w:space="0"/>
                    <w:right w:val="single" w:color="auto" w:sz="4" w:space="0"/>
                  </w:tcBorders>
                  <w:vAlign w:val="center"/>
                </w:tcPr>
                <w:p>
                  <w:pPr>
                    <w:spacing w:line="0" w:lineRule="atLeast"/>
                    <w:jc w:val="center"/>
                    <w:rPr>
                      <w:rFonts w:ascii="Times New Roman" w:hAnsi="Times New Roman"/>
                      <w:b/>
                      <w:sz w:val="21"/>
                      <w:szCs w:val="21"/>
                    </w:rPr>
                  </w:pPr>
                </w:p>
              </w:tc>
              <w:tc>
                <w:tcPr>
                  <w:tcW w:w="1617" w:type="dxa"/>
                  <w:tcBorders>
                    <w:top w:val="single" w:color="auto" w:sz="4" w:space="0"/>
                    <w:left w:val="single" w:color="auto" w:sz="4" w:space="0"/>
                    <w:bottom w:val="single" w:color="auto" w:sz="4" w:space="0"/>
                    <w:right w:val="single" w:color="auto" w:sz="4" w:space="0"/>
                  </w:tcBorders>
                </w:tcPr>
                <w:p>
                  <w:pPr>
                    <w:spacing w:line="0" w:lineRule="atLeast"/>
                    <w:jc w:val="center"/>
                    <w:rPr>
                      <w:rFonts w:ascii="Times New Roman" w:hAnsi="Times New Roman"/>
                      <w:sz w:val="21"/>
                      <w:szCs w:val="21"/>
                    </w:rPr>
                  </w:pPr>
                  <w:r>
                    <w:rPr>
                      <w:rFonts w:ascii="Times New Roman" w:hAnsi="Times New Roman"/>
                      <w:sz w:val="21"/>
                      <w:szCs w:val="21"/>
                    </w:rPr>
                    <w:t>危废</w:t>
                  </w:r>
                  <w:r>
                    <w:rPr>
                      <w:rFonts w:hint="eastAsia" w:ascii="Times New Roman" w:hAnsi="Times New Roman"/>
                      <w:sz w:val="21"/>
                      <w:szCs w:val="21"/>
                    </w:rPr>
                    <w:t>仓</w:t>
                  </w:r>
                  <w:r>
                    <w:rPr>
                      <w:rFonts w:ascii="Times New Roman" w:hAnsi="Times New Roman"/>
                      <w:sz w:val="21"/>
                      <w:szCs w:val="21"/>
                    </w:rPr>
                    <w:t>库</w:t>
                  </w:r>
                </w:p>
              </w:tc>
              <w:tc>
                <w:tcPr>
                  <w:tcW w:w="7512" w:type="dxa"/>
                  <w:tcBorders>
                    <w:top w:val="single" w:color="auto" w:sz="4" w:space="0"/>
                    <w:left w:val="single" w:color="auto" w:sz="4" w:space="0"/>
                    <w:bottom w:val="single" w:color="auto" w:sz="4" w:space="0"/>
                    <w:right w:val="single" w:color="auto" w:sz="4" w:space="0"/>
                  </w:tcBorders>
                </w:tcPr>
                <w:p>
                  <w:pPr>
                    <w:pStyle w:val="22"/>
                    <w:jc w:val="left"/>
                    <w:rPr>
                      <w:bCs w:val="0"/>
                      <w:kern w:val="36"/>
                      <w:szCs w:val="21"/>
                    </w:rPr>
                  </w:pPr>
                  <w:r>
                    <w:rPr>
                      <w:rFonts w:hint="eastAsia"/>
                      <w:bCs w:val="0"/>
                      <w:kern w:val="36"/>
                      <w:szCs w:val="21"/>
                    </w:rPr>
                    <w:t>依托现有工程，</w:t>
                  </w:r>
                  <w:r>
                    <w:rPr>
                      <w:bCs w:val="0"/>
                      <w:kern w:val="36"/>
                      <w:szCs w:val="21"/>
                    </w:rPr>
                    <w:t>建筑面积10 m</w:t>
                  </w:r>
                  <w:r>
                    <w:rPr>
                      <w:bCs w:val="0"/>
                      <w:kern w:val="36"/>
                      <w:szCs w:val="21"/>
                      <w:vertAlign w:val="superscript"/>
                    </w:rPr>
                    <w:t>2</w:t>
                  </w:r>
                  <w:r>
                    <w:rPr>
                      <w:bCs w:val="0"/>
                      <w:kern w:val="36"/>
                      <w:szCs w:val="21"/>
                    </w:rPr>
                    <w:t>，存放危险废物</w:t>
                  </w:r>
                  <w:r>
                    <w:rPr>
                      <w:rFonts w:hint="eastAsia"/>
                      <w:bCs w:val="0"/>
                      <w:kern w:val="36"/>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49" w:hRule="atLeast"/>
              </w:trPr>
              <w:tc>
                <w:tcPr>
                  <w:tcW w:w="563" w:type="dxa"/>
                  <w:vMerge w:val="restart"/>
                  <w:tcBorders>
                    <w:left w:val="single" w:color="auto" w:sz="4" w:space="0"/>
                    <w:right w:val="single" w:color="auto" w:sz="4" w:space="0"/>
                  </w:tcBorders>
                  <w:vAlign w:val="center"/>
                </w:tcPr>
                <w:p>
                  <w:pPr>
                    <w:spacing w:line="0" w:lineRule="atLeast"/>
                    <w:jc w:val="center"/>
                    <w:rPr>
                      <w:rFonts w:ascii="Times New Roman" w:hAnsi="Times New Roman"/>
                      <w:b/>
                      <w:sz w:val="21"/>
                      <w:szCs w:val="21"/>
                    </w:rPr>
                  </w:pPr>
                  <w:r>
                    <w:rPr>
                      <w:rFonts w:ascii="Times New Roman" w:hAnsi="Times New Roman"/>
                      <w:b/>
                      <w:sz w:val="21"/>
                      <w:szCs w:val="21"/>
                    </w:rPr>
                    <w:t>公用工程</w:t>
                  </w:r>
                </w:p>
              </w:tc>
              <w:tc>
                <w:tcPr>
                  <w:tcW w:w="1617" w:type="dxa"/>
                  <w:shd w:val="clear" w:color="auto" w:fill="auto"/>
                </w:tcPr>
                <w:p>
                  <w:pPr>
                    <w:jc w:val="center"/>
                    <w:rPr>
                      <w:rFonts w:ascii="Times New Roman" w:hAnsi="Times New Roman"/>
                      <w:sz w:val="21"/>
                      <w:szCs w:val="21"/>
                    </w:rPr>
                  </w:pPr>
                  <w:r>
                    <w:rPr>
                      <w:rFonts w:ascii="Times New Roman" w:hAnsi="Times New Roman"/>
                      <w:sz w:val="21"/>
                      <w:szCs w:val="21"/>
                    </w:rPr>
                    <w:t>供水工程</w:t>
                  </w:r>
                </w:p>
              </w:tc>
              <w:tc>
                <w:tcPr>
                  <w:tcW w:w="7512" w:type="dxa"/>
                  <w:shd w:val="clear" w:color="auto" w:fill="auto"/>
                </w:tcPr>
                <w:p>
                  <w:pPr>
                    <w:jc w:val="left"/>
                    <w:rPr>
                      <w:rFonts w:ascii="Times New Roman" w:hAnsi="Times New Roman"/>
                      <w:sz w:val="21"/>
                      <w:szCs w:val="21"/>
                    </w:rPr>
                  </w:pPr>
                  <w:r>
                    <w:rPr>
                      <w:rFonts w:ascii="Times New Roman" w:hAnsi="Times New Roman"/>
                      <w:sz w:val="21"/>
                      <w:szCs w:val="21"/>
                    </w:rPr>
                    <w:t>生活用水150t/a，</w:t>
                  </w:r>
                  <w:r>
                    <w:rPr>
                      <w:rFonts w:hint="eastAsia" w:ascii="Times New Roman" w:hAnsi="Times New Roman"/>
                      <w:sz w:val="21"/>
                      <w:szCs w:val="21"/>
                    </w:rPr>
                    <w:t>均</w:t>
                  </w:r>
                  <w:r>
                    <w:rPr>
                      <w:rFonts w:ascii="Times New Roman" w:hAnsi="Times New Roman"/>
                      <w:sz w:val="21"/>
                      <w:szCs w:val="21"/>
                    </w:rPr>
                    <w:t>由威海市水务集团有限公司提供。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49" w:hRule="atLeast"/>
              </w:trPr>
              <w:tc>
                <w:tcPr>
                  <w:tcW w:w="563" w:type="dxa"/>
                  <w:vMerge w:val="continue"/>
                  <w:tcBorders>
                    <w:left w:val="single" w:color="auto" w:sz="4" w:space="0"/>
                    <w:right w:val="single" w:color="auto" w:sz="4" w:space="0"/>
                  </w:tcBorders>
                  <w:vAlign w:val="center"/>
                </w:tcPr>
                <w:p>
                  <w:pPr>
                    <w:spacing w:line="0" w:lineRule="atLeast"/>
                    <w:jc w:val="center"/>
                    <w:rPr>
                      <w:rFonts w:ascii="Times New Roman" w:hAnsi="Times New Roman"/>
                      <w:b/>
                      <w:sz w:val="21"/>
                      <w:szCs w:val="21"/>
                    </w:rPr>
                  </w:pPr>
                </w:p>
              </w:tc>
              <w:tc>
                <w:tcPr>
                  <w:tcW w:w="1617" w:type="dxa"/>
                  <w:shd w:val="clear" w:color="auto" w:fill="auto"/>
                </w:tcPr>
                <w:p>
                  <w:pPr>
                    <w:jc w:val="center"/>
                    <w:rPr>
                      <w:rFonts w:ascii="Times New Roman" w:hAnsi="Times New Roman"/>
                      <w:sz w:val="21"/>
                      <w:szCs w:val="21"/>
                    </w:rPr>
                  </w:pPr>
                  <w:r>
                    <w:rPr>
                      <w:rFonts w:ascii="Times New Roman" w:hAnsi="Times New Roman"/>
                      <w:sz w:val="21"/>
                      <w:szCs w:val="21"/>
                    </w:rPr>
                    <w:t>排水工程</w:t>
                  </w:r>
                </w:p>
              </w:tc>
              <w:tc>
                <w:tcPr>
                  <w:tcW w:w="7512" w:type="dxa"/>
                  <w:shd w:val="clear" w:color="auto" w:fill="auto"/>
                </w:tcPr>
                <w:p>
                  <w:pPr>
                    <w:jc w:val="left"/>
                    <w:rPr>
                      <w:rFonts w:ascii="Times New Roman" w:hAnsi="Times New Roman"/>
                      <w:sz w:val="21"/>
                      <w:szCs w:val="21"/>
                    </w:rPr>
                  </w:pPr>
                  <w:r>
                    <w:rPr>
                      <w:rFonts w:ascii="Times New Roman" w:hAnsi="Times New Roman"/>
                      <w:sz w:val="21"/>
                      <w:szCs w:val="21"/>
                    </w:rPr>
                    <w:t>生活污水产生量120t/a，经市政污水管道排入</w:t>
                  </w:r>
                  <w:r>
                    <w:rPr>
                      <w:rFonts w:hint="eastAsia" w:ascii="Times New Roman" w:hAnsi="Times New Roman"/>
                      <w:sz w:val="21"/>
                      <w:szCs w:val="21"/>
                    </w:rPr>
                    <w:t>威海水务集团有限公司崮山污水处理厂</w:t>
                  </w:r>
                  <w:r>
                    <w:rPr>
                      <w:rFonts w:ascii="Times New Roman" w:hAnsi="Times New Roman"/>
                      <w:sz w:val="21"/>
                      <w:szCs w:val="21"/>
                    </w:rPr>
                    <w:t>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49" w:hRule="atLeast"/>
              </w:trPr>
              <w:tc>
                <w:tcPr>
                  <w:tcW w:w="563" w:type="dxa"/>
                  <w:vMerge w:val="continue"/>
                  <w:tcBorders>
                    <w:left w:val="single" w:color="auto" w:sz="4" w:space="0"/>
                    <w:right w:val="single" w:color="auto" w:sz="4" w:space="0"/>
                  </w:tcBorders>
                  <w:vAlign w:val="center"/>
                </w:tcPr>
                <w:p>
                  <w:pPr>
                    <w:spacing w:line="0" w:lineRule="atLeast"/>
                    <w:jc w:val="center"/>
                    <w:rPr>
                      <w:rFonts w:ascii="Times New Roman" w:hAnsi="Times New Roman"/>
                      <w:b/>
                      <w:sz w:val="21"/>
                      <w:szCs w:val="21"/>
                    </w:rPr>
                  </w:pPr>
                </w:p>
              </w:tc>
              <w:tc>
                <w:tcPr>
                  <w:tcW w:w="1617" w:type="dxa"/>
                  <w:shd w:val="clear" w:color="auto" w:fill="auto"/>
                </w:tcPr>
                <w:p>
                  <w:pPr>
                    <w:jc w:val="center"/>
                    <w:rPr>
                      <w:rFonts w:ascii="Times New Roman" w:hAnsi="Times New Roman"/>
                      <w:sz w:val="21"/>
                      <w:szCs w:val="21"/>
                    </w:rPr>
                  </w:pPr>
                  <w:r>
                    <w:rPr>
                      <w:rFonts w:ascii="Times New Roman" w:hAnsi="Times New Roman"/>
                      <w:sz w:val="21"/>
                      <w:szCs w:val="21"/>
                    </w:rPr>
                    <w:t>供电工程</w:t>
                  </w:r>
                </w:p>
              </w:tc>
              <w:tc>
                <w:tcPr>
                  <w:tcW w:w="7512" w:type="dxa"/>
                  <w:shd w:val="clear" w:color="auto" w:fill="auto"/>
                </w:tcPr>
                <w:p>
                  <w:pPr>
                    <w:jc w:val="left"/>
                    <w:rPr>
                      <w:rFonts w:ascii="Times New Roman" w:hAnsi="Times New Roman"/>
                      <w:sz w:val="21"/>
                      <w:szCs w:val="21"/>
                    </w:rPr>
                  </w:pPr>
                  <w:r>
                    <w:rPr>
                      <w:rFonts w:ascii="Times New Roman" w:hAnsi="Times New Roman"/>
                      <w:sz w:val="21"/>
                      <w:szCs w:val="21"/>
                    </w:rPr>
                    <w:t>由威海市供电公司提供，年用电量</w:t>
                  </w:r>
                  <w:r>
                    <w:rPr>
                      <w:rFonts w:hint="eastAsia" w:ascii="Times New Roman" w:hAnsi="Times New Roman"/>
                      <w:sz w:val="21"/>
                      <w:szCs w:val="21"/>
                    </w:rPr>
                    <w:t>5</w:t>
                  </w:r>
                  <w:r>
                    <w:rPr>
                      <w:rFonts w:ascii="Times New Roman" w:hAnsi="Times New Roman"/>
                      <w:sz w:val="21"/>
                      <w:szCs w:val="21"/>
                    </w:rPr>
                    <w:t>万kW</w:t>
                  </w:r>
                  <w:r>
                    <w:rPr>
                      <w:rFonts w:hint="eastAsia" w:ascii="Times New Roman" w:hAnsi="Times New Roman"/>
                      <w:sz w:val="21"/>
                      <w:szCs w:val="21"/>
                    </w:rPr>
                    <w:t>.</w:t>
                  </w:r>
                  <w:r>
                    <w:rPr>
                      <w:rFonts w:ascii="Times New Roman" w:hAnsi="Times New Roman"/>
                      <w:sz w:val="21"/>
                      <w:szCs w:val="21"/>
                    </w:rPr>
                    <w: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52" w:hRule="atLeast"/>
              </w:trPr>
              <w:tc>
                <w:tcPr>
                  <w:tcW w:w="563" w:type="dxa"/>
                  <w:vMerge w:val="restart"/>
                  <w:tcBorders>
                    <w:top w:val="single" w:color="auto" w:sz="4" w:space="0"/>
                    <w:left w:val="single" w:color="auto" w:sz="4" w:space="0"/>
                    <w:bottom w:val="single" w:color="auto" w:sz="4" w:space="0"/>
                    <w:right w:val="single" w:color="auto" w:sz="4" w:space="0"/>
                  </w:tcBorders>
                  <w:vAlign w:val="center"/>
                </w:tcPr>
                <w:p>
                  <w:pPr>
                    <w:spacing w:line="0" w:lineRule="atLeast"/>
                    <w:jc w:val="center"/>
                    <w:rPr>
                      <w:rFonts w:ascii="Times New Roman" w:hAnsi="Times New Roman"/>
                      <w:b/>
                      <w:color w:val="FF0000"/>
                      <w:sz w:val="21"/>
                      <w:szCs w:val="21"/>
                    </w:rPr>
                  </w:pPr>
                  <w:r>
                    <w:rPr>
                      <w:rFonts w:ascii="Times New Roman" w:hAnsi="Times New Roman"/>
                      <w:b/>
                      <w:sz w:val="21"/>
                      <w:szCs w:val="21"/>
                    </w:rPr>
                    <w:t>环保工程</w:t>
                  </w:r>
                </w:p>
              </w:tc>
              <w:tc>
                <w:tcPr>
                  <w:tcW w:w="1617" w:type="dxa"/>
                  <w:tcBorders>
                    <w:top w:val="single" w:color="auto" w:sz="4" w:space="0"/>
                    <w:left w:val="single" w:color="auto" w:sz="4" w:space="0"/>
                    <w:bottom w:val="single" w:color="auto" w:sz="4" w:space="0"/>
                    <w:right w:val="single" w:color="auto" w:sz="4" w:space="0"/>
                  </w:tcBorders>
                  <w:vAlign w:val="center"/>
                </w:tcPr>
                <w:p>
                  <w:pPr>
                    <w:spacing w:line="0" w:lineRule="atLeast"/>
                    <w:jc w:val="center"/>
                    <w:rPr>
                      <w:rFonts w:ascii="Times New Roman" w:hAnsi="Times New Roman"/>
                      <w:sz w:val="21"/>
                      <w:szCs w:val="21"/>
                    </w:rPr>
                  </w:pPr>
                  <w:r>
                    <w:rPr>
                      <w:rFonts w:ascii="Times New Roman" w:hAnsi="Times New Roman"/>
                      <w:sz w:val="21"/>
                      <w:szCs w:val="21"/>
                    </w:rPr>
                    <w:t>废水治理工程</w:t>
                  </w:r>
                </w:p>
              </w:tc>
              <w:tc>
                <w:tcPr>
                  <w:tcW w:w="7512" w:type="dxa"/>
                  <w:tcBorders>
                    <w:top w:val="single" w:color="auto" w:sz="4" w:space="0"/>
                    <w:left w:val="single" w:color="auto" w:sz="4" w:space="0"/>
                    <w:bottom w:val="single" w:color="auto" w:sz="4" w:space="0"/>
                    <w:right w:val="single" w:color="auto" w:sz="4" w:space="0"/>
                  </w:tcBorders>
                  <w:vAlign w:val="center"/>
                </w:tcPr>
                <w:p>
                  <w:pPr>
                    <w:pStyle w:val="22"/>
                    <w:ind w:firstLine="420" w:firstLineChars="200"/>
                    <w:jc w:val="left"/>
                  </w:pPr>
                  <w:r>
                    <w:rPr>
                      <w:rFonts w:hint="eastAsia"/>
                      <w:szCs w:val="21"/>
                    </w:rPr>
                    <w:t>项</w:t>
                  </w:r>
                  <w:r>
                    <w:rPr>
                      <w:szCs w:val="21"/>
                    </w:rPr>
                    <w:t>目废水主要是生活污水</w:t>
                  </w:r>
                  <w:r>
                    <w:rPr>
                      <w:rFonts w:hint="eastAsia"/>
                      <w:szCs w:val="21"/>
                    </w:rPr>
                    <w:t>，生活污水</w:t>
                  </w:r>
                  <w:r>
                    <w:rPr>
                      <w:szCs w:val="21"/>
                    </w:rPr>
                    <w:t>经市政污水管网排放至威海水务集团有限公司</w:t>
                  </w:r>
                  <w:r>
                    <w:rPr>
                      <w:rFonts w:hint="eastAsia"/>
                      <w:szCs w:val="21"/>
                    </w:rPr>
                    <w:t>崮山污水处理厂</w:t>
                  </w:r>
                  <w:r>
                    <w:rPr>
                      <w:szCs w:val="21"/>
                    </w:rPr>
                    <w:t>进行处理，处理达标后排海</w:t>
                  </w:r>
                  <w:r>
                    <w:rPr>
                      <w:rFonts w:hint="eastAsia"/>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784" w:hRule="atLeast"/>
              </w:trPr>
              <w:tc>
                <w:tcPr>
                  <w:tcW w:w="563" w:type="dxa"/>
                  <w:vMerge w:val="continue"/>
                  <w:tcBorders>
                    <w:top w:val="single" w:color="auto" w:sz="4" w:space="0"/>
                    <w:left w:val="single" w:color="auto" w:sz="4" w:space="0"/>
                    <w:bottom w:val="single" w:color="auto" w:sz="4" w:space="0"/>
                    <w:right w:val="single" w:color="auto" w:sz="4" w:space="0"/>
                  </w:tcBorders>
                  <w:vAlign w:val="center"/>
                </w:tcPr>
                <w:p>
                  <w:pPr>
                    <w:spacing w:line="0" w:lineRule="atLeast"/>
                    <w:jc w:val="center"/>
                    <w:rPr>
                      <w:rFonts w:ascii="Times New Roman" w:hAnsi="Times New Roman"/>
                      <w:b/>
                      <w:color w:val="FF0000"/>
                      <w:sz w:val="21"/>
                      <w:szCs w:val="21"/>
                    </w:rPr>
                  </w:pPr>
                </w:p>
              </w:tc>
              <w:tc>
                <w:tcPr>
                  <w:tcW w:w="1617" w:type="dxa"/>
                  <w:tcBorders>
                    <w:top w:val="single" w:color="auto" w:sz="4" w:space="0"/>
                    <w:left w:val="single" w:color="auto" w:sz="4" w:space="0"/>
                    <w:bottom w:val="single" w:color="auto" w:sz="4" w:space="0"/>
                    <w:right w:val="single" w:color="auto" w:sz="4" w:space="0"/>
                  </w:tcBorders>
                  <w:vAlign w:val="center"/>
                </w:tcPr>
                <w:p>
                  <w:pPr>
                    <w:spacing w:line="0" w:lineRule="atLeast"/>
                    <w:jc w:val="center"/>
                    <w:rPr>
                      <w:rFonts w:ascii="Times New Roman" w:hAnsi="Times New Roman"/>
                      <w:sz w:val="21"/>
                      <w:szCs w:val="21"/>
                    </w:rPr>
                  </w:pPr>
                  <w:r>
                    <w:rPr>
                      <w:rFonts w:ascii="Times New Roman" w:hAnsi="Times New Roman"/>
                      <w:sz w:val="21"/>
                      <w:szCs w:val="21"/>
                    </w:rPr>
                    <w:t>废气治理工程</w:t>
                  </w:r>
                </w:p>
              </w:tc>
              <w:tc>
                <w:tcPr>
                  <w:tcW w:w="7512" w:type="dxa"/>
                  <w:tcBorders>
                    <w:top w:val="single" w:color="auto" w:sz="4" w:space="0"/>
                    <w:left w:val="single" w:color="auto" w:sz="4" w:space="0"/>
                    <w:bottom w:val="single" w:color="auto" w:sz="4" w:space="0"/>
                    <w:right w:val="single" w:color="auto" w:sz="4" w:space="0"/>
                  </w:tcBorders>
                  <w:vAlign w:val="center"/>
                </w:tcPr>
                <w:p>
                  <w:pPr>
                    <w:pStyle w:val="22"/>
                    <w:ind w:firstLine="420" w:firstLineChars="200"/>
                    <w:jc w:val="left"/>
                    <w:rPr>
                      <w:szCs w:val="21"/>
                    </w:rPr>
                  </w:pPr>
                  <w:r>
                    <w:rPr>
                      <w:szCs w:val="21"/>
                    </w:rPr>
                    <w:t>项目无食堂，无生活废气，项目</w:t>
                  </w:r>
                  <w:r>
                    <w:rPr>
                      <w:bCs w:val="0"/>
                      <w:kern w:val="2"/>
                      <w:szCs w:val="21"/>
                    </w:rPr>
                    <w:t>印刷过程中产生的VOC</w:t>
                  </w:r>
                  <w:r>
                    <w:rPr>
                      <w:bCs w:val="0"/>
                      <w:kern w:val="2"/>
                      <w:szCs w:val="21"/>
                      <w:vertAlign w:val="subscript"/>
                    </w:rPr>
                    <w:t>s</w:t>
                  </w:r>
                  <w:r>
                    <w:rPr>
                      <w:bCs w:val="0"/>
                      <w:kern w:val="2"/>
                      <w:szCs w:val="21"/>
                    </w:rPr>
                    <w:t>，印刷废气由设备上方的集气罩进行收集，收集的VOC</w:t>
                  </w:r>
                  <w:r>
                    <w:rPr>
                      <w:bCs w:val="0"/>
                      <w:kern w:val="2"/>
                      <w:szCs w:val="21"/>
                      <w:vertAlign w:val="subscript"/>
                    </w:rPr>
                    <w:t>s</w:t>
                  </w:r>
                  <w:r>
                    <w:rPr>
                      <w:bCs w:val="0"/>
                      <w:kern w:val="2"/>
                      <w:szCs w:val="21"/>
                    </w:rPr>
                    <w:t>经过“</w:t>
                  </w:r>
                  <w:r>
                    <w:rPr>
                      <w:rFonts w:hint="eastAsia"/>
                      <w:szCs w:val="21"/>
                    </w:rPr>
                    <w:t>活性炭吸附+催化燃烧装</w:t>
                  </w:r>
                  <w:r>
                    <w:rPr>
                      <w:szCs w:val="21"/>
                    </w:rPr>
                    <w:t>置</w:t>
                  </w:r>
                  <w:r>
                    <w:rPr>
                      <w:bCs w:val="0"/>
                      <w:kern w:val="2"/>
                      <w:szCs w:val="21"/>
                    </w:rPr>
                    <w:t>”装置处理后，通过</w:t>
                  </w:r>
                  <w:r>
                    <w:rPr>
                      <w:rFonts w:hint="eastAsia"/>
                      <w:bCs w:val="0"/>
                      <w:kern w:val="2"/>
                      <w:szCs w:val="21"/>
                    </w:rPr>
                    <w:t>15m高排气筒</w:t>
                  </w:r>
                  <w:r>
                    <w:rPr>
                      <w:bCs w:val="0"/>
                      <w:kern w:val="2"/>
                      <w:szCs w:val="21"/>
                    </w:rPr>
                    <w:t>排放</w:t>
                  </w:r>
                  <w:r>
                    <w:rPr>
                      <w:rFonts w:hint="eastAsia"/>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811" w:hRule="atLeast"/>
              </w:trPr>
              <w:tc>
                <w:tcPr>
                  <w:tcW w:w="56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eastAsiaTheme="minorEastAsia"/>
                      <w:b/>
                      <w:color w:val="FF0000"/>
                      <w:sz w:val="21"/>
                      <w:szCs w:val="21"/>
                    </w:rPr>
                  </w:pPr>
                </w:p>
              </w:tc>
              <w:tc>
                <w:tcPr>
                  <w:tcW w:w="1617"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sz w:val="21"/>
                      <w:szCs w:val="21"/>
                    </w:rPr>
                  </w:pPr>
                  <w:r>
                    <w:rPr>
                      <w:rFonts w:ascii="Times New Roman" w:hAnsi="Times New Roman"/>
                      <w:sz w:val="21"/>
                      <w:szCs w:val="21"/>
                    </w:rPr>
                    <w:t>固体废物处置及措施</w:t>
                  </w:r>
                </w:p>
              </w:tc>
              <w:tc>
                <w:tcPr>
                  <w:tcW w:w="7512" w:type="dxa"/>
                  <w:tcBorders>
                    <w:top w:val="single" w:color="auto" w:sz="4" w:space="0"/>
                    <w:left w:val="single" w:color="auto" w:sz="4" w:space="0"/>
                    <w:bottom w:val="single" w:color="auto" w:sz="4" w:space="0"/>
                    <w:right w:val="single" w:color="auto" w:sz="4" w:space="0"/>
                  </w:tcBorders>
                  <w:vAlign w:val="center"/>
                </w:tcPr>
                <w:p>
                  <w:pPr>
                    <w:spacing w:line="0" w:lineRule="atLeast"/>
                    <w:ind w:firstLine="420" w:firstLineChars="200"/>
                    <w:jc w:val="left"/>
                    <w:rPr>
                      <w:rFonts w:ascii="Times New Roman" w:hAnsi="Times New Roman"/>
                      <w:sz w:val="21"/>
                      <w:szCs w:val="21"/>
                    </w:rPr>
                  </w:pPr>
                  <w:r>
                    <w:rPr>
                      <w:rFonts w:ascii="Times New Roman" w:hAnsi="Times New Roman"/>
                      <w:sz w:val="21"/>
                      <w:szCs w:val="21"/>
                    </w:rPr>
                    <w:t>生活垃圾由环卫部门清运到垃圾场进行无害化处理；</w:t>
                  </w:r>
                  <w:r>
                    <w:rPr>
                      <w:rFonts w:hint="eastAsia" w:ascii="Times New Roman" w:hAnsi="Times New Roman"/>
                      <w:sz w:val="21"/>
                      <w:szCs w:val="21"/>
                    </w:rPr>
                    <w:t>下脚料外售回收单位</w:t>
                  </w:r>
                  <w:r>
                    <w:rPr>
                      <w:rFonts w:ascii="Times New Roman" w:hAnsi="Times New Roman"/>
                      <w:sz w:val="21"/>
                      <w:szCs w:val="21"/>
                    </w:rPr>
                    <w:t>；</w:t>
                  </w:r>
                  <w:r>
                    <w:rPr>
                      <w:rFonts w:hint="eastAsia" w:ascii="Times New Roman" w:hAnsi="Times New Roman"/>
                      <w:sz w:val="21"/>
                      <w:szCs w:val="21"/>
                    </w:rPr>
                    <w:t>废油墨盒、</w:t>
                  </w:r>
                  <w:r>
                    <w:rPr>
                      <w:rFonts w:ascii="Times New Roman" w:hAnsi="Times New Roman"/>
                      <w:sz w:val="21"/>
                      <w:szCs w:val="21"/>
                    </w:rPr>
                    <w:t>废活性炭</w:t>
                  </w:r>
                  <w:r>
                    <w:rPr>
                      <w:rFonts w:hint="eastAsia" w:ascii="Times New Roman" w:hAnsi="Times New Roman"/>
                      <w:sz w:val="21"/>
                      <w:szCs w:val="21"/>
                    </w:rPr>
                    <w:t>、</w:t>
                  </w:r>
                  <w:r>
                    <w:rPr>
                      <w:rFonts w:ascii="Times New Roman" w:hAnsi="Times New Roman"/>
                      <w:color w:val="0000FF"/>
                      <w:sz w:val="21"/>
                      <w:szCs w:val="21"/>
                    </w:rPr>
                    <w:t>废催化剂</w:t>
                  </w:r>
                  <w:r>
                    <w:rPr>
                      <w:rFonts w:ascii="Times New Roman" w:hAnsi="Times New Roman"/>
                      <w:sz w:val="21"/>
                      <w:szCs w:val="21"/>
                    </w:rPr>
                    <w:t>属于危险废物，由具有危险废物收集、运输、贮存、转运资质的专业单位负责转运处置</w:t>
                  </w:r>
                  <w:r>
                    <w:rPr>
                      <w:rFonts w:hint="eastAsia"/>
                      <w:kern w:val="0"/>
                      <w:sz w:val="21"/>
                      <w:szCs w:val="21"/>
                    </w:rPr>
                    <w:t>；</w:t>
                  </w:r>
                  <w:r>
                    <w:rPr>
                      <w:rFonts w:hint="eastAsia"/>
                      <w:color w:val="000000" w:themeColor="text1"/>
                      <w:kern w:val="0"/>
                      <w:sz w:val="21"/>
                      <w:szCs w:val="21"/>
                      <w14:textFill>
                        <w14:solidFill>
                          <w14:schemeClr w14:val="tx1"/>
                        </w14:solidFill>
                      </w14:textFill>
                    </w:rPr>
                    <w:t>废抹布随生活垃圾一同收集，由环卫部门清运处理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65" w:hRule="atLeast"/>
              </w:trPr>
              <w:tc>
                <w:tcPr>
                  <w:tcW w:w="56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eastAsiaTheme="minorEastAsia"/>
                      <w:b/>
                      <w:color w:val="FF0000"/>
                      <w:sz w:val="21"/>
                      <w:szCs w:val="21"/>
                    </w:rPr>
                  </w:pPr>
                </w:p>
              </w:tc>
              <w:tc>
                <w:tcPr>
                  <w:tcW w:w="1617" w:type="dxa"/>
                  <w:tcBorders>
                    <w:top w:val="single" w:color="auto" w:sz="4" w:space="0"/>
                    <w:left w:val="single" w:color="auto" w:sz="4" w:space="0"/>
                    <w:bottom w:val="single" w:color="auto" w:sz="4" w:space="0"/>
                    <w:right w:val="single" w:color="auto" w:sz="4" w:space="0"/>
                  </w:tcBorders>
                  <w:vAlign w:val="center"/>
                </w:tcPr>
                <w:p>
                  <w:pPr>
                    <w:spacing w:line="0" w:lineRule="atLeast"/>
                    <w:jc w:val="center"/>
                    <w:rPr>
                      <w:rFonts w:ascii="Times New Roman" w:hAnsi="Times New Roman"/>
                      <w:sz w:val="21"/>
                      <w:szCs w:val="21"/>
                    </w:rPr>
                  </w:pPr>
                  <w:r>
                    <w:rPr>
                      <w:rFonts w:ascii="Times New Roman" w:hAnsi="Times New Roman"/>
                      <w:sz w:val="21"/>
                      <w:szCs w:val="21"/>
                    </w:rPr>
                    <w:t>噪声治理措施</w:t>
                  </w:r>
                </w:p>
              </w:tc>
              <w:tc>
                <w:tcPr>
                  <w:tcW w:w="7512" w:type="dxa"/>
                  <w:tcBorders>
                    <w:top w:val="single" w:color="auto" w:sz="4" w:space="0"/>
                    <w:left w:val="single" w:color="auto" w:sz="4" w:space="0"/>
                    <w:bottom w:val="single" w:color="auto" w:sz="4" w:space="0"/>
                    <w:right w:val="single" w:color="auto" w:sz="4" w:space="0"/>
                  </w:tcBorders>
                  <w:vAlign w:val="center"/>
                </w:tcPr>
                <w:p>
                  <w:pPr>
                    <w:spacing w:line="0" w:lineRule="atLeast"/>
                    <w:ind w:firstLine="420" w:firstLineChars="200"/>
                    <w:jc w:val="left"/>
                    <w:rPr>
                      <w:rFonts w:ascii="Times New Roman" w:hAnsi="Times New Roman"/>
                      <w:sz w:val="21"/>
                      <w:szCs w:val="21"/>
                    </w:rPr>
                  </w:pPr>
                  <w:r>
                    <w:rPr>
                      <w:rFonts w:ascii="Times New Roman" w:hAnsi="Times New Roman"/>
                      <w:sz w:val="21"/>
                      <w:szCs w:val="21"/>
                    </w:rPr>
                    <w:t>项目噪声主要是</w:t>
                  </w:r>
                  <w:r>
                    <w:rPr>
                      <w:rFonts w:hint="eastAsia" w:ascii="Times New Roman" w:hAnsi="Times New Roman"/>
                      <w:sz w:val="21"/>
                      <w:szCs w:val="21"/>
                    </w:rPr>
                    <w:t>厂内设备</w:t>
                  </w:r>
                  <w:r>
                    <w:rPr>
                      <w:rFonts w:ascii="Times New Roman" w:hAnsi="Times New Roman"/>
                      <w:sz w:val="21"/>
                      <w:szCs w:val="21"/>
                    </w:rPr>
                    <w:t xml:space="preserve">的运行噪声，设备运行噪声主要通过加设隔声罩、减震垫的方式降低噪声 </w:t>
                  </w:r>
                </w:p>
              </w:tc>
            </w:tr>
          </w:tbl>
          <w:p>
            <w:pPr>
              <w:spacing w:line="360" w:lineRule="auto"/>
              <w:ind w:firstLine="480" w:firstLineChars="200"/>
              <w:rPr>
                <w:rFonts w:ascii="Times New Roman" w:hAnsi="Times New Roman" w:eastAsia="黑体"/>
              </w:rPr>
            </w:pPr>
            <w:r>
              <w:rPr>
                <w:rFonts w:ascii="Times New Roman" w:hAnsi="Times New Roman" w:eastAsia="黑体"/>
              </w:rPr>
              <w:t>2、主要设备</w:t>
            </w:r>
          </w:p>
          <w:p>
            <w:pPr>
              <w:pStyle w:val="32"/>
              <w:spacing w:line="240" w:lineRule="auto"/>
              <w:ind w:firstLine="480"/>
            </w:pPr>
            <w:r>
              <w:t>根据建设单位提供的资料，项目运营期使用的主要设备及数量见下表。</w:t>
            </w:r>
          </w:p>
          <w:p>
            <w:pPr>
              <w:tabs>
                <w:tab w:val="center" w:pos="5056"/>
              </w:tabs>
              <w:ind w:firstLine="480" w:firstLineChars="200"/>
              <w:jc w:val="center"/>
              <w:rPr>
                <w:rFonts w:ascii="Times New Roman" w:hAnsi="Times New Roman" w:eastAsia="黑体"/>
              </w:rPr>
            </w:pPr>
            <w:r>
              <w:rPr>
                <w:rFonts w:ascii="Times New Roman" w:hAnsi="Times New Roman" w:eastAsia="黑体"/>
              </w:rPr>
              <w:t>表2项目主要设备及数量表</w:t>
            </w:r>
          </w:p>
          <w:tbl>
            <w:tblPr>
              <w:tblStyle w:val="30"/>
              <w:tblW w:w="957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4"/>
              <w:gridCol w:w="5275"/>
              <w:gridCol w:w="1694"/>
              <w:gridCol w:w="15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1" w:hRule="atLeast"/>
                <w:jc w:val="center"/>
              </w:trPr>
              <w:tc>
                <w:tcPr>
                  <w:tcW w:w="1084" w:type="dxa"/>
                  <w:vAlign w:val="center"/>
                </w:tcPr>
                <w:p>
                  <w:pPr>
                    <w:jc w:val="center"/>
                    <w:rPr>
                      <w:rFonts w:ascii="Times New Roman" w:hAnsi="Times New Roman"/>
                      <w:sz w:val="21"/>
                      <w:szCs w:val="21"/>
                    </w:rPr>
                  </w:pPr>
                  <w:bookmarkStart w:id="2" w:name="_Hlk56518503"/>
                  <w:r>
                    <w:rPr>
                      <w:rFonts w:ascii="Times New Roman" w:hAnsi="Times New Roman"/>
                      <w:sz w:val="21"/>
                      <w:szCs w:val="21"/>
                    </w:rPr>
                    <w:t>序号</w:t>
                  </w:r>
                </w:p>
              </w:tc>
              <w:tc>
                <w:tcPr>
                  <w:tcW w:w="5275" w:type="dxa"/>
                  <w:vAlign w:val="center"/>
                </w:tcPr>
                <w:p>
                  <w:pPr>
                    <w:jc w:val="center"/>
                    <w:rPr>
                      <w:rFonts w:ascii="Times New Roman" w:hAnsi="Times New Roman"/>
                      <w:sz w:val="21"/>
                      <w:szCs w:val="21"/>
                    </w:rPr>
                  </w:pPr>
                  <w:r>
                    <w:rPr>
                      <w:rFonts w:ascii="Times New Roman" w:hAnsi="Times New Roman"/>
                      <w:sz w:val="21"/>
                      <w:szCs w:val="21"/>
                    </w:rPr>
                    <w:t>名称</w:t>
                  </w:r>
                </w:p>
              </w:tc>
              <w:tc>
                <w:tcPr>
                  <w:tcW w:w="1694" w:type="dxa"/>
                  <w:vAlign w:val="center"/>
                </w:tcPr>
                <w:p>
                  <w:pPr>
                    <w:jc w:val="center"/>
                    <w:rPr>
                      <w:rFonts w:ascii="Times New Roman" w:hAnsi="Times New Roman"/>
                      <w:sz w:val="21"/>
                      <w:szCs w:val="21"/>
                    </w:rPr>
                  </w:pPr>
                  <w:r>
                    <w:rPr>
                      <w:rFonts w:ascii="Times New Roman" w:hAnsi="Times New Roman"/>
                      <w:sz w:val="21"/>
                      <w:szCs w:val="21"/>
                    </w:rPr>
                    <w:t>型号</w:t>
                  </w:r>
                </w:p>
              </w:tc>
              <w:tc>
                <w:tcPr>
                  <w:tcW w:w="1518" w:type="dxa"/>
                  <w:vAlign w:val="center"/>
                </w:tcPr>
                <w:p>
                  <w:pPr>
                    <w:jc w:val="center"/>
                    <w:rPr>
                      <w:rFonts w:ascii="Times New Roman" w:hAnsi="Times New Roman"/>
                      <w:sz w:val="21"/>
                      <w:szCs w:val="21"/>
                    </w:rPr>
                  </w:pPr>
                  <w:r>
                    <w:rPr>
                      <w:rFonts w:ascii="Times New Roman" w:hAnsi="Times New Roman"/>
                      <w:sz w:val="21"/>
                      <w:szCs w:val="21"/>
                    </w:rPr>
                    <w:t>数量</w:t>
                  </w:r>
                  <w:r>
                    <w:rPr>
                      <w:rFonts w:hint="eastAsia" w:ascii="Times New Roman" w:hAnsi="Times New Roman"/>
                      <w:sz w:val="21"/>
                      <w:szCs w:val="21"/>
                    </w:rPr>
                    <w:t>（台）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6" w:hRule="atLeast"/>
                <w:jc w:val="center"/>
              </w:trPr>
              <w:tc>
                <w:tcPr>
                  <w:tcW w:w="1084" w:type="dxa"/>
                  <w:vAlign w:val="center"/>
                </w:tcPr>
                <w:p>
                  <w:pPr>
                    <w:jc w:val="center"/>
                    <w:rPr>
                      <w:rFonts w:ascii="Times New Roman" w:hAnsi="Times New Roman" w:eastAsia="他"/>
                      <w:sz w:val="21"/>
                      <w:szCs w:val="21"/>
                    </w:rPr>
                  </w:pPr>
                  <w:r>
                    <w:rPr>
                      <w:rFonts w:ascii="Times New Roman" w:hAnsi="Times New Roman" w:eastAsia="他"/>
                      <w:sz w:val="21"/>
                      <w:szCs w:val="21"/>
                    </w:rPr>
                    <w:t>1</w:t>
                  </w:r>
                </w:p>
              </w:tc>
              <w:tc>
                <w:tcPr>
                  <w:tcW w:w="5275" w:type="dxa"/>
                  <w:vAlign w:val="center"/>
                </w:tcPr>
                <w:p>
                  <w:pPr>
                    <w:pStyle w:val="66"/>
                    <w:spacing w:line="240" w:lineRule="auto"/>
                    <w:ind w:firstLine="0" w:firstLineChars="0"/>
                    <w:jc w:val="center"/>
                    <w:rPr>
                      <w:rFonts w:eastAsia="宋体"/>
                      <w:color w:val="auto"/>
                      <w:sz w:val="21"/>
                      <w:szCs w:val="21"/>
                    </w:rPr>
                  </w:pPr>
                  <w:r>
                    <w:rPr>
                      <w:rFonts w:eastAsia="宋体"/>
                      <w:kern w:val="0"/>
                      <w:sz w:val="21"/>
                      <w:szCs w:val="21"/>
                    </w:rPr>
                    <w:t>丝网印刷</w:t>
                  </w:r>
                  <w:r>
                    <w:rPr>
                      <w:rFonts w:hint="eastAsia" w:eastAsia="宋体"/>
                      <w:kern w:val="0"/>
                      <w:sz w:val="21"/>
                      <w:szCs w:val="21"/>
                    </w:rPr>
                    <w:t>台案</w:t>
                  </w:r>
                </w:p>
              </w:tc>
              <w:tc>
                <w:tcPr>
                  <w:tcW w:w="1694" w:type="dxa"/>
                  <w:vAlign w:val="center"/>
                </w:tcPr>
                <w:p>
                  <w:pPr>
                    <w:pStyle w:val="66"/>
                    <w:spacing w:line="240" w:lineRule="auto"/>
                    <w:ind w:firstLine="0" w:firstLineChars="0"/>
                    <w:jc w:val="center"/>
                    <w:rPr>
                      <w:rFonts w:eastAsia="宋体"/>
                      <w:color w:val="auto"/>
                      <w:sz w:val="21"/>
                      <w:szCs w:val="21"/>
                    </w:rPr>
                  </w:pPr>
                  <w:r>
                    <w:rPr>
                      <w:rFonts w:hint="eastAsia"/>
                      <w:sz w:val="22"/>
                      <w:szCs w:val="18"/>
                    </w:rPr>
                    <w:t>T-5070型</w:t>
                  </w:r>
                </w:p>
              </w:tc>
              <w:tc>
                <w:tcPr>
                  <w:tcW w:w="1518" w:type="dxa"/>
                  <w:vAlign w:val="center"/>
                </w:tcPr>
                <w:p>
                  <w:pPr>
                    <w:pStyle w:val="66"/>
                    <w:spacing w:line="240" w:lineRule="auto"/>
                    <w:ind w:firstLine="177" w:firstLineChars="71"/>
                    <w:jc w:val="center"/>
                    <w:rPr>
                      <w:rFonts w:eastAsia="宋体"/>
                      <w:color w:val="auto"/>
                      <w:sz w:val="21"/>
                      <w:szCs w:val="21"/>
                    </w:rPr>
                  </w:pPr>
                  <w:r>
                    <w:rPr>
                      <w:rFonts w:hint="eastAsia" w:eastAsia="宋体"/>
                      <w:color w:val="auto"/>
                      <w:sz w:val="21"/>
                      <w:szCs w:val="21"/>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6" w:hRule="atLeast"/>
                <w:jc w:val="center"/>
              </w:trPr>
              <w:tc>
                <w:tcPr>
                  <w:tcW w:w="1084" w:type="dxa"/>
                  <w:vAlign w:val="center"/>
                </w:tcPr>
                <w:p>
                  <w:pPr>
                    <w:jc w:val="center"/>
                    <w:rPr>
                      <w:rFonts w:ascii="Times New Roman" w:hAnsi="Times New Roman" w:eastAsia="他"/>
                      <w:sz w:val="21"/>
                      <w:szCs w:val="21"/>
                    </w:rPr>
                  </w:pPr>
                  <w:r>
                    <w:rPr>
                      <w:rFonts w:ascii="Times New Roman" w:hAnsi="Times New Roman" w:eastAsia="他"/>
                      <w:sz w:val="21"/>
                      <w:szCs w:val="21"/>
                    </w:rPr>
                    <w:t>2</w:t>
                  </w:r>
                </w:p>
              </w:tc>
              <w:tc>
                <w:tcPr>
                  <w:tcW w:w="5275" w:type="dxa"/>
                  <w:vAlign w:val="center"/>
                </w:tcPr>
                <w:p>
                  <w:pPr>
                    <w:pStyle w:val="66"/>
                    <w:spacing w:line="240" w:lineRule="auto"/>
                    <w:ind w:firstLine="0" w:firstLineChars="0"/>
                    <w:jc w:val="center"/>
                    <w:rPr>
                      <w:rFonts w:eastAsia="宋体"/>
                      <w:color w:val="auto"/>
                      <w:sz w:val="21"/>
                      <w:szCs w:val="21"/>
                    </w:rPr>
                  </w:pPr>
                  <w:r>
                    <w:rPr>
                      <w:rFonts w:hint="eastAsia" w:eastAsia="宋体"/>
                      <w:kern w:val="0"/>
                      <w:sz w:val="21"/>
                      <w:szCs w:val="21"/>
                    </w:rPr>
                    <w:t>曝光机</w:t>
                  </w:r>
                </w:p>
              </w:tc>
              <w:tc>
                <w:tcPr>
                  <w:tcW w:w="1694" w:type="dxa"/>
                  <w:vAlign w:val="center"/>
                </w:tcPr>
                <w:p>
                  <w:pPr>
                    <w:pStyle w:val="66"/>
                    <w:spacing w:line="240" w:lineRule="auto"/>
                    <w:ind w:firstLine="0" w:firstLineChars="0"/>
                    <w:jc w:val="center"/>
                    <w:rPr>
                      <w:sz w:val="22"/>
                      <w:szCs w:val="18"/>
                    </w:rPr>
                  </w:pPr>
                  <w:r>
                    <w:rPr>
                      <w:rFonts w:hint="eastAsia"/>
                      <w:sz w:val="22"/>
                      <w:szCs w:val="18"/>
                    </w:rPr>
                    <w:t>SL6810DP</w:t>
                  </w:r>
                </w:p>
              </w:tc>
              <w:tc>
                <w:tcPr>
                  <w:tcW w:w="1518" w:type="dxa"/>
                  <w:vAlign w:val="center"/>
                </w:tcPr>
                <w:p>
                  <w:pPr>
                    <w:pStyle w:val="66"/>
                    <w:spacing w:line="240" w:lineRule="auto"/>
                    <w:ind w:firstLine="177" w:firstLineChars="71"/>
                    <w:jc w:val="center"/>
                    <w:rPr>
                      <w:rFonts w:eastAsia="宋体"/>
                      <w:color w:val="auto"/>
                      <w:sz w:val="21"/>
                      <w:szCs w:val="21"/>
                    </w:rPr>
                  </w:pPr>
                  <w:r>
                    <w:rPr>
                      <w:rFonts w:eastAsia="宋体"/>
                      <w:color w:val="auto"/>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0" w:hRule="atLeast"/>
                <w:jc w:val="center"/>
              </w:trPr>
              <w:tc>
                <w:tcPr>
                  <w:tcW w:w="1084" w:type="dxa"/>
                  <w:vAlign w:val="center"/>
                </w:tcPr>
                <w:p>
                  <w:pPr>
                    <w:jc w:val="center"/>
                    <w:rPr>
                      <w:rFonts w:ascii="Times New Roman" w:hAnsi="Times New Roman" w:eastAsia="他"/>
                      <w:sz w:val="21"/>
                      <w:szCs w:val="21"/>
                    </w:rPr>
                  </w:pPr>
                  <w:r>
                    <w:rPr>
                      <w:rFonts w:ascii="Times New Roman" w:hAnsi="Times New Roman" w:eastAsia="他"/>
                      <w:sz w:val="21"/>
                      <w:szCs w:val="21"/>
                    </w:rPr>
                    <w:t>3</w:t>
                  </w:r>
                </w:p>
              </w:tc>
              <w:tc>
                <w:tcPr>
                  <w:tcW w:w="5275" w:type="dxa"/>
                  <w:vAlign w:val="center"/>
                </w:tcPr>
                <w:p>
                  <w:pPr>
                    <w:pStyle w:val="66"/>
                    <w:spacing w:line="240" w:lineRule="auto"/>
                    <w:ind w:firstLine="0" w:firstLineChars="0"/>
                    <w:jc w:val="center"/>
                    <w:rPr>
                      <w:rFonts w:eastAsia="宋体"/>
                      <w:color w:val="auto"/>
                      <w:sz w:val="21"/>
                      <w:szCs w:val="21"/>
                    </w:rPr>
                  </w:pPr>
                  <w:r>
                    <w:rPr>
                      <w:rFonts w:hint="eastAsia" w:eastAsia="宋体"/>
                      <w:color w:val="auto"/>
                      <w:sz w:val="21"/>
                      <w:szCs w:val="21"/>
                    </w:rPr>
                    <w:t>绷网机</w:t>
                  </w:r>
                  <w:r>
                    <w:rPr>
                      <w:rFonts w:eastAsia="宋体"/>
                      <w:color w:val="auto"/>
                      <w:sz w:val="21"/>
                      <w:szCs w:val="21"/>
                    </w:rPr>
                    <w:t>机</w:t>
                  </w:r>
                </w:p>
              </w:tc>
              <w:tc>
                <w:tcPr>
                  <w:tcW w:w="1694" w:type="dxa"/>
                  <w:vAlign w:val="center"/>
                </w:tcPr>
                <w:p>
                  <w:pPr>
                    <w:pStyle w:val="66"/>
                    <w:spacing w:line="240" w:lineRule="auto"/>
                    <w:ind w:firstLine="0" w:firstLineChars="0"/>
                    <w:jc w:val="center"/>
                    <w:rPr>
                      <w:sz w:val="22"/>
                      <w:szCs w:val="18"/>
                    </w:rPr>
                  </w:pPr>
                  <w:r>
                    <w:rPr>
                      <w:rFonts w:hint="eastAsia"/>
                      <w:sz w:val="22"/>
                      <w:szCs w:val="18"/>
                    </w:rPr>
                    <w:t>YF1200</w:t>
                  </w:r>
                </w:p>
              </w:tc>
              <w:tc>
                <w:tcPr>
                  <w:tcW w:w="1518" w:type="dxa"/>
                  <w:vAlign w:val="center"/>
                </w:tcPr>
                <w:p>
                  <w:pPr>
                    <w:pStyle w:val="66"/>
                    <w:spacing w:line="240" w:lineRule="auto"/>
                    <w:ind w:firstLine="177" w:firstLineChars="71"/>
                    <w:jc w:val="center"/>
                    <w:rPr>
                      <w:rFonts w:eastAsia="宋体"/>
                      <w:color w:val="auto"/>
                      <w:sz w:val="21"/>
                      <w:szCs w:val="21"/>
                    </w:rPr>
                  </w:pPr>
                  <w:r>
                    <w:rPr>
                      <w:rFonts w:eastAsia="宋体"/>
                      <w:color w:val="auto"/>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6" w:hRule="atLeast"/>
                <w:jc w:val="center"/>
              </w:trPr>
              <w:tc>
                <w:tcPr>
                  <w:tcW w:w="1084" w:type="dxa"/>
                  <w:vAlign w:val="center"/>
                </w:tcPr>
                <w:p>
                  <w:pPr>
                    <w:jc w:val="center"/>
                    <w:rPr>
                      <w:rFonts w:ascii="Times New Roman" w:hAnsi="Times New Roman" w:eastAsia="他"/>
                      <w:sz w:val="21"/>
                      <w:szCs w:val="21"/>
                    </w:rPr>
                  </w:pPr>
                  <w:r>
                    <w:rPr>
                      <w:rFonts w:hint="eastAsia" w:ascii="Times New Roman" w:hAnsi="Times New Roman" w:eastAsia="他"/>
                      <w:sz w:val="21"/>
                      <w:szCs w:val="21"/>
                    </w:rPr>
                    <w:t>4</w:t>
                  </w:r>
                </w:p>
              </w:tc>
              <w:tc>
                <w:tcPr>
                  <w:tcW w:w="5275" w:type="dxa"/>
                  <w:vAlign w:val="center"/>
                </w:tcPr>
                <w:p>
                  <w:pPr>
                    <w:pStyle w:val="66"/>
                    <w:spacing w:line="240" w:lineRule="auto"/>
                    <w:ind w:firstLine="0" w:firstLineChars="0"/>
                    <w:jc w:val="center"/>
                    <w:rPr>
                      <w:rFonts w:eastAsia="宋体"/>
                      <w:color w:val="auto"/>
                      <w:sz w:val="21"/>
                      <w:szCs w:val="21"/>
                    </w:rPr>
                  </w:pPr>
                  <w:r>
                    <w:rPr>
                      <w:rFonts w:hint="eastAsia" w:eastAsia="宋体"/>
                      <w:color w:val="auto"/>
                      <w:sz w:val="21"/>
                      <w:szCs w:val="21"/>
                    </w:rPr>
                    <w:t>丝网印刷板</w:t>
                  </w:r>
                </w:p>
              </w:tc>
              <w:tc>
                <w:tcPr>
                  <w:tcW w:w="1694" w:type="dxa"/>
                  <w:vAlign w:val="center"/>
                </w:tcPr>
                <w:p>
                  <w:pPr>
                    <w:pStyle w:val="66"/>
                    <w:spacing w:line="240" w:lineRule="auto"/>
                    <w:ind w:firstLine="0" w:firstLineChars="0"/>
                    <w:jc w:val="center"/>
                    <w:rPr>
                      <w:rFonts w:eastAsia="宋体"/>
                      <w:color w:val="auto"/>
                      <w:sz w:val="21"/>
                      <w:szCs w:val="21"/>
                    </w:rPr>
                  </w:pPr>
                  <w:r>
                    <w:rPr>
                      <w:rFonts w:hint="eastAsia" w:eastAsia="宋体"/>
                      <w:color w:val="auto"/>
                      <w:sz w:val="21"/>
                      <w:szCs w:val="21"/>
                    </w:rPr>
                    <w:t>/</w:t>
                  </w:r>
                </w:p>
              </w:tc>
              <w:tc>
                <w:tcPr>
                  <w:tcW w:w="1518" w:type="dxa"/>
                  <w:vAlign w:val="center"/>
                </w:tcPr>
                <w:p>
                  <w:pPr>
                    <w:pStyle w:val="66"/>
                    <w:spacing w:line="240" w:lineRule="auto"/>
                    <w:ind w:firstLine="177" w:firstLineChars="71"/>
                    <w:jc w:val="center"/>
                    <w:rPr>
                      <w:rFonts w:eastAsia="宋体"/>
                      <w:color w:val="auto"/>
                      <w:sz w:val="21"/>
                      <w:szCs w:val="21"/>
                    </w:rPr>
                  </w:pPr>
                  <w:r>
                    <w:rPr>
                      <w:rFonts w:hint="eastAsia" w:eastAsia="宋体"/>
                      <w:color w:val="auto"/>
                      <w:sz w:val="21"/>
                      <w:szCs w:val="21"/>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6" w:hRule="atLeast"/>
                <w:jc w:val="center"/>
              </w:trPr>
              <w:tc>
                <w:tcPr>
                  <w:tcW w:w="1084" w:type="dxa"/>
                  <w:vAlign w:val="center"/>
                </w:tcPr>
                <w:p>
                  <w:pPr>
                    <w:jc w:val="center"/>
                    <w:rPr>
                      <w:rFonts w:ascii="Times New Roman" w:hAnsi="Times New Roman" w:eastAsia="他"/>
                      <w:sz w:val="21"/>
                      <w:szCs w:val="21"/>
                    </w:rPr>
                  </w:pPr>
                  <w:r>
                    <w:rPr>
                      <w:rFonts w:hint="eastAsia" w:ascii="Times New Roman" w:hAnsi="Times New Roman" w:eastAsia="他"/>
                      <w:sz w:val="21"/>
                      <w:szCs w:val="21"/>
                    </w:rPr>
                    <w:t>5</w:t>
                  </w:r>
                </w:p>
              </w:tc>
              <w:tc>
                <w:tcPr>
                  <w:tcW w:w="5275" w:type="dxa"/>
                  <w:vAlign w:val="center"/>
                </w:tcPr>
                <w:p>
                  <w:pPr>
                    <w:pStyle w:val="66"/>
                    <w:spacing w:line="240" w:lineRule="auto"/>
                    <w:ind w:firstLine="0" w:firstLineChars="0"/>
                    <w:jc w:val="center"/>
                    <w:rPr>
                      <w:rFonts w:eastAsia="宋体"/>
                      <w:color w:val="auto"/>
                      <w:sz w:val="21"/>
                      <w:szCs w:val="21"/>
                    </w:rPr>
                  </w:pPr>
                  <w:r>
                    <w:rPr>
                      <w:rFonts w:hint="eastAsia" w:eastAsia="宋体"/>
                      <w:color w:val="auto"/>
                      <w:sz w:val="21"/>
                      <w:szCs w:val="21"/>
                    </w:rPr>
                    <w:t>废气处理设备（活性炭吸附+催化燃烧装</w:t>
                  </w:r>
                  <w:r>
                    <w:rPr>
                      <w:rFonts w:eastAsia="宋体"/>
                      <w:color w:val="auto"/>
                      <w:sz w:val="21"/>
                      <w:szCs w:val="21"/>
                    </w:rPr>
                    <w:t>置</w:t>
                  </w:r>
                  <w:r>
                    <w:rPr>
                      <w:rFonts w:hint="eastAsia" w:eastAsia="宋体"/>
                      <w:color w:val="auto"/>
                      <w:sz w:val="21"/>
                      <w:szCs w:val="21"/>
                    </w:rPr>
                    <w:t>）</w:t>
                  </w:r>
                </w:p>
              </w:tc>
              <w:tc>
                <w:tcPr>
                  <w:tcW w:w="1694" w:type="dxa"/>
                  <w:vAlign w:val="center"/>
                </w:tcPr>
                <w:p>
                  <w:pPr>
                    <w:pStyle w:val="66"/>
                    <w:spacing w:line="240" w:lineRule="auto"/>
                    <w:ind w:firstLine="0" w:firstLineChars="0"/>
                    <w:jc w:val="center"/>
                    <w:rPr>
                      <w:rFonts w:eastAsia="宋体"/>
                      <w:color w:val="auto"/>
                      <w:sz w:val="21"/>
                      <w:szCs w:val="21"/>
                    </w:rPr>
                  </w:pPr>
                  <w:r>
                    <w:rPr>
                      <w:rFonts w:eastAsia="宋体"/>
                      <w:color w:val="auto"/>
                      <w:sz w:val="21"/>
                      <w:szCs w:val="21"/>
                    </w:rPr>
                    <w:t>/</w:t>
                  </w:r>
                </w:p>
              </w:tc>
              <w:tc>
                <w:tcPr>
                  <w:tcW w:w="1518" w:type="dxa"/>
                  <w:vAlign w:val="center"/>
                </w:tcPr>
                <w:p>
                  <w:pPr>
                    <w:pStyle w:val="66"/>
                    <w:spacing w:line="240" w:lineRule="auto"/>
                    <w:ind w:firstLine="177" w:firstLineChars="71"/>
                    <w:jc w:val="center"/>
                    <w:rPr>
                      <w:rFonts w:eastAsia="宋体"/>
                      <w:color w:val="auto"/>
                      <w:sz w:val="21"/>
                      <w:szCs w:val="21"/>
                    </w:rPr>
                  </w:pPr>
                  <w:r>
                    <w:rPr>
                      <w:rFonts w:hint="eastAsia" w:eastAsia="宋体"/>
                      <w:color w:val="auto"/>
                      <w:sz w:val="21"/>
                      <w:szCs w:val="21"/>
                    </w:rPr>
                    <w:t>1</w:t>
                  </w:r>
                </w:p>
              </w:tc>
            </w:tr>
            <w:bookmarkEnd w:id="2"/>
          </w:tbl>
          <w:p>
            <w:pPr>
              <w:spacing w:line="360" w:lineRule="auto"/>
              <w:ind w:firstLine="480" w:firstLineChars="200"/>
              <w:rPr>
                <w:rFonts w:ascii="Times New Roman" w:hAnsi="Times New Roman" w:eastAsia="黑体"/>
              </w:rPr>
            </w:pPr>
            <w:r>
              <w:rPr>
                <w:rFonts w:ascii="Times New Roman" w:hAnsi="Times New Roman" w:eastAsia="黑体"/>
              </w:rPr>
              <w:t>3、原辅材料及物料平衡</w:t>
            </w:r>
          </w:p>
          <w:p>
            <w:pPr>
              <w:pStyle w:val="32"/>
              <w:ind w:firstLine="480"/>
            </w:pPr>
            <w:r>
              <w:t>项目运行过程中使用的原辅材料见下表。</w:t>
            </w:r>
          </w:p>
          <w:p>
            <w:pPr>
              <w:ind w:firstLine="480"/>
              <w:jc w:val="center"/>
              <w:rPr>
                <w:rFonts w:ascii="Times New Roman" w:hAnsi="Times New Roman" w:eastAsia="黑体"/>
                <w:szCs w:val="24"/>
              </w:rPr>
            </w:pPr>
            <w:r>
              <w:rPr>
                <w:rFonts w:ascii="Times New Roman" w:hAnsi="Times New Roman" w:eastAsia="黑体"/>
                <w:szCs w:val="24"/>
              </w:rPr>
              <w:t>表3 主要原辅材料消耗量</w:t>
            </w:r>
          </w:p>
          <w:tbl>
            <w:tblPr>
              <w:tblStyle w:val="30"/>
              <w:tblW w:w="10059" w:type="dxa"/>
              <w:jc w:val="center"/>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1045"/>
              <w:gridCol w:w="2719"/>
              <w:gridCol w:w="1656"/>
              <w:gridCol w:w="1444"/>
              <w:gridCol w:w="1726"/>
              <w:gridCol w:w="1469"/>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cantSplit/>
                <w:trHeight w:val="212" w:hRule="atLeast"/>
                <w:jc w:val="center"/>
              </w:trPr>
              <w:tc>
                <w:tcPr>
                  <w:tcW w:w="1045" w:type="dxa"/>
                  <w:tcBorders>
                    <w:tl2br w:val="nil"/>
                    <w:tr2bl w:val="nil"/>
                  </w:tcBorders>
                  <w:vAlign w:val="center"/>
                </w:tcPr>
                <w:p>
                  <w:pPr>
                    <w:widowControl/>
                    <w:adjustRightInd w:val="0"/>
                    <w:snapToGrid w:val="0"/>
                    <w:jc w:val="center"/>
                    <w:rPr>
                      <w:rFonts w:ascii="Times New Roman" w:hAnsi="Times New Roman"/>
                      <w:sz w:val="21"/>
                      <w:szCs w:val="21"/>
                    </w:rPr>
                  </w:pPr>
                  <w:bookmarkStart w:id="3" w:name="_Hlk56518495"/>
                  <w:r>
                    <w:rPr>
                      <w:rFonts w:ascii="Times New Roman" w:hAnsi="Times New Roman"/>
                      <w:color w:val="000000"/>
                      <w:kern w:val="0"/>
                      <w:sz w:val="21"/>
                      <w:szCs w:val="21"/>
                    </w:rPr>
                    <w:t>序号</w:t>
                  </w:r>
                </w:p>
              </w:tc>
              <w:tc>
                <w:tcPr>
                  <w:tcW w:w="2719" w:type="dxa"/>
                  <w:tcBorders>
                    <w:tl2br w:val="nil"/>
                    <w:tr2bl w:val="nil"/>
                  </w:tcBorders>
                  <w:vAlign w:val="center"/>
                </w:tcPr>
                <w:p>
                  <w:pPr>
                    <w:widowControl/>
                    <w:adjustRightInd w:val="0"/>
                    <w:snapToGrid w:val="0"/>
                    <w:jc w:val="center"/>
                    <w:rPr>
                      <w:rFonts w:ascii="Times New Roman" w:hAnsi="Times New Roman"/>
                      <w:sz w:val="21"/>
                      <w:szCs w:val="21"/>
                    </w:rPr>
                  </w:pPr>
                  <w:r>
                    <w:rPr>
                      <w:rFonts w:ascii="Times New Roman" w:hAnsi="Times New Roman"/>
                      <w:color w:val="000000"/>
                      <w:kern w:val="0"/>
                      <w:sz w:val="21"/>
                      <w:szCs w:val="21"/>
                    </w:rPr>
                    <w:t>原料</w:t>
                  </w:r>
                </w:p>
              </w:tc>
              <w:tc>
                <w:tcPr>
                  <w:tcW w:w="1656" w:type="dxa"/>
                  <w:tcBorders>
                    <w:tl2br w:val="nil"/>
                    <w:tr2bl w:val="nil"/>
                  </w:tcBorders>
                  <w:vAlign w:val="center"/>
                </w:tcPr>
                <w:p>
                  <w:pPr>
                    <w:widowControl/>
                    <w:adjustRightInd w:val="0"/>
                    <w:snapToGrid w:val="0"/>
                    <w:jc w:val="center"/>
                    <w:rPr>
                      <w:rFonts w:ascii="Times New Roman" w:hAnsi="Times New Roman"/>
                      <w:sz w:val="21"/>
                      <w:szCs w:val="21"/>
                    </w:rPr>
                  </w:pPr>
                  <w:r>
                    <w:rPr>
                      <w:rFonts w:ascii="Times New Roman" w:hAnsi="Times New Roman"/>
                      <w:color w:val="000000"/>
                      <w:kern w:val="0"/>
                      <w:sz w:val="21"/>
                      <w:szCs w:val="21"/>
                    </w:rPr>
                    <w:t>单位</w:t>
                  </w:r>
                </w:p>
              </w:tc>
              <w:tc>
                <w:tcPr>
                  <w:tcW w:w="1444" w:type="dxa"/>
                  <w:tcBorders>
                    <w:tl2br w:val="nil"/>
                    <w:tr2bl w:val="nil"/>
                  </w:tcBorders>
                  <w:vAlign w:val="center"/>
                </w:tcPr>
                <w:p>
                  <w:pPr>
                    <w:widowControl/>
                    <w:adjustRightInd w:val="0"/>
                    <w:snapToGrid w:val="0"/>
                    <w:jc w:val="center"/>
                    <w:rPr>
                      <w:rFonts w:ascii="Times New Roman" w:hAnsi="Times New Roman"/>
                      <w:sz w:val="21"/>
                      <w:szCs w:val="21"/>
                    </w:rPr>
                  </w:pPr>
                  <w:r>
                    <w:rPr>
                      <w:rFonts w:ascii="Times New Roman" w:hAnsi="Times New Roman"/>
                      <w:color w:val="000000"/>
                      <w:kern w:val="0"/>
                      <w:sz w:val="21"/>
                      <w:szCs w:val="21"/>
                    </w:rPr>
                    <w:t>用量</w:t>
                  </w:r>
                </w:p>
              </w:tc>
              <w:tc>
                <w:tcPr>
                  <w:tcW w:w="1726" w:type="dxa"/>
                  <w:tcBorders>
                    <w:tl2br w:val="nil"/>
                    <w:tr2bl w:val="nil"/>
                  </w:tcBorders>
                </w:tcPr>
                <w:p>
                  <w:pPr>
                    <w:widowControl/>
                    <w:adjustRightInd w:val="0"/>
                    <w:snapToGrid w:val="0"/>
                    <w:jc w:val="center"/>
                    <w:rPr>
                      <w:rFonts w:ascii="Times New Roman" w:hAnsi="Times New Roman"/>
                      <w:color w:val="000000"/>
                      <w:kern w:val="0"/>
                      <w:sz w:val="21"/>
                      <w:szCs w:val="21"/>
                    </w:rPr>
                  </w:pPr>
                  <w:r>
                    <w:rPr>
                      <w:rFonts w:hint="eastAsia" w:ascii="Times New Roman" w:hAnsi="Times New Roman"/>
                      <w:color w:val="000000"/>
                      <w:kern w:val="0"/>
                      <w:sz w:val="21"/>
                      <w:szCs w:val="21"/>
                    </w:rPr>
                    <w:t>最大暂存量</w:t>
                  </w:r>
                </w:p>
              </w:tc>
              <w:tc>
                <w:tcPr>
                  <w:tcW w:w="1469" w:type="dxa"/>
                  <w:tcBorders>
                    <w:tl2br w:val="nil"/>
                    <w:tr2bl w:val="nil"/>
                  </w:tcBorders>
                  <w:vAlign w:val="center"/>
                </w:tcPr>
                <w:p>
                  <w:pPr>
                    <w:widowControl/>
                    <w:adjustRightInd w:val="0"/>
                    <w:snapToGrid w:val="0"/>
                    <w:jc w:val="center"/>
                    <w:rPr>
                      <w:rFonts w:ascii="Times New Roman" w:hAnsi="Times New Roman"/>
                      <w:sz w:val="21"/>
                      <w:szCs w:val="21"/>
                    </w:rPr>
                  </w:pPr>
                  <w:r>
                    <w:rPr>
                      <w:rFonts w:ascii="Times New Roman" w:hAnsi="Times New Roman"/>
                      <w:color w:val="000000"/>
                      <w:kern w:val="0"/>
                      <w:sz w:val="21"/>
                      <w:szCs w:val="21"/>
                    </w:rPr>
                    <w:t>来源</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cantSplit/>
                <w:trHeight w:val="230" w:hRule="atLeast"/>
                <w:jc w:val="center"/>
              </w:trPr>
              <w:tc>
                <w:tcPr>
                  <w:tcW w:w="1045" w:type="dxa"/>
                  <w:tcBorders>
                    <w:tl2br w:val="nil"/>
                    <w:tr2bl w:val="nil"/>
                  </w:tcBorders>
                  <w:vAlign w:val="center"/>
                </w:tcPr>
                <w:p>
                  <w:pPr>
                    <w:widowControl/>
                    <w:adjustRightInd w:val="0"/>
                    <w:snapToGrid w:val="0"/>
                    <w:jc w:val="center"/>
                    <w:rPr>
                      <w:rFonts w:ascii="Times New Roman" w:hAnsi="Times New Roman"/>
                      <w:sz w:val="21"/>
                      <w:szCs w:val="21"/>
                    </w:rPr>
                  </w:pPr>
                  <w:r>
                    <w:rPr>
                      <w:rFonts w:ascii="Times New Roman" w:hAnsi="Times New Roman"/>
                      <w:color w:val="000000"/>
                      <w:kern w:val="0"/>
                      <w:sz w:val="21"/>
                      <w:szCs w:val="21"/>
                    </w:rPr>
                    <w:t>1</w:t>
                  </w:r>
                </w:p>
              </w:tc>
              <w:tc>
                <w:tcPr>
                  <w:tcW w:w="2719" w:type="dxa"/>
                  <w:tcBorders>
                    <w:tl2br w:val="nil"/>
                    <w:tr2bl w:val="nil"/>
                  </w:tcBorders>
                  <w:vAlign w:val="center"/>
                </w:tcPr>
                <w:p>
                  <w:pPr>
                    <w:widowControl/>
                    <w:jc w:val="center"/>
                    <w:rPr>
                      <w:rFonts w:ascii="Times New Roman" w:hAnsi="Times New Roman"/>
                      <w:sz w:val="21"/>
                      <w:szCs w:val="21"/>
                    </w:rPr>
                  </w:pPr>
                  <w:r>
                    <w:rPr>
                      <w:rFonts w:hint="eastAsia" w:ascii="Times New Roman" w:hAnsi="Times New Roman"/>
                      <w:kern w:val="2"/>
                      <w:sz w:val="21"/>
                      <w:szCs w:val="21"/>
                    </w:rPr>
                    <w:t>PVC布</w:t>
                  </w:r>
                </w:p>
              </w:tc>
              <w:tc>
                <w:tcPr>
                  <w:tcW w:w="1656" w:type="dxa"/>
                  <w:tcBorders>
                    <w:tl2br w:val="nil"/>
                    <w:tr2bl w:val="nil"/>
                  </w:tcBorders>
                  <w:vAlign w:val="center"/>
                </w:tcPr>
                <w:p>
                  <w:pPr>
                    <w:widowControl/>
                    <w:jc w:val="center"/>
                    <w:rPr>
                      <w:rFonts w:ascii="Times New Roman" w:hAnsi="Times New Roman"/>
                      <w:sz w:val="21"/>
                      <w:szCs w:val="21"/>
                    </w:rPr>
                  </w:pPr>
                  <w:r>
                    <w:rPr>
                      <w:rFonts w:hint="eastAsia" w:ascii="Times New Roman" w:hAnsi="Times New Roman"/>
                      <w:color w:val="000000"/>
                      <w:kern w:val="0"/>
                      <w:sz w:val="21"/>
                      <w:szCs w:val="21"/>
                    </w:rPr>
                    <w:t>张</w:t>
                  </w:r>
                  <w:r>
                    <w:rPr>
                      <w:rFonts w:ascii="Times New Roman" w:hAnsi="Times New Roman"/>
                      <w:color w:val="000000"/>
                      <w:kern w:val="0"/>
                      <w:sz w:val="21"/>
                      <w:szCs w:val="21"/>
                    </w:rPr>
                    <w:t>/a</w:t>
                  </w:r>
                </w:p>
              </w:tc>
              <w:tc>
                <w:tcPr>
                  <w:tcW w:w="1444" w:type="dxa"/>
                  <w:tcBorders>
                    <w:tl2br w:val="nil"/>
                    <w:tr2bl w:val="nil"/>
                  </w:tcBorders>
                  <w:vAlign w:val="center"/>
                </w:tcPr>
                <w:p>
                  <w:pPr>
                    <w:widowControl/>
                    <w:jc w:val="center"/>
                    <w:rPr>
                      <w:rFonts w:ascii="Times New Roman" w:hAnsi="Times New Roman"/>
                      <w:sz w:val="21"/>
                      <w:szCs w:val="21"/>
                    </w:rPr>
                  </w:pPr>
                  <w:r>
                    <w:rPr>
                      <w:rFonts w:hint="eastAsia" w:ascii="Times New Roman" w:hAnsi="Times New Roman"/>
                      <w:color w:val="000000"/>
                      <w:kern w:val="0"/>
                      <w:sz w:val="21"/>
                      <w:szCs w:val="21"/>
                    </w:rPr>
                    <w:t>20</w:t>
                  </w:r>
                  <w:r>
                    <w:rPr>
                      <w:rFonts w:ascii="Times New Roman" w:hAnsi="Times New Roman"/>
                      <w:color w:val="000000"/>
                      <w:kern w:val="0"/>
                      <w:sz w:val="21"/>
                      <w:szCs w:val="21"/>
                    </w:rPr>
                    <w:t>0000</w:t>
                  </w:r>
                </w:p>
              </w:tc>
              <w:tc>
                <w:tcPr>
                  <w:tcW w:w="1726" w:type="dxa"/>
                  <w:tcBorders>
                    <w:tl2br w:val="nil"/>
                    <w:tr2bl w:val="nil"/>
                  </w:tcBorders>
                </w:tcPr>
                <w:p>
                  <w:pPr>
                    <w:jc w:val="center"/>
                    <w:rPr>
                      <w:rFonts w:ascii="Times New Roman" w:hAnsi="Times New Roman"/>
                      <w:color w:val="000000"/>
                      <w:kern w:val="0"/>
                      <w:sz w:val="21"/>
                      <w:szCs w:val="21"/>
                    </w:rPr>
                  </w:pPr>
                  <w:r>
                    <w:rPr>
                      <w:rFonts w:ascii="Times New Roman" w:hAnsi="Times New Roman"/>
                      <w:color w:val="000000"/>
                      <w:kern w:val="0"/>
                      <w:sz w:val="21"/>
                      <w:szCs w:val="21"/>
                    </w:rPr>
                    <w:t>20</w:t>
                  </w:r>
                  <w:r>
                    <w:rPr>
                      <w:rFonts w:hint="eastAsia" w:ascii="Times New Roman" w:hAnsi="Times New Roman"/>
                      <w:color w:val="000000"/>
                      <w:kern w:val="0"/>
                      <w:sz w:val="21"/>
                      <w:szCs w:val="21"/>
                    </w:rPr>
                    <w:t>0</w:t>
                  </w:r>
                  <w:r>
                    <w:rPr>
                      <w:rFonts w:ascii="Times New Roman" w:hAnsi="Times New Roman"/>
                      <w:color w:val="000000"/>
                      <w:kern w:val="0"/>
                      <w:sz w:val="21"/>
                      <w:szCs w:val="21"/>
                    </w:rPr>
                    <w:t>00</w:t>
                  </w:r>
                  <w:r>
                    <w:rPr>
                      <w:rFonts w:hint="eastAsia" w:ascii="Times New Roman" w:hAnsi="Times New Roman"/>
                      <w:color w:val="000000"/>
                      <w:kern w:val="0"/>
                      <w:sz w:val="21"/>
                      <w:szCs w:val="21"/>
                    </w:rPr>
                    <w:t>张</w:t>
                  </w:r>
                </w:p>
              </w:tc>
              <w:tc>
                <w:tcPr>
                  <w:tcW w:w="1469" w:type="dxa"/>
                  <w:vMerge w:val="restart"/>
                  <w:tcBorders>
                    <w:tl2br w:val="nil"/>
                    <w:tr2bl w:val="nil"/>
                  </w:tcBorders>
                  <w:vAlign w:val="center"/>
                </w:tcPr>
                <w:p>
                  <w:pPr>
                    <w:jc w:val="center"/>
                    <w:rPr>
                      <w:rFonts w:ascii="Times New Roman" w:hAnsi="Times New Roman"/>
                      <w:sz w:val="20"/>
                    </w:rPr>
                  </w:pPr>
                  <w:r>
                    <w:rPr>
                      <w:rFonts w:hint="eastAsia" w:ascii="Times New Roman" w:hAnsi="Times New Roman"/>
                      <w:sz w:val="20"/>
                    </w:rPr>
                    <w:t>外购</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cantSplit/>
                <w:trHeight w:val="220" w:hRule="atLeast"/>
                <w:jc w:val="center"/>
              </w:trPr>
              <w:tc>
                <w:tcPr>
                  <w:tcW w:w="1045" w:type="dxa"/>
                  <w:tcBorders>
                    <w:tl2br w:val="nil"/>
                    <w:tr2bl w:val="nil"/>
                  </w:tcBorders>
                  <w:vAlign w:val="center"/>
                </w:tcPr>
                <w:p>
                  <w:pPr>
                    <w:widowControl/>
                    <w:adjustRightInd w:val="0"/>
                    <w:snapToGrid w:val="0"/>
                    <w:jc w:val="center"/>
                    <w:rPr>
                      <w:rFonts w:ascii="Times New Roman" w:hAnsi="Times New Roman"/>
                      <w:sz w:val="21"/>
                      <w:szCs w:val="21"/>
                    </w:rPr>
                  </w:pPr>
                  <w:r>
                    <w:rPr>
                      <w:rFonts w:ascii="Times New Roman" w:hAnsi="Times New Roman"/>
                      <w:color w:val="000000"/>
                      <w:kern w:val="0"/>
                      <w:sz w:val="21"/>
                      <w:szCs w:val="21"/>
                    </w:rPr>
                    <w:t>2</w:t>
                  </w:r>
                </w:p>
              </w:tc>
              <w:tc>
                <w:tcPr>
                  <w:tcW w:w="2719" w:type="dxa"/>
                  <w:tcBorders>
                    <w:tl2br w:val="nil"/>
                    <w:tr2bl w:val="nil"/>
                  </w:tcBorders>
                  <w:vAlign w:val="center"/>
                </w:tcPr>
                <w:p>
                  <w:pPr>
                    <w:widowControl/>
                    <w:jc w:val="center"/>
                    <w:rPr>
                      <w:rFonts w:ascii="Times New Roman" w:hAnsi="Times New Roman"/>
                      <w:sz w:val="21"/>
                      <w:szCs w:val="21"/>
                    </w:rPr>
                  </w:pPr>
                  <w:r>
                    <w:rPr>
                      <w:rFonts w:ascii="Times New Roman" w:hAnsi="Times New Roman"/>
                      <w:color w:val="000000"/>
                      <w:kern w:val="0"/>
                      <w:sz w:val="21"/>
                      <w:szCs w:val="21"/>
                    </w:rPr>
                    <w:t>油墨</w:t>
                  </w:r>
                </w:p>
              </w:tc>
              <w:tc>
                <w:tcPr>
                  <w:tcW w:w="1656" w:type="dxa"/>
                  <w:tcBorders>
                    <w:tl2br w:val="nil"/>
                    <w:tr2bl w:val="nil"/>
                  </w:tcBorders>
                  <w:vAlign w:val="center"/>
                </w:tcPr>
                <w:p>
                  <w:pPr>
                    <w:widowControl/>
                    <w:jc w:val="center"/>
                    <w:rPr>
                      <w:rFonts w:ascii="Times New Roman" w:hAnsi="Times New Roman"/>
                      <w:sz w:val="21"/>
                      <w:szCs w:val="21"/>
                    </w:rPr>
                  </w:pPr>
                  <w:r>
                    <w:rPr>
                      <w:rFonts w:ascii="Times New Roman" w:hAnsi="Times New Roman"/>
                      <w:color w:val="000000"/>
                      <w:kern w:val="0"/>
                      <w:sz w:val="21"/>
                      <w:szCs w:val="21"/>
                    </w:rPr>
                    <w:t>t/a</w:t>
                  </w:r>
                </w:p>
              </w:tc>
              <w:tc>
                <w:tcPr>
                  <w:tcW w:w="1444" w:type="dxa"/>
                  <w:tcBorders>
                    <w:tl2br w:val="nil"/>
                    <w:tr2bl w:val="nil"/>
                  </w:tcBorders>
                  <w:vAlign w:val="center"/>
                </w:tcPr>
                <w:p>
                  <w:pPr>
                    <w:widowControl/>
                    <w:jc w:val="center"/>
                    <w:rPr>
                      <w:rFonts w:ascii="Times New Roman" w:hAnsi="Times New Roman"/>
                      <w:sz w:val="21"/>
                      <w:szCs w:val="21"/>
                    </w:rPr>
                  </w:pPr>
                  <w:r>
                    <w:rPr>
                      <w:rFonts w:ascii="Times New Roman" w:hAnsi="Times New Roman"/>
                      <w:color w:val="000000"/>
                      <w:kern w:val="0"/>
                      <w:sz w:val="21"/>
                      <w:szCs w:val="21"/>
                    </w:rPr>
                    <w:t>2</w:t>
                  </w:r>
                </w:p>
              </w:tc>
              <w:tc>
                <w:tcPr>
                  <w:tcW w:w="1726" w:type="dxa"/>
                  <w:tcBorders>
                    <w:tl2br w:val="nil"/>
                    <w:tr2bl w:val="nil"/>
                  </w:tcBorders>
                </w:tcPr>
                <w:p>
                  <w:pPr>
                    <w:jc w:val="center"/>
                    <w:rPr>
                      <w:rFonts w:ascii="Times New Roman" w:hAnsi="Times New Roman"/>
                      <w:color w:val="000000"/>
                      <w:kern w:val="0"/>
                      <w:sz w:val="21"/>
                      <w:szCs w:val="21"/>
                    </w:rPr>
                  </w:pPr>
                  <w:r>
                    <w:rPr>
                      <w:rFonts w:ascii="Times New Roman" w:hAnsi="Times New Roman"/>
                      <w:color w:val="000000"/>
                      <w:kern w:val="0"/>
                      <w:sz w:val="21"/>
                      <w:szCs w:val="21"/>
                    </w:rPr>
                    <w:t>0.2t</w:t>
                  </w:r>
                </w:p>
              </w:tc>
              <w:tc>
                <w:tcPr>
                  <w:tcW w:w="1469" w:type="dxa"/>
                  <w:vMerge w:val="continue"/>
                  <w:tcBorders>
                    <w:tl2br w:val="nil"/>
                    <w:tr2bl w:val="nil"/>
                  </w:tcBorders>
                  <w:vAlign w:val="center"/>
                </w:tcPr>
                <w:p>
                  <w:pPr>
                    <w:rPr>
                      <w:rFonts w:ascii="Times New Roman" w:hAnsi="Times New Roman"/>
                      <w:sz w:val="20"/>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cantSplit/>
                <w:trHeight w:val="238" w:hRule="atLeast"/>
                <w:jc w:val="center"/>
              </w:trPr>
              <w:tc>
                <w:tcPr>
                  <w:tcW w:w="1045" w:type="dxa"/>
                  <w:tcBorders>
                    <w:tl2br w:val="nil"/>
                    <w:tr2bl w:val="nil"/>
                  </w:tcBorders>
                  <w:vAlign w:val="center"/>
                </w:tcPr>
                <w:p>
                  <w:pPr>
                    <w:widowControl/>
                    <w:jc w:val="center"/>
                    <w:rPr>
                      <w:rFonts w:ascii="Times New Roman" w:hAnsi="Times New Roman"/>
                      <w:sz w:val="21"/>
                      <w:szCs w:val="21"/>
                    </w:rPr>
                  </w:pPr>
                  <w:r>
                    <w:rPr>
                      <w:rFonts w:ascii="Times New Roman" w:hAnsi="Times New Roman"/>
                      <w:color w:val="000000"/>
                      <w:kern w:val="0"/>
                      <w:sz w:val="21"/>
                      <w:szCs w:val="21"/>
                    </w:rPr>
                    <w:t>3</w:t>
                  </w:r>
                </w:p>
              </w:tc>
              <w:tc>
                <w:tcPr>
                  <w:tcW w:w="2719" w:type="dxa"/>
                  <w:tcBorders>
                    <w:tl2br w:val="nil"/>
                    <w:tr2bl w:val="nil"/>
                  </w:tcBorders>
                  <w:vAlign w:val="center"/>
                </w:tcPr>
                <w:p>
                  <w:pPr>
                    <w:widowControl/>
                    <w:jc w:val="center"/>
                    <w:rPr>
                      <w:rFonts w:ascii="Times New Roman" w:hAnsi="Times New Roman"/>
                      <w:sz w:val="21"/>
                      <w:szCs w:val="21"/>
                    </w:rPr>
                  </w:pPr>
                  <w:r>
                    <w:rPr>
                      <w:rFonts w:ascii="Times New Roman" w:hAnsi="Times New Roman"/>
                      <w:color w:val="000000"/>
                      <w:kern w:val="0"/>
                      <w:sz w:val="21"/>
                      <w:szCs w:val="21"/>
                    </w:rPr>
                    <w:t>稀释剂（环己酮）</w:t>
                  </w:r>
                </w:p>
              </w:tc>
              <w:tc>
                <w:tcPr>
                  <w:tcW w:w="1656" w:type="dxa"/>
                  <w:tcBorders>
                    <w:tl2br w:val="nil"/>
                    <w:tr2bl w:val="nil"/>
                  </w:tcBorders>
                  <w:vAlign w:val="center"/>
                </w:tcPr>
                <w:p>
                  <w:pPr>
                    <w:widowControl/>
                    <w:jc w:val="center"/>
                    <w:rPr>
                      <w:rFonts w:ascii="Times New Roman" w:hAnsi="Times New Roman"/>
                      <w:sz w:val="21"/>
                      <w:szCs w:val="21"/>
                    </w:rPr>
                  </w:pPr>
                  <w:r>
                    <w:rPr>
                      <w:rFonts w:ascii="Times New Roman" w:hAnsi="Times New Roman"/>
                      <w:color w:val="000000"/>
                      <w:kern w:val="0"/>
                      <w:sz w:val="21"/>
                      <w:szCs w:val="21"/>
                    </w:rPr>
                    <w:t>t/a</w:t>
                  </w:r>
                </w:p>
              </w:tc>
              <w:tc>
                <w:tcPr>
                  <w:tcW w:w="1444" w:type="dxa"/>
                  <w:tcBorders>
                    <w:tl2br w:val="nil"/>
                    <w:tr2bl w:val="nil"/>
                  </w:tcBorders>
                  <w:vAlign w:val="center"/>
                </w:tcPr>
                <w:p>
                  <w:pPr>
                    <w:widowControl/>
                    <w:jc w:val="center"/>
                    <w:rPr>
                      <w:rFonts w:ascii="Times New Roman" w:hAnsi="Times New Roman"/>
                      <w:sz w:val="21"/>
                      <w:szCs w:val="21"/>
                    </w:rPr>
                  </w:pPr>
                  <w:r>
                    <w:rPr>
                      <w:rFonts w:ascii="Times New Roman" w:hAnsi="Times New Roman"/>
                      <w:color w:val="000000"/>
                      <w:kern w:val="0"/>
                      <w:sz w:val="21"/>
                      <w:szCs w:val="21"/>
                    </w:rPr>
                    <w:t>0.4</w:t>
                  </w:r>
                </w:p>
              </w:tc>
              <w:tc>
                <w:tcPr>
                  <w:tcW w:w="1726" w:type="dxa"/>
                  <w:tcBorders>
                    <w:tl2br w:val="nil"/>
                    <w:tr2bl w:val="nil"/>
                  </w:tcBorders>
                </w:tcPr>
                <w:p>
                  <w:pPr>
                    <w:jc w:val="center"/>
                    <w:rPr>
                      <w:rFonts w:ascii="Times New Roman" w:hAnsi="Times New Roman"/>
                      <w:color w:val="000000"/>
                      <w:kern w:val="0"/>
                      <w:sz w:val="21"/>
                      <w:szCs w:val="21"/>
                    </w:rPr>
                  </w:pPr>
                  <w:r>
                    <w:rPr>
                      <w:rFonts w:hint="eastAsia" w:ascii="Times New Roman" w:hAnsi="Times New Roman"/>
                      <w:color w:val="000000"/>
                      <w:kern w:val="0"/>
                      <w:sz w:val="21"/>
                      <w:szCs w:val="21"/>
                    </w:rPr>
                    <w:t>0</w:t>
                  </w:r>
                  <w:r>
                    <w:rPr>
                      <w:rFonts w:ascii="Times New Roman" w:hAnsi="Times New Roman"/>
                      <w:color w:val="000000"/>
                      <w:kern w:val="0"/>
                      <w:sz w:val="21"/>
                      <w:szCs w:val="21"/>
                    </w:rPr>
                    <w:t>.1</w:t>
                  </w:r>
                  <w:r>
                    <w:rPr>
                      <w:rFonts w:hint="eastAsia" w:ascii="Times New Roman" w:hAnsi="Times New Roman"/>
                      <w:color w:val="000000"/>
                      <w:kern w:val="0"/>
                      <w:sz w:val="21"/>
                      <w:szCs w:val="21"/>
                    </w:rPr>
                    <w:t>t</w:t>
                  </w:r>
                </w:p>
              </w:tc>
              <w:tc>
                <w:tcPr>
                  <w:tcW w:w="1469" w:type="dxa"/>
                  <w:vMerge w:val="continue"/>
                  <w:tcBorders>
                    <w:tl2br w:val="nil"/>
                    <w:tr2bl w:val="nil"/>
                  </w:tcBorders>
                  <w:vAlign w:val="center"/>
                </w:tcPr>
                <w:p>
                  <w:pPr>
                    <w:rPr>
                      <w:rFonts w:ascii="Times New Roman" w:hAnsi="Times New Roman"/>
                      <w:sz w:val="20"/>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cantSplit/>
                <w:trHeight w:val="357" w:hRule="atLeast"/>
                <w:jc w:val="center"/>
              </w:trPr>
              <w:tc>
                <w:tcPr>
                  <w:tcW w:w="1045" w:type="dxa"/>
                  <w:tcBorders>
                    <w:tl2br w:val="nil"/>
                    <w:tr2bl w:val="nil"/>
                  </w:tcBorders>
                  <w:vAlign w:val="center"/>
                </w:tcPr>
                <w:p>
                  <w:pPr>
                    <w:widowControl/>
                    <w:jc w:val="center"/>
                    <w:rPr>
                      <w:rFonts w:ascii="Times New Roman" w:hAnsi="Times New Roman"/>
                      <w:sz w:val="21"/>
                      <w:szCs w:val="21"/>
                    </w:rPr>
                  </w:pPr>
                  <w:r>
                    <w:rPr>
                      <w:rFonts w:ascii="Times New Roman" w:hAnsi="Times New Roman"/>
                      <w:color w:val="000000"/>
                      <w:kern w:val="0"/>
                      <w:sz w:val="21"/>
                      <w:szCs w:val="21"/>
                    </w:rPr>
                    <w:t>4</w:t>
                  </w:r>
                </w:p>
              </w:tc>
              <w:tc>
                <w:tcPr>
                  <w:tcW w:w="2719" w:type="dxa"/>
                  <w:tcBorders>
                    <w:tl2br w:val="nil"/>
                    <w:tr2bl w:val="nil"/>
                  </w:tcBorders>
                  <w:vAlign w:val="center"/>
                </w:tcPr>
                <w:p>
                  <w:pPr>
                    <w:widowControl/>
                    <w:jc w:val="center"/>
                    <w:rPr>
                      <w:rFonts w:ascii="Times New Roman" w:hAnsi="Times New Roman"/>
                      <w:sz w:val="21"/>
                      <w:szCs w:val="21"/>
                    </w:rPr>
                  </w:pPr>
                  <w:r>
                    <w:rPr>
                      <w:rFonts w:hint="eastAsia" w:ascii="Times New Roman" w:hAnsi="Times New Roman"/>
                      <w:color w:val="000000"/>
                      <w:kern w:val="0"/>
                      <w:sz w:val="21"/>
                      <w:szCs w:val="21"/>
                    </w:rPr>
                    <w:t>胶带</w:t>
                  </w:r>
                </w:p>
              </w:tc>
              <w:tc>
                <w:tcPr>
                  <w:tcW w:w="1656" w:type="dxa"/>
                  <w:tcBorders>
                    <w:tl2br w:val="nil"/>
                    <w:tr2bl w:val="nil"/>
                  </w:tcBorders>
                  <w:vAlign w:val="center"/>
                </w:tcPr>
                <w:p>
                  <w:pPr>
                    <w:widowControl/>
                    <w:jc w:val="center"/>
                    <w:rPr>
                      <w:rFonts w:ascii="Times New Roman" w:hAnsi="Times New Roman"/>
                      <w:sz w:val="21"/>
                      <w:szCs w:val="21"/>
                    </w:rPr>
                  </w:pPr>
                  <w:r>
                    <w:rPr>
                      <w:rFonts w:hint="eastAsia" w:ascii="Times New Roman" w:hAnsi="Times New Roman"/>
                      <w:color w:val="000000"/>
                      <w:kern w:val="0"/>
                      <w:sz w:val="21"/>
                      <w:szCs w:val="21"/>
                    </w:rPr>
                    <w:t>卷</w:t>
                  </w:r>
                </w:p>
              </w:tc>
              <w:tc>
                <w:tcPr>
                  <w:tcW w:w="1444" w:type="dxa"/>
                  <w:tcBorders>
                    <w:tl2br w:val="nil"/>
                    <w:tr2bl w:val="nil"/>
                  </w:tcBorders>
                  <w:vAlign w:val="center"/>
                </w:tcPr>
                <w:p>
                  <w:pPr>
                    <w:widowControl/>
                    <w:jc w:val="center"/>
                    <w:rPr>
                      <w:rFonts w:ascii="Times New Roman" w:hAnsi="Times New Roman"/>
                      <w:sz w:val="21"/>
                      <w:szCs w:val="21"/>
                    </w:rPr>
                  </w:pPr>
                  <w:r>
                    <w:rPr>
                      <w:rFonts w:ascii="Times New Roman" w:hAnsi="Times New Roman"/>
                      <w:color w:val="000000"/>
                      <w:kern w:val="0"/>
                      <w:sz w:val="21"/>
                      <w:szCs w:val="21"/>
                    </w:rPr>
                    <w:t>1000</w:t>
                  </w:r>
                </w:p>
              </w:tc>
              <w:tc>
                <w:tcPr>
                  <w:tcW w:w="1726" w:type="dxa"/>
                  <w:tcBorders>
                    <w:tl2br w:val="nil"/>
                    <w:tr2bl w:val="nil"/>
                  </w:tcBorders>
                </w:tcPr>
                <w:p>
                  <w:pPr>
                    <w:jc w:val="center"/>
                    <w:rPr>
                      <w:rFonts w:ascii="Times New Roman" w:hAnsi="Times New Roman"/>
                      <w:color w:val="000000"/>
                      <w:kern w:val="0"/>
                      <w:sz w:val="21"/>
                      <w:szCs w:val="21"/>
                    </w:rPr>
                  </w:pPr>
                  <w:r>
                    <w:rPr>
                      <w:rFonts w:ascii="Times New Roman" w:hAnsi="Times New Roman"/>
                      <w:color w:val="000000"/>
                      <w:kern w:val="0"/>
                      <w:sz w:val="21"/>
                      <w:szCs w:val="21"/>
                    </w:rPr>
                    <w:t>100</w:t>
                  </w:r>
                  <w:r>
                    <w:rPr>
                      <w:rFonts w:hint="eastAsia" w:ascii="Times New Roman" w:hAnsi="Times New Roman"/>
                      <w:color w:val="000000"/>
                      <w:kern w:val="0"/>
                      <w:sz w:val="21"/>
                      <w:szCs w:val="21"/>
                    </w:rPr>
                    <w:t>卷</w:t>
                  </w:r>
                </w:p>
              </w:tc>
              <w:tc>
                <w:tcPr>
                  <w:tcW w:w="1469" w:type="dxa"/>
                  <w:vMerge w:val="continue"/>
                  <w:tcBorders>
                    <w:tl2br w:val="nil"/>
                    <w:tr2bl w:val="nil"/>
                  </w:tcBorders>
                  <w:vAlign w:val="center"/>
                </w:tcPr>
                <w:p>
                  <w:pPr>
                    <w:rPr>
                      <w:rFonts w:ascii="Times New Roman" w:hAnsi="Times New Roman"/>
                      <w:sz w:val="20"/>
                    </w:rPr>
                  </w:pPr>
                </w:p>
              </w:tc>
            </w:tr>
            <w:bookmarkEnd w:id="3"/>
          </w:tbl>
          <w:p>
            <w:pPr>
              <w:spacing w:line="500" w:lineRule="exact"/>
              <w:ind w:firstLine="480" w:firstLineChars="200"/>
              <w:outlineLvl w:val="2"/>
              <w:rPr>
                <w:rFonts w:ascii="Times New Roman" w:hAnsi="Times New Roman"/>
                <w:kern w:val="2"/>
              </w:rPr>
            </w:pPr>
            <w:r>
              <w:rPr>
                <w:rFonts w:ascii="Times New Roman" w:hAnsi="Times New Roman"/>
                <w:kern w:val="2"/>
              </w:rPr>
              <w:t>主要原辅材料理化性质：</w:t>
            </w:r>
          </w:p>
          <w:p>
            <w:pPr>
              <w:numPr>
                <w:ilvl w:val="0"/>
                <w:numId w:val="1"/>
              </w:numPr>
              <w:adjustRightInd w:val="0"/>
              <w:spacing w:line="500" w:lineRule="exact"/>
              <w:ind w:firstLine="480" w:firstLineChars="200"/>
              <w:jc w:val="left"/>
              <w:textAlignment w:val="baseline"/>
              <w:rPr>
                <w:rFonts w:ascii="Times New Roman" w:hAnsi="Times New Roman"/>
                <w:b/>
                <w:bCs/>
                <w:kern w:val="2"/>
              </w:rPr>
            </w:pPr>
            <w:r>
              <w:rPr>
                <w:rFonts w:ascii="Times New Roman" w:hAnsi="Times New Roman"/>
                <w:kern w:val="2"/>
              </w:rPr>
              <w:t>油墨：挥发性干燥油墨，是</w:t>
            </w:r>
            <w:r>
              <w:fldChar w:fldCharType="begin"/>
            </w:r>
            <w:r>
              <w:instrText xml:space="preserve"> HYPERLINK "https://baike.baidu.com/item/%E4%B8%9D%E7%BD%91%E5%8D%B0%E5%88%B7" \t "http://hbj.weihai.gov.cn/attach/0/_blank" </w:instrText>
            </w:r>
            <w:r>
              <w:fldChar w:fldCharType="separate"/>
            </w:r>
            <w:r>
              <w:rPr>
                <w:rFonts w:ascii="Times New Roman" w:hAnsi="Times New Roman"/>
                <w:kern w:val="2"/>
              </w:rPr>
              <w:t>丝网印刷</w:t>
            </w:r>
            <w:r>
              <w:rPr>
                <w:rFonts w:ascii="Times New Roman" w:hAnsi="Times New Roman"/>
                <w:kern w:val="2"/>
              </w:rPr>
              <w:fldChar w:fldCharType="end"/>
            </w:r>
            <w:r>
              <w:rPr>
                <w:rFonts w:ascii="Times New Roman" w:hAnsi="Times New Roman"/>
                <w:kern w:val="2"/>
              </w:rPr>
              <w:t>中使用最多的一种</w:t>
            </w:r>
            <w:r>
              <w:fldChar w:fldCharType="begin"/>
            </w:r>
            <w:r>
              <w:instrText xml:space="preserve"> HYPERLINK "https://baike.baidu.com/item/%E6%B2%B9%E5%A2%A8" \t "http://hbj.weihai.gov.cn/attach/0/_blank" </w:instrText>
            </w:r>
            <w:r>
              <w:fldChar w:fldCharType="separate"/>
            </w:r>
            <w:r>
              <w:rPr>
                <w:rFonts w:ascii="Times New Roman" w:hAnsi="Times New Roman"/>
                <w:kern w:val="2"/>
              </w:rPr>
              <w:t>油墨</w:t>
            </w:r>
            <w:r>
              <w:rPr>
                <w:rFonts w:ascii="Times New Roman" w:hAnsi="Times New Roman"/>
                <w:kern w:val="2"/>
              </w:rPr>
              <w:fldChar w:fldCharType="end"/>
            </w:r>
            <w:r>
              <w:rPr>
                <w:rFonts w:ascii="Times New Roman" w:hAnsi="Times New Roman"/>
                <w:kern w:val="2"/>
              </w:rPr>
              <w:t>。墨膜的成分主要是高分子物质，印刷后溶剂挥发，其高分子物质就形成墨膜。</w:t>
            </w:r>
            <w:r>
              <w:rPr>
                <w:rFonts w:hint="eastAsia" w:ascii="Times New Roman" w:hAnsi="Times New Roman"/>
                <w:kern w:val="2"/>
              </w:rPr>
              <w:t>根据企业提供的资料，油墨主要成分环氧树脂含量50-60%，有机颜料5-15%，酯类溶剂30%左右。</w:t>
            </w:r>
          </w:p>
          <w:p>
            <w:pPr>
              <w:numPr>
                <w:ilvl w:val="0"/>
                <w:numId w:val="1"/>
              </w:numPr>
              <w:adjustRightInd w:val="0"/>
              <w:spacing w:line="500" w:lineRule="exact"/>
              <w:ind w:firstLine="480" w:firstLineChars="200"/>
              <w:jc w:val="left"/>
              <w:textAlignment w:val="baseline"/>
              <w:rPr>
                <w:rFonts w:ascii="Times New Roman" w:hAnsi="Times New Roman"/>
                <w:kern w:val="2"/>
              </w:rPr>
            </w:pPr>
            <w:r>
              <w:rPr>
                <w:rFonts w:ascii="Times New Roman" w:hAnsi="Times New Roman"/>
                <w:kern w:val="2"/>
              </w:rPr>
              <w:t>稀释剂（环己酮）：无色油状液体，具有薄菏和丙酮的气味。微溶于水，易溶于乙醇和乙醚。易燃，无腐蚀性。蒸气与空气形成</w:t>
            </w:r>
            <w:r>
              <w:fldChar w:fldCharType="begin"/>
            </w:r>
            <w:r>
              <w:instrText xml:space="preserve"> HYPERLINK "https://baike.sogou.com/lemma/ShowInnerLink.htm?lemmaId=24981492&amp;ss_c=ssc.citiao.link" \t "https://baike.sogou.com/_blank" </w:instrText>
            </w:r>
            <w:r>
              <w:fldChar w:fldCharType="separate"/>
            </w:r>
            <w:r>
              <w:rPr>
                <w:rFonts w:ascii="Times New Roman" w:hAnsi="Times New Roman"/>
                <w:kern w:val="2"/>
              </w:rPr>
              <w:t>爆炸性混合物</w:t>
            </w:r>
            <w:r>
              <w:rPr>
                <w:rFonts w:ascii="Times New Roman" w:hAnsi="Times New Roman"/>
                <w:kern w:val="2"/>
              </w:rPr>
              <w:fldChar w:fldCharType="end"/>
            </w:r>
            <w:r>
              <w:rPr>
                <w:rFonts w:ascii="Times New Roman" w:hAnsi="Times New Roman"/>
                <w:kern w:val="2"/>
              </w:rPr>
              <w:t>，爆炸极限3.2％～9％(体积)。是一种重要的有机化工原料，主要用于制造</w:t>
            </w:r>
            <w:r>
              <w:fldChar w:fldCharType="begin"/>
            </w:r>
            <w:r>
              <w:instrText xml:space="preserve"> HYPERLINK "https://baike.sogou.com/lemma/ShowInnerLink.htm?lemmaId=599695" \t "https://baike.sogou.com/_blank" </w:instrText>
            </w:r>
            <w:r>
              <w:fldChar w:fldCharType="separate"/>
            </w:r>
            <w:r>
              <w:rPr>
                <w:rFonts w:ascii="Times New Roman" w:hAnsi="Times New Roman"/>
                <w:kern w:val="2"/>
              </w:rPr>
              <w:t>己内酰胺</w:t>
            </w:r>
            <w:r>
              <w:rPr>
                <w:rFonts w:ascii="Times New Roman" w:hAnsi="Times New Roman"/>
                <w:kern w:val="2"/>
              </w:rPr>
              <w:fldChar w:fldCharType="end"/>
            </w:r>
            <w:r>
              <w:rPr>
                <w:rFonts w:ascii="Times New Roman" w:hAnsi="Times New Roman"/>
                <w:kern w:val="2"/>
              </w:rPr>
              <w:t>和</w:t>
            </w:r>
            <w:r>
              <w:fldChar w:fldCharType="begin"/>
            </w:r>
            <w:r>
              <w:instrText xml:space="preserve"> HYPERLINK "https://baike.sogou.com/lemma/ShowInnerLink.htm?lemmaId=107131" \t "https://baike.sogou.com/_blank" </w:instrText>
            </w:r>
            <w:r>
              <w:fldChar w:fldCharType="separate"/>
            </w:r>
            <w:r>
              <w:rPr>
                <w:rFonts w:ascii="Times New Roman" w:hAnsi="Times New Roman"/>
                <w:kern w:val="2"/>
              </w:rPr>
              <w:t>己二酸</w:t>
            </w:r>
            <w:r>
              <w:rPr>
                <w:rFonts w:ascii="Times New Roman" w:hAnsi="Times New Roman"/>
                <w:kern w:val="2"/>
              </w:rPr>
              <w:fldChar w:fldCharType="end"/>
            </w:r>
            <w:r>
              <w:rPr>
                <w:rFonts w:ascii="Times New Roman" w:hAnsi="Times New Roman"/>
                <w:kern w:val="2"/>
              </w:rPr>
              <w:t>，也用作溶剂和</w:t>
            </w:r>
            <w:r>
              <w:fldChar w:fldCharType="begin"/>
            </w:r>
            <w:r>
              <w:instrText xml:space="preserve"> HYPERLINK "https://baike.sogou.com/lemma/ShowInnerLink.htm?lemmaId=129648&amp;ss_c=ssc.citiao.link" \t "https://baike.sogou.com/_blank" </w:instrText>
            </w:r>
            <w:r>
              <w:fldChar w:fldCharType="separate"/>
            </w:r>
            <w:r>
              <w:rPr>
                <w:rFonts w:ascii="Times New Roman" w:hAnsi="Times New Roman"/>
                <w:kern w:val="2"/>
              </w:rPr>
              <w:t>稀释剂</w:t>
            </w:r>
            <w:r>
              <w:rPr>
                <w:rFonts w:ascii="Times New Roman" w:hAnsi="Times New Roman"/>
                <w:kern w:val="2"/>
              </w:rPr>
              <w:fldChar w:fldCharType="end"/>
            </w:r>
            <w:r>
              <w:rPr>
                <w:rFonts w:ascii="Times New Roman" w:hAnsi="Times New Roman"/>
                <w:kern w:val="2"/>
              </w:rPr>
              <w:t>。</w:t>
            </w:r>
          </w:p>
          <w:p>
            <w:pPr>
              <w:spacing w:line="360" w:lineRule="auto"/>
              <w:ind w:firstLine="480" w:firstLineChars="200"/>
              <w:rPr>
                <w:rFonts w:ascii="Times New Roman" w:hAnsi="Times New Roman" w:eastAsia="黑体"/>
              </w:rPr>
            </w:pPr>
            <w:r>
              <w:rPr>
                <w:rFonts w:ascii="Times New Roman" w:hAnsi="Times New Roman" w:eastAsia="黑体"/>
              </w:rPr>
              <w:t>4、工作制度及劳动定员</w:t>
            </w:r>
          </w:p>
          <w:p>
            <w:pPr>
              <w:spacing w:line="360" w:lineRule="auto"/>
              <w:ind w:firstLine="480" w:firstLineChars="200"/>
            </w:pPr>
            <w:bookmarkStart w:id="4" w:name="_Hlk38898435"/>
            <w:bookmarkStart w:id="5" w:name="_Hlk56518513"/>
            <w:r>
              <w:rPr>
                <w:rFonts w:hint="eastAsia" w:ascii="Times New Roman" w:hAnsi="Times New Roman"/>
              </w:rPr>
              <w:t>本项目劳动定员共</w:t>
            </w:r>
            <w:r>
              <w:rPr>
                <w:rFonts w:ascii="Times New Roman" w:hAnsi="Times New Roman"/>
              </w:rPr>
              <w:t>10</w:t>
            </w:r>
            <w:r>
              <w:rPr>
                <w:rFonts w:hint="eastAsia" w:ascii="Times New Roman" w:hAnsi="Times New Roman"/>
              </w:rPr>
              <w:t>人，</w:t>
            </w:r>
            <w:r>
              <w:rPr>
                <w:rFonts w:ascii="Times New Roman" w:hAnsi="Times New Roman"/>
              </w:rPr>
              <w:t>实行</w:t>
            </w:r>
            <w:r>
              <w:rPr>
                <w:rFonts w:hint="eastAsia" w:ascii="Times New Roman" w:hAnsi="Times New Roman"/>
              </w:rPr>
              <w:t>单</w:t>
            </w:r>
            <w:r>
              <w:rPr>
                <w:rFonts w:ascii="Times New Roman" w:hAnsi="Times New Roman"/>
              </w:rPr>
              <w:t>班制，每</w:t>
            </w:r>
            <w:r>
              <w:rPr>
                <w:rFonts w:hint="eastAsia" w:ascii="Times New Roman" w:hAnsi="Times New Roman"/>
              </w:rPr>
              <w:t>班</w:t>
            </w:r>
            <w:r>
              <w:rPr>
                <w:rFonts w:ascii="Times New Roman" w:hAnsi="Times New Roman"/>
              </w:rPr>
              <w:t>工作8</w:t>
            </w:r>
            <w:r>
              <w:rPr>
                <w:rFonts w:hint="eastAsia" w:ascii="Times New Roman" w:hAnsi="Times New Roman"/>
              </w:rPr>
              <w:t>小时</w:t>
            </w:r>
            <w:r>
              <w:rPr>
                <w:rFonts w:ascii="Times New Roman" w:hAnsi="Times New Roman"/>
              </w:rPr>
              <w:t>，年工作300d</w:t>
            </w:r>
            <w:bookmarkEnd w:id="4"/>
            <w:r>
              <w:t>。</w:t>
            </w:r>
          </w:p>
          <w:bookmarkEnd w:id="5"/>
          <w:p>
            <w:pPr>
              <w:spacing w:line="360" w:lineRule="auto"/>
              <w:ind w:firstLine="480" w:firstLineChars="200"/>
              <w:rPr>
                <w:rFonts w:ascii="Times New Roman" w:hAnsi="Times New Roman" w:eastAsia="黑体"/>
              </w:rPr>
            </w:pPr>
            <w:r>
              <w:rPr>
                <w:rFonts w:ascii="Times New Roman" w:hAnsi="Times New Roman" w:eastAsia="黑体"/>
              </w:rPr>
              <w:t>5、能源消耗</w:t>
            </w:r>
          </w:p>
          <w:p>
            <w:pPr>
              <w:spacing w:line="360" w:lineRule="auto"/>
              <w:ind w:firstLine="552" w:firstLineChars="230"/>
              <w:rPr>
                <w:rFonts w:ascii="Times New Roman" w:hAnsi="Times New Roman" w:eastAsia="黑体"/>
                <w:szCs w:val="24"/>
              </w:rPr>
            </w:pPr>
            <w:r>
              <w:rPr>
                <w:rFonts w:ascii="Times New Roman"/>
                <w:szCs w:val="24"/>
              </w:rPr>
              <w:t>本项目</w:t>
            </w:r>
            <w:r>
              <w:rPr>
                <w:rFonts w:ascii="Times New Roman" w:hAnsi="Times New Roman"/>
              </w:rPr>
              <w:t>能源消耗</w:t>
            </w:r>
            <w:r>
              <w:rPr>
                <w:rFonts w:hint="eastAsia" w:ascii="Times New Roman" w:hAnsi="Times New Roman"/>
              </w:rPr>
              <w:t>情况见</w:t>
            </w:r>
            <w:r>
              <w:rPr>
                <w:b/>
                <w:szCs w:val="24"/>
              </w:rPr>
              <w:t>表4</w:t>
            </w:r>
            <w:r>
              <w:rPr>
                <w:rFonts w:hint="eastAsia"/>
                <w:b/>
                <w:szCs w:val="24"/>
              </w:rPr>
              <w:t>。</w:t>
            </w:r>
          </w:p>
          <w:p>
            <w:pPr>
              <w:spacing w:line="360" w:lineRule="auto"/>
              <w:ind w:left="50" w:firstLine="480" w:firstLineChars="200"/>
              <w:jc w:val="center"/>
              <w:rPr>
                <w:rFonts w:ascii="Times New Roman" w:hAnsi="Times New Roman" w:eastAsia="黑体"/>
                <w:szCs w:val="24"/>
              </w:rPr>
            </w:pPr>
            <w:r>
              <w:rPr>
                <w:rFonts w:ascii="Times New Roman" w:hAnsi="Times New Roman" w:eastAsia="黑体"/>
                <w:szCs w:val="24"/>
              </w:rPr>
              <w:t xml:space="preserve">表4 </w:t>
            </w:r>
            <w:r>
              <w:rPr>
                <w:rFonts w:hint="eastAsia" w:ascii="Times New Roman" w:hAnsi="Times New Roman" w:eastAsia="黑体"/>
                <w:szCs w:val="24"/>
              </w:rPr>
              <w:t>能源消耗情况</w:t>
            </w:r>
          </w:p>
          <w:tbl>
            <w:tblPr>
              <w:tblStyle w:val="30"/>
              <w:tblW w:w="10037"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2643"/>
              <w:gridCol w:w="3174"/>
              <w:gridCol w:w="4220"/>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13" w:hRule="atLeast"/>
                <w:jc w:val="center"/>
              </w:trPr>
              <w:tc>
                <w:tcPr>
                  <w:tcW w:w="2643" w:type="dxa"/>
                  <w:shd w:val="clear" w:color="auto" w:fill="auto"/>
                  <w:vAlign w:val="center"/>
                </w:tcPr>
                <w:p>
                  <w:pPr>
                    <w:widowControl/>
                    <w:adjustRightInd w:val="0"/>
                    <w:snapToGrid w:val="0"/>
                    <w:jc w:val="center"/>
                    <w:rPr>
                      <w:rFonts w:ascii="Times New Roman" w:hAnsi="Times New Roman"/>
                      <w:kern w:val="0"/>
                      <w:sz w:val="21"/>
                      <w:szCs w:val="21"/>
                    </w:rPr>
                  </w:pPr>
                  <w:r>
                    <w:rPr>
                      <w:rFonts w:ascii="Times New Roman"/>
                      <w:kern w:val="0"/>
                      <w:sz w:val="21"/>
                      <w:szCs w:val="21"/>
                    </w:rPr>
                    <w:t>燃料及动力</w:t>
                  </w:r>
                </w:p>
              </w:tc>
              <w:tc>
                <w:tcPr>
                  <w:tcW w:w="3174" w:type="dxa"/>
                  <w:shd w:val="clear" w:color="auto" w:fill="auto"/>
                  <w:vAlign w:val="center"/>
                </w:tcPr>
                <w:p>
                  <w:pPr>
                    <w:widowControl/>
                    <w:adjustRightInd w:val="0"/>
                    <w:snapToGrid w:val="0"/>
                    <w:jc w:val="center"/>
                    <w:rPr>
                      <w:rFonts w:ascii="Times New Roman" w:hAnsi="Times New Roman"/>
                      <w:kern w:val="0"/>
                      <w:sz w:val="21"/>
                      <w:szCs w:val="21"/>
                    </w:rPr>
                  </w:pPr>
                  <w:r>
                    <w:rPr>
                      <w:rFonts w:ascii="Times New Roman"/>
                      <w:kern w:val="0"/>
                      <w:sz w:val="21"/>
                      <w:szCs w:val="21"/>
                    </w:rPr>
                    <w:t>耗量</w:t>
                  </w:r>
                </w:p>
              </w:tc>
              <w:tc>
                <w:tcPr>
                  <w:tcW w:w="4220" w:type="dxa"/>
                  <w:shd w:val="clear" w:color="auto" w:fill="auto"/>
                  <w:vAlign w:val="center"/>
                </w:tcPr>
                <w:p>
                  <w:pPr>
                    <w:widowControl/>
                    <w:adjustRightInd w:val="0"/>
                    <w:snapToGrid w:val="0"/>
                    <w:jc w:val="center"/>
                    <w:rPr>
                      <w:rFonts w:ascii="Times New Roman" w:hAnsi="Times New Roman"/>
                      <w:kern w:val="0"/>
                      <w:sz w:val="21"/>
                      <w:szCs w:val="21"/>
                    </w:rPr>
                  </w:pPr>
                  <w:r>
                    <w:rPr>
                      <w:rFonts w:ascii="Times New Roman"/>
                      <w:kern w:val="0"/>
                      <w:sz w:val="21"/>
                      <w:szCs w:val="21"/>
                    </w:rPr>
                    <w:t>来源</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62" w:hRule="atLeast"/>
                <w:jc w:val="center"/>
              </w:trPr>
              <w:tc>
                <w:tcPr>
                  <w:tcW w:w="2643" w:type="dxa"/>
                  <w:shd w:val="clear" w:color="auto" w:fill="auto"/>
                  <w:vAlign w:val="center"/>
                </w:tcPr>
                <w:p>
                  <w:pPr>
                    <w:widowControl/>
                    <w:adjustRightInd w:val="0"/>
                    <w:snapToGrid w:val="0"/>
                    <w:jc w:val="center"/>
                    <w:rPr>
                      <w:rFonts w:ascii="Times New Roman" w:hAnsi="Times New Roman"/>
                      <w:kern w:val="0"/>
                      <w:sz w:val="21"/>
                      <w:szCs w:val="21"/>
                    </w:rPr>
                  </w:pPr>
                  <w:r>
                    <w:rPr>
                      <w:rFonts w:ascii="Times New Roman"/>
                      <w:kern w:val="0"/>
                      <w:sz w:val="21"/>
                      <w:szCs w:val="21"/>
                    </w:rPr>
                    <w:t>水</w:t>
                  </w:r>
                </w:p>
              </w:tc>
              <w:tc>
                <w:tcPr>
                  <w:tcW w:w="3174" w:type="dxa"/>
                  <w:shd w:val="clear" w:color="auto" w:fill="auto"/>
                  <w:vAlign w:val="center"/>
                </w:tcPr>
                <w:p>
                  <w:pPr>
                    <w:widowControl/>
                    <w:adjustRightInd w:val="0"/>
                    <w:snapToGrid w:val="0"/>
                    <w:jc w:val="center"/>
                    <w:rPr>
                      <w:rFonts w:ascii="Times New Roman" w:hAnsi="Times New Roman"/>
                      <w:kern w:val="0"/>
                      <w:sz w:val="21"/>
                      <w:szCs w:val="21"/>
                    </w:rPr>
                  </w:pPr>
                  <w:r>
                    <w:rPr>
                      <w:rFonts w:ascii="Times New Roman" w:hAnsi="Times New Roman"/>
                      <w:sz w:val="21"/>
                      <w:szCs w:val="21"/>
                    </w:rPr>
                    <w:t>15</w:t>
                  </w:r>
                  <w:r>
                    <w:rPr>
                      <w:rFonts w:hint="eastAsia" w:ascii="Times New Roman" w:hAnsi="Times New Roman"/>
                      <w:sz w:val="21"/>
                      <w:szCs w:val="21"/>
                    </w:rPr>
                    <w:t>0</w:t>
                  </w:r>
                  <w:r>
                    <w:rPr>
                      <w:rFonts w:ascii="Times New Roman" w:hAnsi="Times New Roman"/>
                      <w:sz w:val="21"/>
                      <w:szCs w:val="21"/>
                    </w:rPr>
                    <w:t>t</w:t>
                  </w:r>
                  <w:r>
                    <w:rPr>
                      <w:rFonts w:hint="eastAsia" w:ascii="Times New Roman" w:hAnsi="Times New Roman"/>
                      <w:sz w:val="21"/>
                      <w:szCs w:val="21"/>
                    </w:rPr>
                    <w:t>/a</w:t>
                  </w:r>
                </w:p>
              </w:tc>
              <w:tc>
                <w:tcPr>
                  <w:tcW w:w="4220" w:type="dxa"/>
                  <w:shd w:val="clear" w:color="auto" w:fill="auto"/>
                  <w:vAlign w:val="center"/>
                </w:tcPr>
                <w:p>
                  <w:pPr>
                    <w:widowControl/>
                    <w:adjustRightInd w:val="0"/>
                    <w:snapToGrid w:val="0"/>
                    <w:jc w:val="center"/>
                    <w:rPr>
                      <w:rFonts w:ascii="Times New Roman" w:hAnsi="Times New Roman"/>
                      <w:kern w:val="0"/>
                      <w:sz w:val="21"/>
                      <w:szCs w:val="21"/>
                    </w:rPr>
                  </w:pPr>
                  <w:r>
                    <w:rPr>
                      <w:rFonts w:hint="eastAsia" w:ascii="Times New Roman"/>
                      <w:kern w:val="0"/>
                      <w:sz w:val="21"/>
                      <w:szCs w:val="21"/>
                    </w:rPr>
                    <w:t>自来水管网</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66" w:hRule="atLeast"/>
                <w:jc w:val="center"/>
              </w:trPr>
              <w:tc>
                <w:tcPr>
                  <w:tcW w:w="2643" w:type="dxa"/>
                  <w:shd w:val="clear" w:color="auto" w:fill="auto"/>
                  <w:vAlign w:val="center"/>
                </w:tcPr>
                <w:p>
                  <w:pPr>
                    <w:widowControl/>
                    <w:adjustRightInd w:val="0"/>
                    <w:snapToGrid w:val="0"/>
                    <w:jc w:val="center"/>
                    <w:rPr>
                      <w:rFonts w:ascii="Times New Roman" w:hAnsi="Times New Roman"/>
                      <w:kern w:val="0"/>
                      <w:sz w:val="21"/>
                      <w:szCs w:val="21"/>
                    </w:rPr>
                  </w:pPr>
                  <w:r>
                    <w:rPr>
                      <w:rFonts w:ascii="Times New Roman"/>
                      <w:kern w:val="0"/>
                      <w:sz w:val="21"/>
                      <w:szCs w:val="21"/>
                    </w:rPr>
                    <w:t>电</w:t>
                  </w:r>
                </w:p>
              </w:tc>
              <w:tc>
                <w:tcPr>
                  <w:tcW w:w="3174" w:type="dxa"/>
                  <w:shd w:val="clear" w:color="auto" w:fill="auto"/>
                  <w:vAlign w:val="center"/>
                </w:tcPr>
                <w:p>
                  <w:pPr>
                    <w:widowControl/>
                    <w:adjustRightInd w:val="0"/>
                    <w:snapToGrid w:val="0"/>
                    <w:jc w:val="center"/>
                    <w:rPr>
                      <w:rFonts w:ascii="Times New Roman" w:hAnsi="Times New Roman"/>
                      <w:kern w:val="0"/>
                      <w:sz w:val="21"/>
                      <w:szCs w:val="21"/>
                    </w:rPr>
                  </w:pPr>
                  <w:r>
                    <w:rPr>
                      <w:rFonts w:hint="eastAsia" w:ascii="Times New Roman" w:hAnsi="Times New Roman"/>
                      <w:kern w:val="0"/>
                      <w:sz w:val="21"/>
                      <w:szCs w:val="21"/>
                    </w:rPr>
                    <w:t>5</w:t>
                  </w:r>
                  <w:r>
                    <w:rPr>
                      <w:rFonts w:ascii="Times New Roman" w:hAnsi="Times New Roman"/>
                      <w:kern w:val="0"/>
                      <w:sz w:val="21"/>
                      <w:szCs w:val="21"/>
                    </w:rPr>
                    <w:t>万kW</w:t>
                  </w:r>
                  <w:r>
                    <w:rPr>
                      <w:rFonts w:hint="eastAsia" w:ascii="Times New Roman" w:hAnsi="Times New Roman"/>
                      <w:kern w:val="0"/>
                      <w:sz w:val="21"/>
                      <w:szCs w:val="21"/>
                    </w:rPr>
                    <w:t>.</w:t>
                  </w:r>
                  <w:r>
                    <w:rPr>
                      <w:rFonts w:ascii="Times New Roman" w:hAnsi="Times New Roman"/>
                      <w:kern w:val="0"/>
                      <w:sz w:val="21"/>
                      <w:szCs w:val="21"/>
                    </w:rPr>
                    <w:t>h/a</w:t>
                  </w:r>
                </w:p>
              </w:tc>
              <w:tc>
                <w:tcPr>
                  <w:tcW w:w="4220" w:type="dxa"/>
                  <w:shd w:val="clear" w:color="auto" w:fill="auto"/>
                  <w:vAlign w:val="center"/>
                </w:tcPr>
                <w:p>
                  <w:pPr>
                    <w:widowControl/>
                    <w:adjustRightInd w:val="0"/>
                    <w:snapToGrid w:val="0"/>
                    <w:jc w:val="center"/>
                    <w:rPr>
                      <w:rFonts w:ascii="Times New Roman" w:hAnsi="Times New Roman"/>
                      <w:kern w:val="0"/>
                      <w:sz w:val="21"/>
                      <w:szCs w:val="21"/>
                    </w:rPr>
                  </w:pPr>
                  <w:r>
                    <w:rPr>
                      <w:rFonts w:hint="eastAsia" w:ascii="Times New Roman"/>
                      <w:kern w:val="0"/>
                      <w:sz w:val="21"/>
                      <w:szCs w:val="21"/>
                    </w:rPr>
                    <w:t>电业公司</w:t>
                  </w:r>
                </w:p>
              </w:tc>
            </w:tr>
          </w:tbl>
          <w:p>
            <w:pPr>
              <w:spacing w:line="360" w:lineRule="auto"/>
              <w:ind w:firstLine="480" w:firstLineChars="200"/>
              <w:rPr>
                <w:rFonts w:ascii="Times New Roman" w:hAnsi="Times New Roman" w:eastAsiaTheme="minorEastAsia"/>
              </w:rPr>
            </w:pPr>
            <w:r>
              <w:rPr>
                <w:rFonts w:ascii="Times New Roman" w:hAnsi="Times New Roman" w:eastAsiaTheme="minorEastAsia"/>
              </w:rPr>
              <w:t>（1）给水</w:t>
            </w:r>
          </w:p>
          <w:p>
            <w:pPr>
              <w:pStyle w:val="32"/>
              <w:ind w:firstLine="480"/>
            </w:pPr>
            <w:r>
              <w:t>项目用水主要包括生活用水。项目劳动定员10人，为附近居民，不在厂区内住宿，无食宿，参照《建筑给排水设计规范》</w:t>
            </w:r>
            <w:r>
              <w:rPr>
                <w:rFonts w:hint="eastAsia"/>
              </w:rPr>
              <w:t>，</w:t>
            </w:r>
            <w:r>
              <w:t>员工生活用水按50L/人·d计，则年生活用水量约为150t/a</w:t>
            </w:r>
            <w:r>
              <w:rPr>
                <w:rFonts w:hint="eastAsia"/>
              </w:rPr>
              <w:t>。</w:t>
            </w:r>
          </w:p>
          <w:p>
            <w:pPr>
              <w:spacing w:line="360" w:lineRule="auto"/>
              <w:ind w:firstLine="480" w:firstLineChars="200"/>
              <w:rPr>
                <w:rFonts w:ascii="Times New Roman" w:hAnsi="Times New Roman"/>
                <w:szCs w:val="24"/>
              </w:rPr>
            </w:pPr>
            <w:r>
              <w:rPr>
                <w:rFonts w:hint="eastAsia" w:ascii="Times New Roman" w:hAnsi="Times New Roman"/>
                <w:szCs w:val="24"/>
              </w:rPr>
              <w:t>（2）排水：</w:t>
            </w:r>
            <w:r>
              <w:rPr>
                <w:rFonts w:hint="eastAsia"/>
              </w:rPr>
              <w:t>项目无生产废水产排，</w:t>
            </w:r>
            <w:r>
              <w:rPr>
                <w:rFonts w:hint="eastAsia" w:ascii="Times New Roman" w:hAnsi="Times New Roman"/>
                <w:szCs w:val="24"/>
              </w:rPr>
              <w:t>生活污水产生量按0</w:t>
            </w:r>
            <w:r>
              <w:rPr>
                <w:rFonts w:ascii="Times New Roman" w:hAnsi="Times New Roman"/>
                <w:szCs w:val="24"/>
              </w:rPr>
              <w:t>.8</w:t>
            </w:r>
            <w:r>
              <w:rPr>
                <w:rFonts w:hint="eastAsia" w:ascii="Times New Roman" w:hAnsi="Times New Roman"/>
                <w:szCs w:val="24"/>
              </w:rPr>
              <w:t>计算，则生活污水产生量为</w:t>
            </w:r>
            <w:r>
              <w:rPr>
                <w:rFonts w:ascii="Times New Roman" w:hAnsi="Times New Roman"/>
                <w:szCs w:val="24"/>
              </w:rPr>
              <w:t>120t/a</w:t>
            </w:r>
            <w:r>
              <w:rPr>
                <w:rFonts w:hint="eastAsia" w:ascii="Times New Roman" w:hAnsi="Times New Roman"/>
                <w:szCs w:val="24"/>
              </w:rPr>
              <w:t>，经化粪池预处理后，经污水管网排入</w:t>
            </w:r>
            <w:r>
              <w:rPr>
                <w:rFonts w:hint="eastAsia"/>
                <w:kern w:val="2"/>
                <w:szCs w:val="24"/>
              </w:rPr>
              <w:t>威海水务集团有限公司崮山污水处理厂</w:t>
            </w:r>
            <w:r>
              <w:rPr>
                <w:rFonts w:hint="eastAsia" w:ascii="Times New Roman" w:hAnsi="Times New Roman"/>
                <w:szCs w:val="24"/>
              </w:rPr>
              <w:t>进行处理，达标后深海排放。</w:t>
            </w:r>
          </w:p>
          <w:p>
            <w:pPr>
              <w:pStyle w:val="2"/>
            </w:pPr>
          </w:p>
          <w:p>
            <w:pPr>
              <w:spacing w:line="360" w:lineRule="auto"/>
              <w:ind w:firstLine="480" w:firstLineChars="200"/>
              <w:jc w:val="center"/>
              <w:rPr>
                <w:rFonts w:ascii="Times New Roman" w:hAnsi="Times New Roman"/>
                <w:szCs w:val="24"/>
              </w:rPr>
            </w:pPr>
          </w:p>
          <w:p>
            <w:pPr>
              <w:adjustRightInd w:val="0"/>
              <w:spacing w:line="360" w:lineRule="auto"/>
              <w:ind w:firstLine="480" w:firstLineChars="200"/>
              <w:jc w:val="center"/>
              <w:textAlignment w:val="baseline"/>
              <w:rPr>
                <w:rFonts w:ascii="Times New Roman" w:hAnsi="Times New Roman" w:eastAsia="黑体"/>
                <w:kern w:val="2"/>
              </w:rPr>
            </w:pPr>
            <w:r>
              <w:drawing>
                <wp:inline distT="0" distB="0" distL="114300" distR="114300">
                  <wp:extent cx="4548505" cy="779145"/>
                  <wp:effectExtent l="0" t="0" r="8255" b="13335"/>
                  <wp:docPr id="10"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4"/>
                          <pic:cNvPicPr>
                            <a:picLocks noChangeAspect="1"/>
                          </pic:cNvPicPr>
                        </pic:nvPicPr>
                        <pic:blipFill>
                          <a:blip r:embed="rId16" cstate="print"/>
                          <a:stretch>
                            <a:fillRect/>
                          </a:stretch>
                        </pic:blipFill>
                        <pic:spPr>
                          <a:xfrm>
                            <a:off x="0" y="0"/>
                            <a:ext cx="4548505" cy="779145"/>
                          </a:xfrm>
                          <a:prstGeom prst="rect">
                            <a:avLst/>
                          </a:prstGeom>
                          <a:noFill/>
                          <a:ln>
                            <a:noFill/>
                          </a:ln>
                        </pic:spPr>
                      </pic:pic>
                    </a:graphicData>
                  </a:graphic>
                </wp:inline>
              </w:drawing>
            </w:r>
          </w:p>
          <w:p>
            <w:pPr>
              <w:adjustRightInd w:val="0"/>
              <w:spacing w:line="360" w:lineRule="auto"/>
              <w:ind w:firstLine="480" w:firstLineChars="200"/>
              <w:jc w:val="center"/>
              <w:textAlignment w:val="baseline"/>
              <w:rPr>
                <w:rFonts w:ascii="Times New Roman" w:hAnsi="Times New Roman" w:eastAsia="黑体"/>
                <w:color w:val="000000"/>
                <w:kern w:val="2"/>
              </w:rPr>
            </w:pPr>
            <w:r>
              <w:rPr>
                <w:rFonts w:ascii="Times New Roman" w:hAnsi="Times New Roman" w:eastAsia="黑体"/>
                <w:kern w:val="2"/>
              </w:rPr>
              <w:t>图1 项目水平衡图（t/a）</w:t>
            </w:r>
          </w:p>
          <w:p>
            <w:pPr>
              <w:spacing w:line="360" w:lineRule="auto"/>
              <w:ind w:firstLine="480"/>
              <w:rPr>
                <w:rFonts w:ascii="Times New Roman" w:hAnsi="Times New Roman"/>
                <w:szCs w:val="24"/>
              </w:rPr>
            </w:pPr>
            <w:r>
              <w:rPr>
                <w:rFonts w:ascii="Times New Roman" w:hAnsi="Times New Roman"/>
                <w:szCs w:val="24"/>
              </w:rPr>
              <w:t>（3）</w:t>
            </w:r>
            <w:r>
              <w:rPr>
                <w:rFonts w:hint="eastAsia" w:ascii="Times New Roman" w:hAnsi="Times New Roman"/>
                <w:szCs w:val="24"/>
              </w:rPr>
              <w:t>供</w:t>
            </w:r>
            <w:r>
              <w:rPr>
                <w:rFonts w:ascii="Times New Roman" w:hAnsi="Times New Roman"/>
                <w:szCs w:val="24"/>
              </w:rPr>
              <w:t>电</w:t>
            </w:r>
          </w:p>
          <w:p>
            <w:pPr>
              <w:spacing w:line="360" w:lineRule="auto"/>
              <w:ind w:firstLine="480"/>
              <w:rPr>
                <w:rFonts w:ascii="Times New Roman" w:hAnsi="Times New Roman"/>
                <w:szCs w:val="24"/>
              </w:rPr>
            </w:pPr>
            <w:r>
              <w:rPr>
                <w:rFonts w:ascii="Times New Roman" w:hAnsi="Times New Roman"/>
                <w:szCs w:val="24"/>
              </w:rPr>
              <w:t>项目用电由国家电网统一供电，年用电量约为</w:t>
            </w:r>
            <w:r>
              <w:rPr>
                <w:rFonts w:hint="eastAsia" w:ascii="Times New Roman" w:hAnsi="Times New Roman"/>
                <w:szCs w:val="24"/>
              </w:rPr>
              <w:t>5</w:t>
            </w:r>
            <w:r>
              <w:rPr>
                <w:rFonts w:ascii="Times New Roman" w:hAnsi="Times New Roman"/>
                <w:szCs w:val="24"/>
              </w:rPr>
              <w:t>万k</w:t>
            </w:r>
            <w:r>
              <w:rPr>
                <w:rFonts w:hint="eastAsia" w:ascii="Times New Roman" w:hAnsi="Times New Roman"/>
                <w:szCs w:val="24"/>
              </w:rPr>
              <w:t>W.</w:t>
            </w:r>
            <w:r>
              <w:rPr>
                <w:rFonts w:ascii="Times New Roman" w:hAnsi="Times New Roman"/>
                <w:szCs w:val="24"/>
              </w:rPr>
              <w:t>h。</w:t>
            </w:r>
          </w:p>
          <w:p>
            <w:pPr>
              <w:spacing w:line="360" w:lineRule="auto"/>
              <w:ind w:firstLine="480"/>
              <w:rPr>
                <w:rFonts w:ascii="Times New Roman" w:hAnsi="Times New Roman"/>
                <w:szCs w:val="24"/>
              </w:rPr>
            </w:pPr>
            <w:r>
              <w:rPr>
                <w:rFonts w:ascii="Times New Roman" w:hAnsi="Times New Roman"/>
                <w:szCs w:val="24"/>
              </w:rPr>
              <w:t>（4）供热、制冷</w:t>
            </w:r>
          </w:p>
          <w:p>
            <w:pPr>
              <w:spacing w:line="360" w:lineRule="auto"/>
              <w:ind w:firstLine="480"/>
              <w:rPr>
                <w:rFonts w:ascii="Times New Roman" w:hAnsi="Times New Roman"/>
                <w:szCs w:val="24"/>
              </w:rPr>
            </w:pPr>
            <w:r>
              <w:rPr>
                <w:rFonts w:ascii="Times New Roman" w:hAnsi="Times New Roman"/>
                <w:szCs w:val="24"/>
              </w:rPr>
              <w:t>项目生产的相关工序均使用电加热，员工供暖、制冷均使用空调。项目不自行建设锅炉，无燃煤燃气需求。</w:t>
            </w:r>
          </w:p>
          <w:p>
            <w:pPr>
              <w:spacing w:line="360" w:lineRule="auto"/>
              <w:ind w:firstLine="480" w:firstLineChars="200"/>
              <w:rPr>
                <w:rFonts w:ascii="Times New Roman" w:hAnsi="Times New Roman" w:eastAsia="黑体"/>
              </w:rPr>
            </w:pPr>
            <w:r>
              <w:rPr>
                <w:rFonts w:ascii="Times New Roman" w:hAnsi="Times New Roman" w:eastAsia="黑体"/>
              </w:rPr>
              <w:t>6、相关法规、政策、标准的符合性</w:t>
            </w:r>
          </w:p>
          <w:p>
            <w:pPr>
              <w:spacing w:line="360" w:lineRule="auto"/>
              <w:ind w:firstLine="480" w:firstLineChars="200"/>
              <w:jc w:val="left"/>
              <w:rPr>
                <w:rFonts w:ascii="Times New Roman" w:hAnsi="Times New Roman" w:eastAsiaTheme="minorEastAsia"/>
                <w:szCs w:val="24"/>
              </w:rPr>
            </w:pPr>
            <w:r>
              <w:rPr>
                <w:rFonts w:ascii="Times New Roman" w:hAnsi="Times New Roman" w:eastAsiaTheme="minorEastAsia"/>
                <w:szCs w:val="24"/>
              </w:rPr>
              <w:t>（1）产业政策符合性</w:t>
            </w:r>
          </w:p>
          <w:p>
            <w:pPr>
              <w:pStyle w:val="32"/>
              <w:ind w:firstLine="480"/>
            </w:pPr>
            <w:r>
              <w:t>《产业结构调整指导目录》（2019年）分为鼓励类、限制类和淘汰类，不属于鼓励类、限制类和淘汰类，且符合国家有关法律、法规的，为允许类。项目未列入《产业结构调整指导目录》（2019年），为国家允许类。因此，项目的建设符合国家产业政策。</w:t>
            </w:r>
          </w:p>
          <w:p>
            <w:pPr>
              <w:spacing w:line="360" w:lineRule="auto"/>
              <w:ind w:firstLine="480" w:firstLineChars="200"/>
              <w:jc w:val="left"/>
              <w:rPr>
                <w:rFonts w:ascii="Times New Roman" w:hAnsi="Times New Roman"/>
              </w:rPr>
            </w:pPr>
            <w:r>
              <w:rPr>
                <w:rFonts w:ascii="Times New Roman" w:hAnsi="Times New Roman"/>
              </w:rPr>
              <w:t>（2）与威海市发展总体规划的符合性分析</w:t>
            </w:r>
          </w:p>
          <w:p>
            <w:pPr>
              <w:spacing w:line="336" w:lineRule="auto"/>
              <w:ind w:firstLine="482"/>
              <w:rPr>
                <w:rFonts w:ascii="Times New Roman" w:hAnsi="Times New Roman"/>
              </w:rPr>
            </w:pPr>
            <w:r>
              <w:rPr>
                <w:rFonts w:hint="eastAsia" w:ascii="Times New Roman" w:hAnsi="Times New Roman"/>
              </w:rPr>
              <w:t>根据《威海市总体规划（2</w:t>
            </w:r>
            <w:r>
              <w:rPr>
                <w:rFonts w:ascii="Times New Roman" w:hAnsi="Times New Roman"/>
              </w:rPr>
              <w:t>011-2020</w:t>
            </w:r>
            <w:r>
              <w:rPr>
                <w:rFonts w:hint="eastAsia" w:ascii="Times New Roman" w:hAnsi="Times New Roman"/>
              </w:rPr>
              <w:t>）》，项目所在地为工业用地；</w:t>
            </w:r>
            <w:r>
              <w:rPr>
                <w:rFonts w:ascii="Times New Roman" w:hAnsi="Times New Roman"/>
              </w:rPr>
              <w:t>根据项目所在地块国有用地使用证，该地块属于工业用地，符合当地发展规划及用地规划要求。项目所在地交通便利，排水通畅，水、电供应满足工程要求。项目的建设符合国家土地利用政策，符合当地发展规划，选址合理。</w:t>
            </w:r>
          </w:p>
          <w:p>
            <w:pPr>
              <w:spacing w:line="360" w:lineRule="auto"/>
              <w:ind w:firstLine="480" w:firstLineChars="200"/>
              <w:rPr>
                <w:rFonts w:ascii="Times New Roman" w:hAnsi="Times New Roman"/>
              </w:rPr>
            </w:pPr>
            <w:r>
              <w:rPr>
                <w:rFonts w:ascii="Times New Roman" w:hAnsi="Times New Roman"/>
              </w:rPr>
              <w:t>（3）“三线一单”符合性</w:t>
            </w:r>
          </w:p>
          <w:p>
            <w:pPr>
              <w:spacing w:line="360" w:lineRule="auto"/>
              <w:ind w:firstLine="480" w:firstLineChars="200"/>
              <w:textAlignment w:val="baseline"/>
              <w:rPr>
                <w:rFonts w:ascii="Times New Roman" w:hAnsi="Times New Roman"/>
                <w:szCs w:val="24"/>
              </w:rPr>
            </w:pPr>
            <w:r>
              <w:rPr>
                <w:rFonts w:ascii="Times New Roman" w:hAnsi="Times New Roman"/>
              </w:rPr>
              <w:fldChar w:fldCharType="begin"/>
            </w:r>
            <w:r>
              <w:rPr>
                <w:rFonts w:ascii="Times New Roman" w:hAnsi="Times New Roman"/>
              </w:rPr>
              <w:instrText xml:space="preserve"> = 1 \* GB3 </w:instrText>
            </w:r>
            <w:r>
              <w:rPr>
                <w:rFonts w:ascii="Times New Roman" w:hAnsi="Times New Roman"/>
              </w:rPr>
              <w:fldChar w:fldCharType="separate"/>
            </w:r>
            <w:r>
              <w:rPr>
                <w:rFonts w:hint="eastAsia" w:cs="宋体"/>
              </w:rPr>
              <w:t>①</w:t>
            </w:r>
            <w:r>
              <w:rPr>
                <w:rFonts w:ascii="Times New Roman" w:hAnsi="Times New Roman"/>
              </w:rPr>
              <w:fldChar w:fldCharType="end"/>
            </w:r>
            <w:r>
              <w:rPr>
                <w:rFonts w:ascii="Times New Roman" w:hAnsi="Times New Roman"/>
                <w:szCs w:val="24"/>
              </w:rPr>
              <w:t>生态保护红线</w:t>
            </w:r>
          </w:p>
          <w:p>
            <w:pPr>
              <w:spacing w:line="360" w:lineRule="auto"/>
              <w:ind w:firstLine="480" w:firstLineChars="200"/>
              <w:textAlignment w:val="baseline"/>
              <w:rPr>
                <w:rFonts w:ascii="Times New Roman" w:hAnsi="Times New Roman"/>
              </w:rPr>
            </w:pPr>
            <w:r>
              <w:rPr>
                <w:rFonts w:ascii="Times New Roman" w:hAnsi="Times New Roman"/>
                <w:szCs w:val="24"/>
              </w:rPr>
              <w:t>根据《山东省生态保护红线规划（2016-2020）》</w:t>
            </w:r>
            <w:r>
              <w:rPr>
                <w:rFonts w:ascii="Times New Roman" w:hAnsi="Times New Roman"/>
              </w:rPr>
              <w:t>（鲁环发[2016]176号）：依据生态系统服务功能保护的重要程度及保护和管理的严格程度，生态保护红线区实行分类管控。I类红线区是生态保护红线区的核心，实行最严格的管控措施，除必要的科学研究、保护活动外，需按相关法律、法规严格控制其它开发建设活动；II类红线区按照生物多样性维护、水源涵养、土壤保持和防风固沙等主导生态功能，结合现有各类禁止开发区域现行相关法律法规及管理规定，实行负面清单管理制度，严禁有损主导生态系统服务功能的开发建设项目。红线内已设立的矿业权建立补偿退出机制，维护矿业权人的合法权益。</w:t>
            </w:r>
          </w:p>
          <w:p>
            <w:pPr>
              <w:spacing w:line="360" w:lineRule="auto"/>
              <w:ind w:firstLine="480" w:firstLineChars="200"/>
              <w:textAlignment w:val="baseline"/>
              <w:rPr>
                <w:rFonts w:ascii="Times New Roman" w:hAnsi="Times New Roman"/>
                <w:szCs w:val="24"/>
              </w:rPr>
            </w:pPr>
            <w:r>
              <w:rPr>
                <w:rFonts w:ascii="Times New Roman" w:hAnsi="Times New Roman"/>
                <w:szCs w:val="24"/>
              </w:rPr>
              <w:t>项目位于</w:t>
            </w:r>
            <w:r>
              <w:rPr>
                <w:rFonts w:hint="eastAsia"/>
                <w:kern w:val="0"/>
                <w:szCs w:val="28"/>
              </w:rPr>
              <w:t>山东省威海市环翠区桥头镇旺桥路8号</w:t>
            </w:r>
            <w:r>
              <w:rPr>
                <w:rFonts w:ascii="Times New Roman" w:hAnsi="Times New Roman"/>
                <w:szCs w:val="24"/>
              </w:rPr>
              <w:t>，不在《山东省生态保护红线规划》（2016-2020）划定的“生态保护红线区”范围之内，符合生态保护红线的要求。（项目位置与威海市省级生态保护红线关系图见</w:t>
            </w:r>
            <w:r>
              <w:rPr>
                <w:rFonts w:ascii="Times New Roman" w:hAnsi="Times New Roman"/>
                <w:b/>
                <w:bCs/>
                <w:szCs w:val="24"/>
              </w:rPr>
              <w:t>附图四</w:t>
            </w:r>
            <w:r>
              <w:rPr>
                <w:rFonts w:ascii="Times New Roman" w:hAnsi="Times New Roman"/>
                <w:szCs w:val="24"/>
              </w:rPr>
              <w:t>）</w:t>
            </w:r>
            <w:r>
              <w:rPr>
                <w:rFonts w:hint="eastAsia" w:ascii="Times New Roman" w:hAnsi="Times New Roman"/>
                <w:szCs w:val="24"/>
              </w:rPr>
              <w:t>。</w:t>
            </w:r>
          </w:p>
          <w:p>
            <w:pPr>
              <w:spacing w:line="360" w:lineRule="auto"/>
              <w:ind w:firstLine="480" w:firstLineChars="200"/>
              <w:textAlignment w:val="baseline"/>
              <w:rPr>
                <w:rFonts w:ascii="Times New Roman" w:hAnsi="Times New Roman"/>
                <w:szCs w:val="24"/>
              </w:rPr>
            </w:pPr>
            <w:r>
              <w:rPr>
                <w:rFonts w:ascii="Times New Roman" w:hAnsi="Times New Roman"/>
              </w:rPr>
              <w:fldChar w:fldCharType="begin"/>
            </w:r>
            <w:r>
              <w:rPr>
                <w:rFonts w:ascii="Times New Roman" w:hAnsi="Times New Roman"/>
              </w:rPr>
              <w:instrText xml:space="preserve"> = 2 \* GB3 \* MERGEFORMAT </w:instrText>
            </w:r>
            <w:r>
              <w:rPr>
                <w:rFonts w:ascii="Times New Roman" w:hAnsi="Times New Roman"/>
              </w:rPr>
              <w:fldChar w:fldCharType="separate"/>
            </w:r>
            <w:r>
              <w:rPr>
                <w:rFonts w:hint="eastAsia" w:cs="宋体"/>
              </w:rPr>
              <w:t>②</w:t>
            </w:r>
            <w:r>
              <w:rPr>
                <w:rFonts w:ascii="Times New Roman" w:hAnsi="Times New Roman"/>
              </w:rPr>
              <w:fldChar w:fldCharType="end"/>
            </w:r>
            <w:r>
              <w:rPr>
                <w:rFonts w:ascii="Times New Roman" w:hAnsi="Times New Roman"/>
                <w:szCs w:val="24"/>
              </w:rPr>
              <w:t>环境质量底线</w:t>
            </w:r>
          </w:p>
          <w:p>
            <w:pPr>
              <w:spacing w:line="360" w:lineRule="auto"/>
              <w:ind w:firstLine="480" w:firstLineChars="200"/>
              <w:textAlignment w:val="baseline"/>
              <w:rPr>
                <w:rFonts w:ascii="Times New Roman" w:hAnsi="Times New Roman"/>
                <w:szCs w:val="24"/>
              </w:rPr>
            </w:pPr>
            <w:r>
              <w:rPr>
                <w:rFonts w:ascii="Times New Roman" w:hAnsi="Times New Roman"/>
              </w:rPr>
              <w:t>根据</w:t>
            </w:r>
            <w:r>
              <w:rPr>
                <w:rFonts w:hint="eastAsia" w:ascii="Times New Roman" w:hAnsi="Times New Roman"/>
              </w:rPr>
              <w:t>《威海市2019年环境质量公报》</w:t>
            </w:r>
            <w:r>
              <w:rPr>
                <w:rFonts w:ascii="Times New Roman" w:hAnsi="Times New Roman"/>
              </w:rPr>
              <w:t>，项目所在地的大气、水、声环境质量满足相关标准要求。本项目废水、废气、固废均得到合理处置，噪声对周边影响较小，不会突破项目所在地的环境质量底线。因此</w:t>
            </w:r>
            <w:r>
              <w:rPr>
                <w:rFonts w:ascii="Times New Roman" w:hAnsi="Times New Roman"/>
                <w:szCs w:val="24"/>
              </w:rPr>
              <w:t>采取本环评提出的相关防治措施后，本项目排放的污染物不会对区域环境质量底线造成冲击。</w:t>
            </w:r>
          </w:p>
          <w:p>
            <w:pPr>
              <w:spacing w:line="360" w:lineRule="auto"/>
              <w:ind w:firstLine="480" w:firstLineChars="200"/>
              <w:textAlignment w:val="baseline"/>
              <w:rPr>
                <w:rFonts w:ascii="Times New Roman" w:hAnsi="Times New Roman"/>
                <w:szCs w:val="24"/>
              </w:rPr>
            </w:pPr>
            <w:r>
              <w:rPr>
                <w:rFonts w:ascii="Times New Roman" w:hAnsi="Times New Roman"/>
                <w:szCs w:val="24"/>
              </w:rPr>
              <w:fldChar w:fldCharType="begin"/>
            </w:r>
            <w:r>
              <w:rPr>
                <w:rFonts w:ascii="Times New Roman" w:hAnsi="Times New Roman"/>
                <w:szCs w:val="24"/>
              </w:rPr>
              <w:instrText xml:space="preserve"> = 3 \* GB3 \* MERGEFORMAT </w:instrText>
            </w:r>
            <w:r>
              <w:rPr>
                <w:rFonts w:ascii="Times New Roman" w:hAnsi="Times New Roman"/>
                <w:szCs w:val="24"/>
              </w:rPr>
              <w:fldChar w:fldCharType="separate"/>
            </w:r>
            <w:r>
              <w:rPr>
                <w:rFonts w:hint="eastAsia" w:cs="宋体"/>
              </w:rPr>
              <w:t>③</w:t>
            </w:r>
            <w:r>
              <w:rPr>
                <w:rFonts w:ascii="Times New Roman" w:hAnsi="Times New Roman"/>
                <w:szCs w:val="24"/>
              </w:rPr>
              <w:fldChar w:fldCharType="end"/>
            </w:r>
            <w:r>
              <w:rPr>
                <w:rFonts w:ascii="Times New Roman" w:hAnsi="Times New Roman"/>
                <w:szCs w:val="24"/>
              </w:rPr>
              <w:t>资源利用上线</w:t>
            </w:r>
          </w:p>
          <w:p>
            <w:pPr>
              <w:spacing w:line="360" w:lineRule="auto"/>
              <w:ind w:firstLine="480" w:firstLineChars="200"/>
              <w:textAlignment w:val="baseline"/>
              <w:rPr>
                <w:rFonts w:ascii="Times New Roman" w:hAnsi="Times New Roman"/>
                <w:szCs w:val="24"/>
              </w:rPr>
            </w:pPr>
            <w:r>
              <w:rPr>
                <w:rFonts w:ascii="Times New Roman" w:hAnsi="Times New Roman"/>
              </w:rPr>
              <w:t>本项目建设过程中所利用的资源主要为水、电，均为清洁能源，项目建成后用水量和用电量均较小；项目占地也符合当地规划的要求，均不会突破区域的资源利用上线。</w:t>
            </w:r>
          </w:p>
          <w:p>
            <w:pPr>
              <w:spacing w:line="360" w:lineRule="auto"/>
              <w:ind w:firstLine="480" w:firstLineChars="200"/>
              <w:textAlignment w:val="baseline"/>
              <w:rPr>
                <w:rFonts w:ascii="Times New Roman" w:hAnsi="Times New Roman"/>
                <w:szCs w:val="24"/>
              </w:rPr>
            </w:pPr>
            <w:r>
              <w:rPr>
                <w:rFonts w:ascii="Times New Roman" w:hAnsi="Times New Roman"/>
                <w:szCs w:val="24"/>
              </w:rPr>
              <w:fldChar w:fldCharType="begin"/>
            </w:r>
            <w:r>
              <w:rPr>
                <w:rFonts w:ascii="Times New Roman" w:hAnsi="Times New Roman"/>
                <w:szCs w:val="24"/>
              </w:rPr>
              <w:instrText xml:space="preserve"> = 4 \* GB3 \* MERGEFORMAT </w:instrText>
            </w:r>
            <w:r>
              <w:rPr>
                <w:rFonts w:ascii="Times New Roman" w:hAnsi="Times New Roman"/>
                <w:szCs w:val="24"/>
              </w:rPr>
              <w:fldChar w:fldCharType="separate"/>
            </w:r>
            <w:r>
              <w:rPr>
                <w:rFonts w:hint="eastAsia" w:cs="宋体"/>
              </w:rPr>
              <w:t>④</w:t>
            </w:r>
            <w:r>
              <w:rPr>
                <w:rFonts w:ascii="Times New Roman" w:hAnsi="Times New Roman"/>
                <w:szCs w:val="24"/>
              </w:rPr>
              <w:fldChar w:fldCharType="end"/>
            </w:r>
            <w:r>
              <w:rPr>
                <w:rFonts w:ascii="Times New Roman" w:hAnsi="Times New Roman"/>
                <w:szCs w:val="24"/>
              </w:rPr>
              <w:t>环境准入负面清单</w:t>
            </w:r>
          </w:p>
          <w:p>
            <w:pPr>
              <w:spacing w:line="360" w:lineRule="auto"/>
              <w:ind w:firstLine="480" w:firstLineChars="200"/>
              <w:textAlignment w:val="baseline"/>
              <w:rPr>
                <w:rFonts w:ascii="Times New Roman" w:hAnsi="Times New Roman"/>
                <w:kern w:val="0"/>
              </w:rPr>
            </w:pPr>
            <w:r>
              <w:rPr>
                <w:rFonts w:ascii="Times New Roman" w:hAnsi="Times New Roman"/>
              </w:rPr>
              <w:t>对照《国民经济行业分类》(GB/T4754-2017)、《山东省禁止、限制供地项目目录》、《产业结构调整指导目录(2019 年本)》以及《市场准入负面清单（2019年版）》等，本项目</w:t>
            </w:r>
            <w:r>
              <w:rPr>
                <w:rFonts w:ascii="Times New Roman" w:hAnsi="Times New Roman"/>
                <w:kern w:val="0"/>
              </w:rPr>
              <w:t>未使用国家及地方淘汰和限制使用的工艺及设备，符合国家及地方当前产业政策。</w:t>
            </w:r>
          </w:p>
          <w:p>
            <w:pPr>
              <w:spacing w:line="360" w:lineRule="auto"/>
              <w:ind w:firstLine="480" w:firstLineChars="200"/>
              <w:rPr>
                <w:rFonts w:ascii="Times New Roman" w:hAnsi="Times New Roman"/>
              </w:rPr>
            </w:pPr>
            <w:r>
              <w:rPr>
                <w:rFonts w:ascii="Times New Roman" w:hAnsi="Times New Roman"/>
              </w:rPr>
              <w:t>（4）</w:t>
            </w:r>
            <w:r>
              <w:rPr>
                <w:rStyle w:val="28"/>
                <w:rFonts w:ascii="Times New Roman" w:hAnsi="Times New Roman"/>
              </w:rPr>
              <w:t>项目与鲁环发[2016]162号文符合性分析</w:t>
            </w:r>
          </w:p>
          <w:p>
            <w:pPr>
              <w:pStyle w:val="32"/>
              <w:ind w:firstLine="480"/>
              <w:rPr>
                <w:b/>
              </w:rPr>
            </w:pPr>
            <w:r>
              <w:t>项目与《山东省环境保护厅等5部门关于印发《山东省重点行业挥发性有机物专项治理方案》等5个行动方案的通知》（鲁环发[2016]162号）的符合性分析见</w:t>
            </w:r>
            <w:r>
              <w:rPr>
                <w:bCs/>
              </w:rPr>
              <w:t>下</w:t>
            </w:r>
            <w:r>
              <w:rPr>
                <w:b/>
              </w:rPr>
              <w:t>表。</w:t>
            </w:r>
          </w:p>
          <w:p>
            <w:pPr>
              <w:pStyle w:val="26"/>
            </w:pPr>
            <w:r>
              <w:t>表5 本项目与鲁环发[2016]162号文符合性一览表</w:t>
            </w:r>
          </w:p>
          <w:tbl>
            <w:tblPr>
              <w:tblStyle w:val="30"/>
              <w:tblW w:w="1005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14"/>
              <w:gridCol w:w="1921"/>
              <w:gridCol w:w="10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0" w:hRule="atLeast"/>
                <w:jc w:val="center"/>
              </w:trPr>
              <w:tc>
                <w:tcPr>
                  <w:tcW w:w="7114" w:type="dxa"/>
                  <w:vAlign w:val="center"/>
                </w:tcPr>
                <w:p>
                  <w:pPr>
                    <w:pStyle w:val="22"/>
                    <w:rPr>
                      <w:szCs w:val="21"/>
                      <w:lang w:val="zh-CN"/>
                    </w:rPr>
                  </w:pPr>
                  <w:r>
                    <w:t>鲁环发[2016]162号文</w:t>
                  </w:r>
                  <w:r>
                    <w:rPr>
                      <w:szCs w:val="21"/>
                      <w:lang w:val="zh-CN"/>
                    </w:rPr>
                    <w:t>要求</w:t>
                  </w:r>
                </w:p>
              </w:tc>
              <w:tc>
                <w:tcPr>
                  <w:tcW w:w="1921" w:type="dxa"/>
                  <w:vAlign w:val="center"/>
                </w:tcPr>
                <w:p>
                  <w:pPr>
                    <w:tabs>
                      <w:tab w:val="center" w:pos="4706"/>
                    </w:tabs>
                    <w:autoSpaceDE w:val="0"/>
                    <w:autoSpaceDN w:val="0"/>
                    <w:adjustRightInd w:val="0"/>
                    <w:snapToGrid w:val="0"/>
                    <w:spacing w:line="300" w:lineRule="exact"/>
                    <w:jc w:val="center"/>
                    <w:rPr>
                      <w:rFonts w:ascii="Times New Roman" w:hAnsi="Times New Roman"/>
                      <w:sz w:val="21"/>
                      <w:szCs w:val="21"/>
                    </w:rPr>
                  </w:pPr>
                  <w:r>
                    <w:rPr>
                      <w:rFonts w:ascii="Times New Roman" w:hAnsi="Times New Roman"/>
                      <w:sz w:val="21"/>
                      <w:szCs w:val="21"/>
                    </w:rPr>
                    <w:t>本项目情况</w:t>
                  </w:r>
                </w:p>
              </w:tc>
              <w:tc>
                <w:tcPr>
                  <w:tcW w:w="1022" w:type="dxa"/>
                  <w:vAlign w:val="center"/>
                </w:tcPr>
                <w:p>
                  <w:pPr>
                    <w:tabs>
                      <w:tab w:val="center" w:pos="4706"/>
                    </w:tabs>
                    <w:autoSpaceDE w:val="0"/>
                    <w:autoSpaceDN w:val="0"/>
                    <w:adjustRightInd w:val="0"/>
                    <w:snapToGrid w:val="0"/>
                    <w:spacing w:line="300" w:lineRule="exact"/>
                    <w:jc w:val="center"/>
                    <w:rPr>
                      <w:rFonts w:ascii="Times New Roman" w:hAnsi="Times New Roman"/>
                      <w:sz w:val="21"/>
                      <w:szCs w:val="21"/>
                      <w:lang w:val="zh-CN"/>
                    </w:rPr>
                  </w:pPr>
                  <w:r>
                    <w:rPr>
                      <w:rFonts w:ascii="Times New Roman" w:hAnsi="Times New Roman"/>
                      <w:sz w:val="21"/>
                      <w:szCs w:val="21"/>
                      <w:lang w:val="zh-CN"/>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6" w:hRule="atLeast"/>
                <w:jc w:val="center"/>
              </w:trPr>
              <w:tc>
                <w:tcPr>
                  <w:tcW w:w="7114" w:type="dxa"/>
                  <w:tcBorders>
                    <w:tl2br w:val="nil"/>
                    <w:tr2bl w:val="nil"/>
                  </w:tcBorders>
                  <w:vAlign w:val="center"/>
                </w:tcPr>
                <w:p>
                  <w:pPr>
                    <w:pStyle w:val="22"/>
                    <w:ind w:firstLine="420" w:firstLineChars="200"/>
                    <w:jc w:val="left"/>
                  </w:pPr>
                  <w:r>
                    <w:t>提高环保型油墨、胶粘剂的使用比例。鼓励使用通过环境标志产品认证的环保型油墨、胶粘剂，禁止使用不符合环保要求的油墨、胶粘剂。印刷过程推广使用水性油墨、紫外光固化油墨(UV油墨)、辐射固化油墨(EB油墨)、醇溶性油墨、植物基油墨等低VOCs低毒的原辅材料，复合、包装过程逐渐使用水性胶粘剂替代溶剂型胶粘剂，推广无溶剂复合技术，书刊印刷行业推广使用预涂膜技术。</w:t>
                  </w:r>
                </w:p>
              </w:tc>
              <w:tc>
                <w:tcPr>
                  <w:tcW w:w="1921" w:type="dxa"/>
                  <w:tcBorders>
                    <w:tl2br w:val="nil"/>
                    <w:tr2bl w:val="nil"/>
                  </w:tcBorders>
                  <w:vAlign w:val="center"/>
                </w:tcPr>
                <w:p>
                  <w:pPr>
                    <w:pStyle w:val="22"/>
                    <w:ind w:firstLine="420" w:firstLineChars="200"/>
                    <w:jc w:val="both"/>
                    <w:rPr>
                      <w:color w:val="FF0000"/>
                      <w:kern w:val="36"/>
                    </w:rPr>
                  </w:pPr>
                  <w:r>
                    <w:rPr>
                      <w:kern w:val="36"/>
                    </w:rPr>
                    <w:t>项目使用</w:t>
                  </w:r>
                  <w:r>
                    <w:rPr>
                      <w:rFonts w:hint="eastAsia"/>
                      <w:kern w:val="36"/>
                    </w:rPr>
                    <w:t>油墨固体含量为</w:t>
                  </w:r>
                  <w:r>
                    <w:rPr>
                      <w:kern w:val="36"/>
                    </w:rPr>
                    <w:t>70</w:t>
                  </w:r>
                  <w:r>
                    <w:rPr>
                      <w:rFonts w:hint="eastAsia"/>
                      <w:kern w:val="36"/>
                    </w:rPr>
                    <w:t>%左右，属于高固份油墨。</w:t>
                  </w:r>
                </w:p>
              </w:tc>
              <w:tc>
                <w:tcPr>
                  <w:tcW w:w="1022" w:type="dxa"/>
                  <w:vAlign w:val="center"/>
                </w:tcPr>
                <w:p>
                  <w:pPr>
                    <w:widowControl/>
                    <w:adjustRightInd w:val="0"/>
                    <w:snapToGrid w:val="0"/>
                    <w:spacing w:line="300" w:lineRule="exact"/>
                    <w:jc w:val="center"/>
                    <w:rPr>
                      <w:rFonts w:ascii="Times New Roman" w:hAnsi="Times New Roman"/>
                      <w:sz w:val="21"/>
                      <w:szCs w:val="21"/>
                      <w:lang w:val="zh-CN"/>
                    </w:rPr>
                  </w:pPr>
                  <w:r>
                    <w:rPr>
                      <w:rFonts w:ascii="Times New Roman" w:hAnsi="Times New Roman"/>
                      <w:sz w:val="21"/>
                      <w:szCs w:val="21"/>
                      <w:lang w:val="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 w:hRule="atLeast"/>
                <w:jc w:val="center"/>
              </w:trPr>
              <w:tc>
                <w:tcPr>
                  <w:tcW w:w="7114" w:type="dxa"/>
                  <w:tcBorders>
                    <w:tl2br w:val="nil"/>
                    <w:tr2bl w:val="nil"/>
                  </w:tcBorders>
                  <w:vAlign w:val="center"/>
                </w:tcPr>
                <w:p>
                  <w:pPr>
                    <w:pStyle w:val="22"/>
                    <w:ind w:firstLine="420" w:firstLineChars="200"/>
                    <w:jc w:val="left"/>
                  </w:pPr>
                  <w:r>
                    <w:t>加强工艺废气的集中收集和治理。油墨、胶粘剂、有机溶剂等挥发性原辅材料应密封贮藏，沸点较低的有机物料应配置氮封装置。产生VOCs废气的工艺线应设置于密闭工作间内，配备有机废气收集系统。无法设置密闭工作间的生产线，VOCs排放工段应设置集气罩、排风管道组成的排气收集系统。根据废气组成、浓度、风量等参数选择适宜的技术，对车间有机废气进行净化处理。对单一组分的高浓度有机废气，应优先考虑回收利用；对难以回收利用的有机废气，应采用催化燃烧、热力焚烧以及其它适用的新技术净化处理后达标排放。</w:t>
                  </w:r>
                </w:p>
              </w:tc>
              <w:tc>
                <w:tcPr>
                  <w:tcW w:w="1921" w:type="dxa"/>
                  <w:tcBorders>
                    <w:tl2br w:val="nil"/>
                    <w:tr2bl w:val="nil"/>
                  </w:tcBorders>
                  <w:vAlign w:val="center"/>
                </w:tcPr>
                <w:p>
                  <w:pPr>
                    <w:pStyle w:val="22"/>
                    <w:ind w:firstLine="420" w:firstLineChars="200"/>
                    <w:jc w:val="both"/>
                    <w:rPr>
                      <w:color w:val="FF0000"/>
                      <w:kern w:val="36"/>
                    </w:rPr>
                  </w:pPr>
                  <w:r>
                    <w:rPr>
                      <w:kern w:val="36"/>
                    </w:rPr>
                    <w:t>项目废气收集效率约为90%，</w:t>
                  </w:r>
                  <w:r>
                    <w:t>有机废气</w:t>
                  </w:r>
                  <w:r>
                    <w:rPr>
                      <w:kern w:val="36"/>
                    </w:rPr>
                    <w:t>经收集后由“</w:t>
                  </w:r>
                  <w:r>
                    <w:rPr>
                      <w:rFonts w:hint="eastAsia"/>
                      <w:szCs w:val="21"/>
                    </w:rPr>
                    <w:t>活性炭吸附+催化燃烧装</w:t>
                  </w:r>
                  <w:r>
                    <w:rPr>
                      <w:szCs w:val="21"/>
                    </w:rPr>
                    <w:t>置</w:t>
                  </w:r>
                  <w:r>
                    <w:rPr>
                      <w:kern w:val="36"/>
                    </w:rPr>
                    <w:t>”处理后通过</w:t>
                  </w:r>
                  <w:r>
                    <w:rPr>
                      <w:rFonts w:hint="eastAsia"/>
                      <w:kern w:val="36"/>
                    </w:rPr>
                    <w:t>15m高排气筒</w:t>
                  </w:r>
                  <w:r>
                    <w:rPr>
                      <w:kern w:val="36"/>
                    </w:rPr>
                    <w:t>达标排放。</w:t>
                  </w:r>
                </w:p>
              </w:tc>
              <w:tc>
                <w:tcPr>
                  <w:tcW w:w="1022" w:type="dxa"/>
                  <w:vAlign w:val="center"/>
                </w:tcPr>
                <w:p>
                  <w:pPr>
                    <w:widowControl/>
                    <w:adjustRightInd w:val="0"/>
                    <w:snapToGrid w:val="0"/>
                    <w:spacing w:line="300" w:lineRule="exact"/>
                    <w:jc w:val="center"/>
                    <w:rPr>
                      <w:rFonts w:ascii="Times New Roman" w:hAnsi="Times New Roman"/>
                      <w:sz w:val="21"/>
                      <w:szCs w:val="21"/>
                      <w:lang w:val="zh-CN"/>
                    </w:rPr>
                  </w:pPr>
                  <w:r>
                    <w:rPr>
                      <w:rFonts w:ascii="Times New Roman" w:hAnsi="Times New Roman"/>
                      <w:sz w:val="21"/>
                      <w:szCs w:val="21"/>
                      <w:lang w:val="zh-CN"/>
                    </w:rPr>
                    <w:t>符合</w:t>
                  </w:r>
                </w:p>
              </w:tc>
            </w:tr>
          </w:tbl>
          <w:p>
            <w:pPr>
              <w:pStyle w:val="32"/>
              <w:ind w:firstLine="480"/>
            </w:pPr>
            <w:r>
              <w:t>由上表可知，本项目符合鲁环发[2016]162号文相关要求。</w:t>
            </w:r>
          </w:p>
          <w:p>
            <w:pPr>
              <w:spacing w:line="360" w:lineRule="auto"/>
              <w:ind w:firstLine="480" w:firstLineChars="200"/>
              <w:rPr>
                <w:rFonts w:ascii="Times New Roman" w:hAnsi="Times New Roman"/>
              </w:rPr>
            </w:pPr>
            <w:r>
              <w:rPr>
                <w:rFonts w:ascii="Times New Roman" w:hAnsi="Times New Roman"/>
              </w:rPr>
              <w:t>（5）项目与</w:t>
            </w:r>
            <w:r>
              <w:rPr>
                <w:rFonts w:hint="eastAsia" w:ascii="Times New Roman" w:hAnsi="Times New Roman"/>
              </w:rPr>
              <w:t>威海市生态环境局环翠分局《挥发性有机物（VOCs）专项整治方案》</w:t>
            </w:r>
            <w:r>
              <w:rPr>
                <w:rFonts w:ascii="Times New Roman" w:hAnsi="Times New Roman"/>
              </w:rPr>
              <w:t>符合性分析</w:t>
            </w:r>
            <w:r>
              <w:rPr>
                <w:rFonts w:hint="eastAsia" w:ascii="Times New Roman" w:hAnsi="Times New Roman"/>
              </w:rPr>
              <w:t>见下表。</w:t>
            </w:r>
          </w:p>
          <w:p>
            <w:pPr>
              <w:pStyle w:val="26"/>
            </w:pPr>
            <w:r>
              <w:t>表6本项目与</w:t>
            </w:r>
            <w:r>
              <w:rPr>
                <w:rFonts w:hint="eastAsia"/>
              </w:rPr>
              <w:t>《挥发性有机物（VOCs）专项整治方案》</w:t>
            </w:r>
            <w:r>
              <w:t>符合性一览表</w:t>
            </w:r>
          </w:p>
          <w:tbl>
            <w:tblPr>
              <w:tblStyle w:val="30"/>
              <w:tblW w:w="1003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55"/>
              <w:gridCol w:w="4393"/>
              <w:gridCol w:w="8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 w:hRule="atLeast"/>
                <w:jc w:val="center"/>
              </w:trPr>
              <w:tc>
                <w:tcPr>
                  <w:tcW w:w="4755" w:type="dxa"/>
                  <w:vAlign w:val="center"/>
                </w:tcPr>
                <w:p>
                  <w:pPr>
                    <w:pStyle w:val="22"/>
                    <w:rPr>
                      <w:lang w:val="zh-CN"/>
                    </w:rPr>
                  </w:pPr>
                  <w:r>
                    <w:rPr>
                      <w:rFonts w:hint="eastAsia"/>
                    </w:rPr>
                    <w:t>《挥发性有机物（VOCs）专项整治方案》要求</w:t>
                  </w:r>
                </w:p>
              </w:tc>
              <w:tc>
                <w:tcPr>
                  <w:tcW w:w="4393" w:type="dxa"/>
                  <w:vAlign w:val="center"/>
                </w:tcPr>
                <w:p>
                  <w:pPr>
                    <w:pStyle w:val="22"/>
                  </w:pPr>
                  <w:r>
                    <w:t>项目情况</w:t>
                  </w:r>
                </w:p>
              </w:tc>
              <w:tc>
                <w:tcPr>
                  <w:tcW w:w="891" w:type="dxa"/>
                  <w:vAlign w:val="center"/>
                </w:tcPr>
                <w:p>
                  <w:pPr>
                    <w:pStyle w:val="22"/>
                    <w:rPr>
                      <w:lang w:val="zh-CN"/>
                    </w:rPr>
                  </w:pPr>
                  <w:r>
                    <w:rPr>
                      <w:lang w:val="zh-CN"/>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jc w:val="center"/>
              </w:trPr>
              <w:tc>
                <w:tcPr>
                  <w:tcW w:w="4755" w:type="dxa"/>
                  <w:vAlign w:val="center"/>
                </w:tcPr>
                <w:p>
                  <w:pPr>
                    <w:pStyle w:val="22"/>
                    <w:ind w:firstLine="420" w:firstLineChars="200"/>
                    <w:jc w:val="both"/>
                  </w:pPr>
                  <w:r>
                    <w:rPr>
                      <w:rFonts w:hint="eastAsia"/>
                    </w:rPr>
                    <w:t>一、推进源头替代。使用水性、高固体份、无溶剂等低VOCs含量的涂料，从源头减少VOCs产生</w:t>
                  </w:r>
                </w:p>
              </w:tc>
              <w:tc>
                <w:tcPr>
                  <w:tcW w:w="4393" w:type="dxa"/>
                  <w:vAlign w:val="center"/>
                </w:tcPr>
                <w:p>
                  <w:pPr>
                    <w:pStyle w:val="22"/>
                    <w:ind w:firstLine="420" w:firstLineChars="200"/>
                    <w:jc w:val="both"/>
                    <w:rPr>
                      <w:color w:val="FF0000"/>
                      <w:kern w:val="36"/>
                    </w:rPr>
                  </w:pPr>
                  <w:r>
                    <w:rPr>
                      <w:kern w:val="36"/>
                    </w:rPr>
                    <w:t>项目使用</w:t>
                  </w:r>
                  <w:r>
                    <w:rPr>
                      <w:rFonts w:hint="eastAsia"/>
                      <w:kern w:val="36"/>
                    </w:rPr>
                    <w:t>油墨固体含量为</w:t>
                  </w:r>
                  <w:r>
                    <w:rPr>
                      <w:kern w:val="36"/>
                    </w:rPr>
                    <w:t>70</w:t>
                  </w:r>
                  <w:r>
                    <w:rPr>
                      <w:rFonts w:hint="eastAsia"/>
                      <w:kern w:val="36"/>
                    </w:rPr>
                    <w:t>%左右，属于高固份油墨。</w:t>
                  </w:r>
                </w:p>
              </w:tc>
              <w:tc>
                <w:tcPr>
                  <w:tcW w:w="891" w:type="dxa"/>
                  <w:vAlign w:val="center"/>
                </w:tcPr>
                <w:p>
                  <w:pPr>
                    <w:pStyle w:val="22"/>
                    <w:rPr>
                      <w:lang w:val="zh-CN"/>
                    </w:rPr>
                  </w:pPr>
                  <w:r>
                    <w:rPr>
                      <w:lang w:val="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9" w:hRule="atLeast"/>
                <w:jc w:val="center"/>
              </w:trPr>
              <w:tc>
                <w:tcPr>
                  <w:tcW w:w="4755" w:type="dxa"/>
                  <w:vAlign w:val="center"/>
                </w:tcPr>
                <w:p>
                  <w:pPr>
                    <w:pStyle w:val="22"/>
                    <w:jc w:val="left"/>
                  </w:pPr>
                  <w:r>
                    <w:t>二、加强过程控制。</w:t>
                  </w:r>
                  <w:r>
                    <w:rPr>
                      <w:rFonts w:hint="eastAsia"/>
                    </w:rPr>
                    <w:t>重点对含</w:t>
                  </w:r>
                  <w:r>
                    <w:t xml:space="preserve">VOCs </w:t>
                  </w:r>
                  <w:r>
                    <w:rPr>
                      <w:rFonts w:hint="eastAsia"/>
                    </w:rPr>
                    <w:t>物料（包括含</w:t>
                  </w:r>
                  <w:r>
                    <w:t>VOCs</w:t>
                  </w:r>
                  <w:r>
                    <w:rPr>
                      <w:rFonts w:hint="eastAsia"/>
                    </w:rPr>
                    <w:t>原辅材料、</w:t>
                  </w:r>
                  <w:r>
                    <w:t xml:space="preserve">VOCs </w:t>
                  </w:r>
                  <w:r>
                    <w:rPr>
                      <w:rFonts w:hint="eastAsia"/>
                    </w:rPr>
                    <w:t>产品、含</w:t>
                  </w:r>
                  <w:r>
                    <w:t xml:space="preserve">VOCs </w:t>
                  </w:r>
                  <w:r>
                    <w:rPr>
                      <w:rFonts w:hint="eastAsia"/>
                    </w:rPr>
                    <w:t>废料以及有机聚合物材料等）储存、转移和输送、设备与带线组件泄漏、工艺过程等排放源实施管控，通过采取设备与场所密闭、工艺改进、废气收集等措施，削减</w:t>
                  </w:r>
                  <w:r>
                    <w:t xml:space="preserve">VOCs </w:t>
                  </w:r>
                  <w:r>
                    <w:rPr>
                      <w:rFonts w:hint="eastAsia"/>
                    </w:rPr>
                    <w:t>无组织排放。</w:t>
                  </w:r>
                </w:p>
              </w:tc>
              <w:tc>
                <w:tcPr>
                  <w:tcW w:w="4393" w:type="dxa"/>
                  <w:vAlign w:val="center"/>
                </w:tcPr>
                <w:p>
                  <w:pPr>
                    <w:pStyle w:val="22"/>
                    <w:ind w:firstLine="420" w:firstLineChars="200"/>
                    <w:jc w:val="both"/>
                    <w:rPr>
                      <w:color w:val="FF0000"/>
                      <w:kern w:val="36"/>
                    </w:rPr>
                  </w:pPr>
                  <w:r>
                    <w:rPr>
                      <w:rFonts w:hint="eastAsia"/>
                      <w:kern w:val="36"/>
                    </w:rPr>
                    <w:t>项目车间工作期间门窗关闭，配套集气装置使车间形成微负压，</w:t>
                  </w:r>
                  <w:r>
                    <w:rPr>
                      <w:kern w:val="36"/>
                    </w:rPr>
                    <w:t>提高收集效率，收集后的废气经“</w:t>
                  </w:r>
                  <w:r>
                    <w:rPr>
                      <w:rFonts w:hint="eastAsia"/>
                      <w:kern w:val="36"/>
                    </w:rPr>
                    <w:t>活性炭</w:t>
                  </w:r>
                  <w:r>
                    <w:rPr>
                      <w:kern w:val="36"/>
                    </w:rPr>
                    <w:t>吸附+</w:t>
                  </w:r>
                  <w:r>
                    <w:rPr>
                      <w:rFonts w:hint="eastAsia"/>
                      <w:kern w:val="36"/>
                    </w:rPr>
                    <w:t>催化燃烧处理装置</w:t>
                  </w:r>
                  <w:r>
                    <w:rPr>
                      <w:kern w:val="36"/>
                    </w:rPr>
                    <w:t>”处理后通过</w:t>
                  </w:r>
                  <w:r>
                    <w:rPr>
                      <w:rFonts w:hint="eastAsia"/>
                      <w:kern w:val="36"/>
                    </w:rPr>
                    <w:t>15m高排气筒</w:t>
                  </w:r>
                  <w:r>
                    <w:rPr>
                      <w:kern w:val="36"/>
                    </w:rPr>
                    <w:t>排放</w:t>
                  </w:r>
                </w:p>
              </w:tc>
              <w:tc>
                <w:tcPr>
                  <w:tcW w:w="891" w:type="dxa"/>
                  <w:vAlign w:val="center"/>
                </w:tcPr>
                <w:p>
                  <w:pPr>
                    <w:pStyle w:val="22"/>
                    <w:rPr>
                      <w:lang w:val="zh-CN"/>
                    </w:rPr>
                  </w:pPr>
                  <w:r>
                    <w:rPr>
                      <w:lang w:val="zh-CN"/>
                    </w:rPr>
                    <w:t>符合</w:t>
                  </w:r>
                </w:p>
              </w:tc>
            </w:tr>
          </w:tbl>
          <w:p>
            <w:pPr>
              <w:pStyle w:val="32"/>
              <w:ind w:firstLine="480"/>
              <w:rPr>
                <w:rStyle w:val="28"/>
              </w:rPr>
            </w:pPr>
            <w:r>
              <w:rPr>
                <w:rStyle w:val="28"/>
              </w:rPr>
              <w:t>（7）项目与威环发[2018]85号文符合性分析</w:t>
            </w:r>
          </w:p>
          <w:p>
            <w:pPr>
              <w:widowControl/>
              <w:wordWrap w:val="0"/>
              <w:adjustRightInd w:val="0"/>
              <w:snapToGrid w:val="0"/>
              <w:spacing w:line="360" w:lineRule="auto"/>
              <w:ind w:firstLine="480" w:firstLineChars="200"/>
              <w:rPr>
                <w:rFonts w:ascii="Times New Roman" w:hAnsi="Times New Roman"/>
              </w:rPr>
            </w:pPr>
            <w:r>
              <w:rPr>
                <w:rFonts w:ascii="Times New Roman" w:hAnsi="Times New Roman"/>
              </w:rPr>
              <w:t>项目与《</w:t>
            </w:r>
            <w:r>
              <w:rPr>
                <w:rFonts w:ascii="Times New Roman" w:hAnsi="Times New Roman"/>
                <w:kern w:val="0"/>
                <w:szCs w:val="24"/>
              </w:rPr>
              <w:t>威海市环境保护局等7部门</w:t>
            </w:r>
            <w:r>
              <w:rPr>
                <w:rFonts w:ascii="Times New Roman" w:hAnsi="Times New Roman"/>
              </w:rPr>
              <w:t>关于印发&lt;威海市</w:t>
            </w:r>
            <w:r>
              <w:rPr>
                <w:rFonts w:ascii="Times New Roman" w:hAnsi="Times New Roman"/>
                <w:bCs/>
              </w:rPr>
              <w:t>“十三五”挥发性有机物污染防治工作方案</w:t>
            </w:r>
            <w:r>
              <w:rPr>
                <w:rFonts w:ascii="Times New Roman" w:hAnsi="Times New Roman"/>
              </w:rPr>
              <w:t>&gt;的通知》（威环发[2018]85号）的符合性分析见</w:t>
            </w:r>
            <w:r>
              <w:rPr>
                <w:rFonts w:hint="eastAsia" w:ascii="Times New Roman" w:hAnsi="Times New Roman"/>
              </w:rPr>
              <w:t>下表</w:t>
            </w:r>
            <w:r>
              <w:rPr>
                <w:rFonts w:ascii="Times New Roman" w:hAnsi="Times New Roman"/>
              </w:rPr>
              <w:t>。</w:t>
            </w:r>
          </w:p>
          <w:p>
            <w:pPr>
              <w:pStyle w:val="26"/>
            </w:pPr>
            <w:r>
              <w:t>表7 本项目与威环发[2018]85号文符合性一览表</w:t>
            </w:r>
          </w:p>
          <w:tbl>
            <w:tblPr>
              <w:tblStyle w:val="30"/>
              <w:tblW w:w="1005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930"/>
              <w:gridCol w:w="3230"/>
              <w:gridCol w:w="8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0" w:hRule="atLeast"/>
                <w:jc w:val="center"/>
              </w:trPr>
              <w:tc>
                <w:tcPr>
                  <w:tcW w:w="5930" w:type="dxa"/>
                  <w:tcMar>
                    <w:left w:w="0" w:type="dxa"/>
                    <w:right w:w="0" w:type="dxa"/>
                  </w:tcMar>
                  <w:vAlign w:val="center"/>
                </w:tcPr>
                <w:p>
                  <w:pPr>
                    <w:tabs>
                      <w:tab w:val="center" w:pos="4706"/>
                    </w:tabs>
                    <w:autoSpaceDE w:val="0"/>
                    <w:autoSpaceDN w:val="0"/>
                    <w:adjustRightInd w:val="0"/>
                    <w:snapToGrid w:val="0"/>
                    <w:spacing w:line="300" w:lineRule="exact"/>
                    <w:jc w:val="center"/>
                    <w:rPr>
                      <w:rFonts w:ascii="Times New Roman" w:hAnsi="Times New Roman"/>
                      <w:sz w:val="21"/>
                      <w:szCs w:val="21"/>
                      <w:lang w:val="zh-CN"/>
                    </w:rPr>
                  </w:pPr>
                  <w:r>
                    <w:rPr>
                      <w:rFonts w:ascii="Times New Roman" w:hAnsi="Times New Roman"/>
                      <w:sz w:val="21"/>
                      <w:szCs w:val="21"/>
                    </w:rPr>
                    <w:t>威环发[2018]85号文</w:t>
                  </w:r>
                  <w:r>
                    <w:rPr>
                      <w:rFonts w:ascii="Times New Roman" w:hAnsi="Times New Roman"/>
                      <w:sz w:val="21"/>
                      <w:szCs w:val="21"/>
                      <w:lang w:val="zh-CN"/>
                    </w:rPr>
                    <w:t>要求</w:t>
                  </w:r>
                </w:p>
              </w:tc>
              <w:tc>
                <w:tcPr>
                  <w:tcW w:w="3230" w:type="dxa"/>
                  <w:tcMar>
                    <w:left w:w="0" w:type="dxa"/>
                    <w:right w:w="0" w:type="dxa"/>
                  </w:tcMar>
                  <w:vAlign w:val="center"/>
                </w:tcPr>
                <w:p>
                  <w:pPr>
                    <w:tabs>
                      <w:tab w:val="center" w:pos="4706"/>
                    </w:tabs>
                    <w:autoSpaceDE w:val="0"/>
                    <w:autoSpaceDN w:val="0"/>
                    <w:adjustRightInd w:val="0"/>
                    <w:snapToGrid w:val="0"/>
                    <w:spacing w:line="300" w:lineRule="exact"/>
                    <w:jc w:val="center"/>
                    <w:rPr>
                      <w:rFonts w:ascii="Times New Roman" w:hAnsi="Times New Roman"/>
                      <w:sz w:val="21"/>
                      <w:szCs w:val="21"/>
                    </w:rPr>
                  </w:pPr>
                  <w:r>
                    <w:rPr>
                      <w:rFonts w:ascii="Times New Roman" w:hAnsi="Times New Roman"/>
                      <w:sz w:val="21"/>
                      <w:szCs w:val="21"/>
                    </w:rPr>
                    <w:t>本项目情况</w:t>
                  </w:r>
                </w:p>
              </w:tc>
              <w:tc>
                <w:tcPr>
                  <w:tcW w:w="897" w:type="dxa"/>
                  <w:tcMar>
                    <w:left w:w="0" w:type="dxa"/>
                    <w:right w:w="0" w:type="dxa"/>
                  </w:tcMar>
                  <w:vAlign w:val="center"/>
                </w:tcPr>
                <w:p>
                  <w:pPr>
                    <w:tabs>
                      <w:tab w:val="center" w:pos="4706"/>
                    </w:tabs>
                    <w:autoSpaceDE w:val="0"/>
                    <w:autoSpaceDN w:val="0"/>
                    <w:adjustRightInd w:val="0"/>
                    <w:snapToGrid w:val="0"/>
                    <w:spacing w:line="300" w:lineRule="exact"/>
                    <w:jc w:val="center"/>
                    <w:rPr>
                      <w:rFonts w:ascii="Times New Roman" w:hAnsi="Times New Roman"/>
                      <w:sz w:val="21"/>
                      <w:szCs w:val="21"/>
                      <w:lang w:val="zh-CN"/>
                    </w:rPr>
                  </w:pPr>
                  <w:r>
                    <w:rPr>
                      <w:rFonts w:ascii="Times New Roman" w:hAnsi="Times New Roman"/>
                      <w:sz w:val="21"/>
                      <w:szCs w:val="21"/>
                      <w:lang w:val="zh-CN"/>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90" w:hRule="atLeast"/>
                <w:jc w:val="center"/>
              </w:trPr>
              <w:tc>
                <w:tcPr>
                  <w:tcW w:w="5930" w:type="dxa"/>
                  <w:tcMar>
                    <w:left w:w="0" w:type="dxa"/>
                    <w:right w:w="0" w:type="dxa"/>
                  </w:tcMar>
                  <w:vAlign w:val="center"/>
                </w:tcPr>
                <w:p>
                  <w:pPr>
                    <w:pStyle w:val="22"/>
                    <w:ind w:firstLine="420" w:firstLineChars="200"/>
                    <w:jc w:val="left"/>
                  </w:pPr>
                  <w:r>
                    <w:t>加快推进“散乱污”企业综合整治。针对涉VOCs排放的“散乱污”企业，在落实《威海市2017年环境保护突出问题综合整治攻坚方案》等要求的基础上，坚持边整治、边摸排，对新排查出的“散乱污”企业，坚持“先停后治”的原则，建立管理台账，实施分类处置。</w:t>
                  </w:r>
                </w:p>
              </w:tc>
              <w:tc>
                <w:tcPr>
                  <w:tcW w:w="3230" w:type="dxa"/>
                  <w:tcMar>
                    <w:left w:w="0" w:type="dxa"/>
                    <w:right w:w="0" w:type="dxa"/>
                  </w:tcMar>
                  <w:vAlign w:val="center"/>
                </w:tcPr>
                <w:p>
                  <w:pPr>
                    <w:pStyle w:val="22"/>
                    <w:ind w:firstLine="420" w:firstLineChars="200"/>
                    <w:jc w:val="both"/>
                    <w:rPr>
                      <w:color w:val="FF0000"/>
                      <w:kern w:val="36"/>
                    </w:rPr>
                  </w:pPr>
                  <w:r>
                    <w:rPr>
                      <w:kern w:val="36"/>
                    </w:rPr>
                    <w:t>项目属于</w:t>
                  </w:r>
                  <w:r>
                    <w:rPr>
                      <w:rFonts w:hint="eastAsia"/>
                      <w:kern w:val="36"/>
                    </w:rPr>
                    <w:t>扩建</w:t>
                  </w:r>
                  <w:r>
                    <w:rPr>
                      <w:kern w:val="36"/>
                    </w:rPr>
                    <w:t>项目，不属于小散乱污企业</w:t>
                  </w:r>
                </w:p>
              </w:tc>
              <w:tc>
                <w:tcPr>
                  <w:tcW w:w="897" w:type="dxa"/>
                  <w:tcMar>
                    <w:left w:w="0" w:type="dxa"/>
                    <w:right w:w="0" w:type="dxa"/>
                  </w:tcMar>
                  <w:vAlign w:val="center"/>
                </w:tcPr>
                <w:p>
                  <w:pPr>
                    <w:widowControl/>
                    <w:adjustRightInd w:val="0"/>
                    <w:snapToGrid w:val="0"/>
                    <w:spacing w:line="300" w:lineRule="exact"/>
                    <w:jc w:val="center"/>
                    <w:rPr>
                      <w:rFonts w:ascii="Times New Roman" w:hAnsi="Times New Roman"/>
                      <w:sz w:val="21"/>
                      <w:szCs w:val="21"/>
                      <w:lang w:val="zh-CN"/>
                    </w:rPr>
                  </w:pPr>
                  <w:r>
                    <w:rPr>
                      <w:rFonts w:ascii="Times New Roman" w:hAnsi="Times New Roman"/>
                      <w:sz w:val="21"/>
                      <w:szCs w:val="21"/>
                      <w:lang w:val="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 w:hRule="atLeast"/>
                <w:jc w:val="center"/>
              </w:trPr>
              <w:tc>
                <w:tcPr>
                  <w:tcW w:w="5930" w:type="dxa"/>
                  <w:tcMar>
                    <w:left w:w="0" w:type="dxa"/>
                    <w:right w:w="0" w:type="dxa"/>
                  </w:tcMar>
                  <w:vAlign w:val="center"/>
                </w:tcPr>
                <w:p>
                  <w:pPr>
                    <w:pStyle w:val="22"/>
                    <w:ind w:firstLine="420" w:firstLineChars="200"/>
                    <w:jc w:val="left"/>
                  </w:pPr>
                  <w:r>
                    <w:t>严格建设项目环境准入。严格涉VOCs建设项目环境影响评价，实行区域内VOCs排放等量或倍量削减替代，并将替代方案落实到企业排污许可证中，纳入环境执法管理。新、改、扩建涉VOCs排放项目，应从源头加强控制，使用低（无）VOCs含量的原辅材料，加强废气收集，安装高效治理设施。</w:t>
                  </w:r>
                </w:p>
              </w:tc>
              <w:tc>
                <w:tcPr>
                  <w:tcW w:w="3230" w:type="dxa"/>
                  <w:tcMar>
                    <w:left w:w="0" w:type="dxa"/>
                    <w:right w:w="0" w:type="dxa"/>
                  </w:tcMar>
                  <w:vAlign w:val="center"/>
                </w:tcPr>
                <w:p>
                  <w:pPr>
                    <w:pStyle w:val="22"/>
                    <w:ind w:firstLine="420" w:firstLineChars="200"/>
                    <w:jc w:val="both"/>
                    <w:rPr>
                      <w:color w:val="FF0000"/>
                      <w:kern w:val="36"/>
                    </w:rPr>
                  </w:pPr>
                  <w:r>
                    <w:rPr>
                      <w:rFonts w:hint="eastAsia"/>
                      <w:kern w:val="36"/>
                    </w:rPr>
                    <w:t>项目车间工作期间门窗关闭，配套集气装置使车间形成微负压</w:t>
                  </w:r>
                  <w:r>
                    <w:rPr>
                      <w:bCs w:val="0"/>
                      <w:kern w:val="2"/>
                      <w:szCs w:val="21"/>
                    </w:rPr>
                    <w:t>，收集的废气</w:t>
                  </w:r>
                  <w:r>
                    <w:rPr>
                      <w:rFonts w:hint="eastAsia"/>
                      <w:bCs w:val="0"/>
                      <w:kern w:val="2"/>
                      <w:szCs w:val="21"/>
                    </w:rPr>
                    <w:t>经催化燃烧装置</w:t>
                  </w:r>
                  <w:r>
                    <w:rPr>
                      <w:bCs w:val="0"/>
                      <w:kern w:val="2"/>
                      <w:szCs w:val="21"/>
                    </w:rPr>
                    <w:t>处理后经</w:t>
                  </w:r>
                  <w:r>
                    <w:rPr>
                      <w:rFonts w:hint="eastAsia"/>
                      <w:bCs w:val="0"/>
                      <w:kern w:val="2"/>
                      <w:szCs w:val="21"/>
                    </w:rPr>
                    <w:t>15m高排气筒</w:t>
                  </w:r>
                  <w:r>
                    <w:rPr>
                      <w:bCs w:val="0"/>
                      <w:kern w:val="2"/>
                      <w:szCs w:val="21"/>
                    </w:rPr>
                    <w:t>排放</w:t>
                  </w:r>
                  <w:r>
                    <w:rPr>
                      <w:rFonts w:hint="eastAsia"/>
                      <w:bCs w:val="0"/>
                      <w:kern w:val="2"/>
                      <w:szCs w:val="21"/>
                    </w:rPr>
                    <w:t>。</w:t>
                  </w:r>
                </w:p>
              </w:tc>
              <w:tc>
                <w:tcPr>
                  <w:tcW w:w="897" w:type="dxa"/>
                  <w:tcMar>
                    <w:left w:w="0" w:type="dxa"/>
                    <w:right w:w="0" w:type="dxa"/>
                  </w:tcMar>
                  <w:vAlign w:val="center"/>
                </w:tcPr>
                <w:p>
                  <w:pPr>
                    <w:widowControl/>
                    <w:adjustRightInd w:val="0"/>
                    <w:snapToGrid w:val="0"/>
                    <w:spacing w:line="300" w:lineRule="exact"/>
                    <w:jc w:val="center"/>
                    <w:rPr>
                      <w:rFonts w:ascii="Times New Roman" w:hAnsi="Times New Roman"/>
                      <w:sz w:val="21"/>
                      <w:szCs w:val="21"/>
                      <w:lang w:val="zh-CN"/>
                    </w:rPr>
                  </w:pPr>
                  <w:r>
                    <w:rPr>
                      <w:rFonts w:ascii="Times New Roman" w:hAnsi="Times New Roman"/>
                      <w:sz w:val="21"/>
                      <w:szCs w:val="21"/>
                      <w:lang w:val="zh-CN"/>
                    </w:rPr>
                    <w:t>符合</w:t>
                  </w:r>
                </w:p>
              </w:tc>
            </w:tr>
          </w:tbl>
          <w:p>
            <w:pPr>
              <w:spacing w:line="336" w:lineRule="auto"/>
              <w:ind w:firstLine="482"/>
              <w:rPr>
                <w:rFonts w:ascii="Times New Roman" w:hAnsi="Times New Roman"/>
              </w:rPr>
            </w:pPr>
            <w:r>
              <w:rPr>
                <w:rFonts w:ascii="Times New Roman" w:hAnsi="Times New Roman"/>
              </w:rPr>
              <w:t>由上表可知，本项目符合威环发[2018]85号相关要求。</w:t>
            </w:r>
          </w:p>
          <w:p>
            <w:pPr>
              <w:pStyle w:val="32"/>
              <w:ind w:firstLine="480"/>
            </w:pPr>
            <w:r>
              <w:t>（8）与鲁环发[2019]132号文符合性分析</w:t>
            </w:r>
          </w:p>
          <w:p>
            <w:pPr>
              <w:keepNext/>
              <w:keepLines/>
              <w:tabs>
                <w:tab w:val="left" w:pos="360"/>
              </w:tabs>
              <w:overflowPunct w:val="0"/>
              <w:topLinePunct/>
              <w:spacing w:line="360" w:lineRule="auto"/>
              <w:ind w:firstLine="480" w:firstLineChars="200"/>
              <w:rPr>
                <w:rFonts w:ascii="Times New Roman" w:hAnsi="Times New Roman"/>
              </w:rPr>
            </w:pPr>
            <w:r>
              <w:rPr>
                <w:rFonts w:ascii="Times New Roman" w:hAnsi="Times New Roman"/>
              </w:rPr>
              <w:t>项目与山东省生态环境厅《关于印发&lt;山东省建设项目主要大气污染物排放总量替代指标核算及管理办法&gt;的通知》（鲁环发[2019]132号）的符合性分析见下表。</w:t>
            </w:r>
          </w:p>
          <w:p>
            <w:pPr>
              <w:pStyle w:val="26"/>
            </w:pPr>
            <w:r>
              <w:t>表8 本项目与鲁环发[2019]132号文的符合情况</w:t>
            </w:r>
          </w:p>
          <w:tbl>
            <w:tblPr>
              <w:tblStyle w:val="30"/>
              <w:tblW w:w="1005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65"/>
              <w:gridCol w:w="2776"/>
              <w:gridCol w:w="10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4" w:hRule="atLeast"/>
                <w:jc w:val="center"/>
              </w:trPr>
              <w:tc>
                <w:tcPr>
                  <w:tcW w:w="6265" w:type="dxa"/>
                  <w:vAlign w:val="center"/>
                </w:tcPr>
                <w:p>
                  <w:pPr>
                    <w:adjustRightInd w:val="0"/>
                    <w:snapToGrid w:val="0"/>
                    <w:jc w:val="center"/>
                    <w:rPr>
                      <w:rFonts w:ascii="Times New Roman" w:hAnsi="Times New Roman"/>
                      <w:sz w:val="21"/>
                      <w:szCs w:val="21"/>
                    </w:rPr>
                  </w:pPr>
                  <w:r>
                    <w:rPr>
                      <w:rFonts w:ascii="Times New Roman" w:hAnsi="Times New Roman"/>
                      <w:sz w:val="21"/>
                      <w:szCs w:val="21"/>
                    </w:rPr>
                    <w:t>鲁环发[2019]132号文要求</w:t>
                  </w:r>
                </w:p>
              </w:tc>
              <w:tc>
                <w:tcPr>
                  <w:tcW w:w="2776" w:type="dxa"/>
                  <w:vAlign w:val="center"/>
                </w:tcPr>
                <w:p>
                  <w:pPr>
                    <w:adjustRightInd w:val="0"/>
                    <w:snapToGrid w:val="0"/>
                    <w:jc w:val="center"/>
                    <w:rPr>
                      <w:rFonts w:ascii="Times New Roman" w:hAnsi="Times New Roman"/>
                      <w:sz w:val="21"/>
                      <w:szCs w:val="21"/>
                    </w:rPr>
                  </w:pPr>
                  <w:r>
                    <w:rPr>
                      <w:rFonts w:ascii="Times New Roman" w:hAnsi="Times New Roman"/>
                      <w:sz w:val="21"/>
                      <w:szCs w:val="21"/>
                    </w:rPr>
                    <w:t>项目情况</w:t>
                  </w:r>
                </w:p>
              </w:tc>
              <w:tc>
                <w:tcPr>
                  <w:tcW w:w="1016" w:type="dxa"/>
                  <w:vAlign w:val="center"/>
                </w:tcPr>
                <w:p>
                  <w:pPr>
                    <w:adjustRightInd w:val="0"/>
                    <w:snapToGrid w:val="0"/>
                    <w:jc w:val="center"/>
                    <w:rPr>
                      <w:rFonts w:ascii="Times New Roman" w:hAnsi="Times New Roman"/>
                      <w:sz w:val="21"/>
                      <w:szCs w:val="21"/>
                    </w:rPr>
                  </w:pPr>
                  <w:r>
                    <w:rPr>
                      <w:rFonts w:ascii="Times New Roman" w:hAnsi="Times New Roman"/>
                      <w:sz w:val="21"/>
                      <w:szCs w:val="21"/>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4" w:hRule="atLeast"/>
                <w:jc w:val="center"/>
              </w:trPr>
              <w:tc>
                <w:tcPr>
                  <w:tcW w:w="6265" w:type="dxa"/>
                  <w:vAlign w:val="center"/>
                </w:tcPr>
                <w:p>
                  <w:pPr>
                    <w:adjustRightInd w:val="0"/>
                    <w:snapToGrid w:val="0"/>
                    <w:ind w:firstLine="422" w:firstLineChars="200"/>
                    <w:rPr>
                      <w:rFonts w:ascii="Times New Roman" w:hAnsi="Times New Roman"/>
                      <w:b/>
                      <w:kern w:val="0"/>
                      <w:sz w:val="21"/>
                      <w:szCs w:val="21"/>
                    </w:rPr>
                  </w:pPr>
                  <w:r>
                    <w:rPr>
                      <w:rFonts w:ascii="Times New Roman" w:hAnsi="Times New Roman"/>
                      <w:b/>
                      <w:kern w:val="0"/>
                      <w:sz w:val="21"/>
                      <w:szCs w:val="21"/>
                    </w:rPr>
                    <w:t>二、指标来源</w:t>
                  </w:r>
                </w:p>
                <w:p>
                  <w:pPr>
                    <w:adjustRightInd w:val="0"/>
                    <w:snapToGrid w:val="0"/>
                    <w:ind w:firstLine="420" w:firstLineChars="200"/>
                    <w:rPr>
                      <w:rFonts w:ascii="Times New Roman" w:hAnsi="Times New Roman"/>
                      <w:bCs/>
                      <w:kern w:val="0"/>
                      <w:sz w:val="21"/>
                      <w:szCs w:val="21"/>
                    </w:rPr>
                  </w:pPr>
                  <w:r>
                    <w:rPr>
                      <w:rFonts w:ascii="Times New Roman" w:hAnsi="Times New Roman"/>
                      <w:bCs/>
                      <w:kern w:val="0"/>
                      <w:sz w:val="21"/>
                      <w:szCs w:val="21"/>
                    </w:rPr>
                    <w:t>（二）“可替代总量指标”核算基准年为2017年。建设项目污染物排放总量替代指标应来源于2017年1月1日以后，企事业单位采取减排措施后正常工况下或者关停可形成的年排放削减量，或者从拟替代关停的现有企业、设施或者治理项目可形成的污染物削减量中预支。</w:t>
                  </w:r>
                </w:p>
              </w:tc>
              <w:tc>
                <w:tcPr>
                  <w:tcW w:w="2776" w:type="dxa"/>
                  <w:vAlign w:val="center"/>
                </w:tcPr>
                <w:p>
                  <w:pPr>
                    <w:pStyle w:val="22"/>
                    <w:ind w:firstLine="210" w:firstLineChars="100"/>
                    <w:jc w:val="both"/>
                    <w:rPr>
                      <w:color w:val="FF0000"/>
                    </w:rPr>
                  </w:pPr>
                  <w:r>
                    <w:rPr>
                      <w:rFonts w:hint="eastAsia"/>
                      <w:bCs w:val="0"/>
                    </w:rPr>
                    <w:t>威海步特户外用品有限公司原来四号车间刷胶等工艺产生的VOC经活性炭吸附+UV光解处理后排放量为0.722t/a，企业先已对四号处理设备进行升级改造，更换至催化燃烧设备， 更换后处理效果更好，VOC排放量削减了0.586t/a， 项目VOCs排放量为0.19t/a，削减部分作为扩建印刷车间的倍量替代的量。</w:t>
                  </w:r>
                </w:p>
              </w:tc>
              <w:tc>
                <w:tcPr>
                  <w:tcW w:w="1016" w:type="dxa"/>
                  <w:vAlign w:val="center"/>
                </w:tcPr>
                <w:p>
                  <w:pPr>
                    <w:adjustRightInd w:val="0"/>
                    <w:snapToGrid w:val="0"/>
                    <w:jc w:val="center"/>
                    <w:rPr>
                      <w:rFonts w:ascii="Times New Roman" w:hAnsi="Times New Roman"/>
                      <w:sz w:val="21"/>
                      <w:szCs w:val="21"/>
                    </w:rPr>
                  </w:pPr>
                  <w:r>
                    <w:rPr>
                      <w:rFonts w:ascii="Times New Roman" w:hAnsi="Times New Roman"/>
                      <w:sz w:val="21"/>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89" w:hRule="atLeast"/>
                <w:jc w:val="center"/>
              </w:trPr>
              <w:tc>
                <w:tcPr>
                  <w:tcW w:w="6265" w:type="dxa"/>
                  <w:vAlign w:val="center"/>
                </w:tcPr>
                <w:p>
                  <w:pPr>
                    <w:adjustRightInd w:val="0"/>
                    <w:snapToGrid w:val="0"/>
                    <w:ind w:firstLine="422" w:firstLineChars="200"/>
                    <w:rPr>
                      <w:rFonts w:ascii="Times New Roman" w:hAnsi="Times New Roman"/>
                      <w:b/>
                      <w:kern w:val="0"/>
                      <w:sz w:val="21"/>
                      <w:szCs w:val="21"/>
                    </w:rPr>
                  </w:pPr>
                  <w:r>
                    <w:rPr>
                      <w:rFonts w:ascii="Times New Roman" w:hAnsi="Times New Roman"/>
                      <w:b/>
                      <w:kern w:val="0"/>
                      <w:sz w:val="21"/>
                      <w:szCs w:val="21"/>
                    </w:rPr>
                    <w:t>四、指标审核</w:t>
                  </w:r>
                </w:p>
                <w:p>
                  <w:pPr>
                    <w:adjustRightInd w:val="0"/>
                    <w:snapToGrid w:val="0"/>
                    <w:ind w:firstLine="420" w:firstLineChars="200"/>
                    <w:rPr>
                      <w:rFonts w:ascii="Times New Roman" w:hAnsi="Times New Roman"/>
                      <w:b/>
                      <w:kern w:val="0"/>
                      <w:sz w:val="21"/>
                      <w:szCs w:val="21"/>
                    </w:rPr>
                  </w:pPr>
                  <w:r>
                    <w:rPr>
                      <w:rFonts w:ascii="Times New Roman" w:hAnsi="Times New Roman"/>
                      <w:bCs/>
                      <w:kern w:val="0"/>
                      <w:sz w:val="21"/>
                      <w:szCs w:val="21"/>
                    </w:rPr>
                    <w:t>（一）用于建设项目的“可替代总量指标”不得低于建设项目所需替代的主要污染物排放总量指标。上一年度环境空气质量年平均浓度达标的城市，相关污染物进行等量替代。上一年度环境空气质量年平均浓度不达标的城市，相关污染物应按照建设项目所需替代的污染物排放总量指标的2倍进行削减替代（燃煤发电机组大气污染物排放浓度达到超低排放标准的进行等量替代）。上一年度细颗粒物年平均浓度超标的设区的市，实行二氧化硫、氮氧化物、烟粉尘、挥发性有机物四项污染物排放总量指标2倍削减替代。各设区的市有更严格倍量替代要求的，按照有关规定执行。</w:t>
                  </w:r>
                </w:p>
              </w:tc>
              <w:tc>
                <w:tcPr>
                  <w:tcW w:w="2776" w:type="dxa"/>
                  <w:vAlign w:val="center"/>
                </w:tcPr>
                <w:p>
                  <w:pPr>
                    <w:pStyle w:val="22"/>
                    <w:ind w:firstLine="420" w:firstLineChars="200"/>
                    <w:jc w:val="both"/>
                    <w:rPr>
                      <w:color w:val="FF0000"/>
                    </w:rPr>
                  </w:pPr>
                  <w:r>
                    <w:rPr>
                      <w:rFonts w:hint="eastAsia"/>
                      <w:bCs w:val="0"/>
                    </w:rPr>
                    <w:t>威海步特户外用品有限公司原来四号车间刷胶等工艺产生的VOC经活性炭吸附+UV光解处理后排放量为0.722t/a，企业先已对四号处理设备进行升级改造，更换至催化燃烧设备， 更换后处理效果更好，VOC排放量削减了0.586t/a， 项目VOCs排放量为0.19t/a，削减部分作为扩建印刷车间的倍量替代的量。</w:t>
                  </w:r>
                </w:p>
              </w:tc>
              <w:tc>
                <w:tcPr>
                  <w:tcW w:w="1016" w:type="dxa"/>
                  <w:vAlign w:val="center"/>
                </w:tcPr>
                <w:p>
                  <w:pPr>
                    <w:adjustRightInd w:val="0"/>
                    <w:snapToGrid w:val="0"/>
                    <w:jc w:val="center"/>
                    <w:rPr>
                      <w:rFonts w:ascii="Times New Roman" w:hAnsi="Times New Roman"/>
                      <w:sz w:val="21"/>
                      <w:szCs w:val="21"/>
                    </w:rPr>
                  </w:pPr>
                  <w:r>
                    <w:rPr>
                      <w:rFonts w:ascii="Times New Roman" w:hAnsi="Times New Roman"/>
                      <w:sz w:val="21"/>
                      <w:szCs w:val="21"/>
                    </w:rPr>
                    <w:t>符合</w:t>
                  </w:r>
                </w:p>
              </w:tc>
            </w:tr>
          </w:tbl>
          <w:p>
            <w:pPr>
              <w:spacing w:line="360" w:lineRule="auto"/>
              <w:ind w:firstLine="480" w:firstLineChars="200"/>
              <w:textAlignment w:val="baseline"/>
              <w:rPr>
                <w:rFonts w:ascii="Times New Roman" w:hAnsi="Times New Roman"/>
                <w:szCs w:val="24"/>
              </w:rPr>
            </w:pPr>
            <w:r>
              <w:rPr>
                <w:rFonts w:ascii="Times New Roman" w:hAnsi="Times New Roman"/>
              </w:rPr>
              <w:t>由上表可知，本项目符合鲁环发[2019]132号相关要求。</w:t>
            </w:r>
          </w:p>
          <w:p>
            <w:pPr>
              <w:spacing w:line="360" w:lineRule="auto"/>
              <w:ind w:firstLine="480" w:firstLineChars="200"/>
              <w:jc w:val="left"/>
              <w:rPr>
                <w:rFonts w:ascii="Times New Roman" w:hAnsi="Times New Roman"/>
                <w:kern w:val="2"/>
                <w:szCs w:val="24"/>
              </w:rPr>
            </w:pPr>
            <w:r>
              <w:rPr>
                <w:rFonts w:ascii="Times New Roman" w:hAnsi="Times New Roman"/>
                <w:kern w:val="2"/>
                <w:szCs w:val="24"/>
              </w:rPr>
              <w:t>（9）与</w:t>
            </w:r>
            <w:r>
              <w:rPr>
                <w:rFonts w:ascii="Times New Roman" w:hAnsi="Times New Roman"/>
                <w:bCs/>
                <w:kern w:val="2"/>
                <w:szCs w:val="24"/>
              </w:rPr>
              <w:t>环大气[2019]53号</w:t>
            </w:r>
            <w:r>
              <w:rPr>
                <w:rFonts w:ascii="Times New Roman" w:hAnsi="Times New Roman"/>
                <w:kern w:val="2"/>
                <w:szCs w:val="24"/>
              </w:rPr>
              <w:t>符合性分析</w:t>
            </w:r>
          </w:p>
          <w:p>
            <w:pPr>
              <w:spacing w:line="360" w:lineRule="auto"/>
              <w:ind w:firstLine="480" w:firstLineChars="200"/>
              <w:jc w:val="left"/>
              <w:rPr>
                <w:rFonts w:ascii="Times New Roman" w:hAnsi="Times New Roman"/>
                <w:bCs/>
                <w:color w:val="000000"/>
                <w:kern w:val="0"/>
                <w:szCs w:val="24"/>
              </w:rPr>
            </w:pPr>
            <w:r>
              <w:rPr>
                <w:rFonts w:ascii="Times New Roman" w:hAnsi="Times New Roman"/>
                <w:bCs/>
                <w:color w:val="000000"/>
                <w:kern w:val="0"/>
                <w:szCs w:val="24"/>
              </w:rPr>
              <w:t>与生态环境部关于印发《重点行业挥发性有机物综合治理方案》的通知（环大气[2019]53号）的符合性分析见下表。</w:t>
            </w:r>
          </w:p>
          <w:p>
            <w:pPr>
              <w:pStyle w:val="26"/>
            </w:pPr>
            <w:r>
              <w:t>表9 本项目与环大气[2019]53号文符合性一览表</w:t>
            </w:r>
          </w:p>
          <w:tbl>
            <w:tblPr>
              <w:tblStyle w:val="30"/>
              <w:tblW w:w="1005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135"/>
              <w:gridCol w:w="4055"/>
              <w:gridCol w:w="8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2" w:hRule="atLeast"/>
                <w:jc w:val="center"/>
              </w:trPr>
              <w:tc>
                <w:tcPr>
                  <w:tcW w:w="5135" w:type="dxa"/>
                  <w:vAlign w:val="center"/>
                </w:tcPr>
                <w:p>
                  <w:pPr>
                    <w:widowControl/>
                    <w:adjustRightInd w:val="0"/>
                    <w:snapToGrid w:val="0"/>
                    <w:spacing w:line="260" w:lineRule="exact"/>
                    <w:jc w:val="center"/>
                    <w:rPr>
                      <w:rFonts w:ascii="Times New Roman" w:hAnsi="Times New Roman"/>
                      <w:bCs/>
                      <w:color w:val="000000"/>
                      <w:kern w:val="0"/>
                      <w:sz w:val="21"/>
                      <w:szCs w:val="21"/>
                    </w:rPr>
                  </w:pPr>
                  <w:r>
                    <w:rPr>
                      <w:rFonts w:ascii="Times New Roman" w:hAnsi="Times New Roman"/>
                      <w:color w:val="000000"/>
                      <w:kern w:val="0"/>
                      <w:sz w:val="21"/>
                      <w:szCs w:val="21"/>
                      <w:lang w:val="zh-CN"/>
                    </w:rPr>
                    <w:t>环大气[2019]53号文要求</w:t>
                  </w:r>
                </w:p>
              </w:tc>
              <w:tc>
                <w:tcPr>
                  <w:tcW w:w="4055" w:type="dxa"/>
                  <w:vAlign w:val="center"/>
                </w:tcPr>
                <w:p>
                  <w:pPr>
                    <w:widowControl/>
                    <w:adjustRightInd w:val="0"/>
                    <w:snapToGrid w:val="0"/>
                    <w:spacing w:line="260" w:lineRule="exact"/>
                    <w:jc w:val="center"/>
                    <w:rPr>
                      <w:rFonts w:ascii="Times New Roman" w:hAnsi="Times New Roman"/>
                      <w:bCs/>
                      <w:color w:val="000000"/>
                      <w:kern w:val="0"/>
                      <w:sz w:val="21"/>
                      <w:szCs w:val="21"/>
                    </w:rPr>
                  </w:pPr>
                  <w:r>
                    <w:rPr>
                      <w:rFonts w:ascii="Times New Roman" w:hAnsi="Times New Roman"/>
                      <w:bCs/>
                      <w:color w:val="000000"/>
                      <w:kern w:val="0"/>
                      <w:sz w:val="21"/>
                      <w:szCs w:val="21"/>
                    </w:rPr>
                    <w:t>本项目情况</w:t>
                  </w:r>
                </w:p>
              </w:tc>
              <w:tc>
                <w:tcPr>
                  <w:tcW w:w="867" w:type="dxa"/>
                  <w:vAlign w:val="center"/>
                </w:tcPr>
                <w:p>
                  <w:pPr>
                    <w:widowControl/>
                    <w:adjustRightInd w:val="0"/>
                    <w:snapToGrid w:val="0"/>
                    <w:spacing w:line="260" w:lineRule="exact"/>
                    <w:jc w:val="center"/>
                    <w:rPr>
                      <w:rFonts w:ascii="Times New Roman" w:hAnsi="Times New Roman"/>
                      <w:bCs/>
                      <w:color w:val="000000"/>
                      <w:kern w:val="0"/>
                      <w:sz w:val="21"/>
                      <w:szCs w:val="21"/>
                    </w:rPr>
                  </w:pPr>
                  <w:r>
                    <w:rPr>
                      <w:rFonts w:ascii="Times New Roman" w:hAnsi="Times New Roman"/>
                      <w:bCs/>
                      <w:color w:val="000000"/>
                      <w:kern w:val="0"/>
                      <w:sz w:val="21"/>
                      <w:szCs w:val="21"/>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 w:hRule="atLeast"/>
                <w:jc w:val="center"/>
              </w:trPr>
              <w:tc>
                <w:tcPr>
                  <w:tcW w:w="5135" w:type="dxa"/>
                  <w:vAlign w:val="center"/>
                </w:tcPr>
                <w:p>
                  <w:pPr>
                    <w:adjustRightInd w:val="0"/>
                    <w:spacing w:line="260" w:lineRule="exact"/>
                    <w:rPr>
                      <w:rFonts w:ascii="Times New Roman" w:hAnsi="Times New Roman"/>
                      <w:kern w:val="2"/>
                      <w:sz w:val="21"/>
                      <w:szCs w:val="21"/>
                    </w:rPr>
                  </w:pPr>
                  <w:r>
                    <w:rPr>
                      <w:rFonts w:ascii="Times New Roman" w:hAnsi="Times New Roman"/>
                      <w:kern w:val="2"/>
                      <w:sz w:val="21"/>
                      <w:szCs w:val="21"/>
                    </w:rPr>
                    <w:t>1、强化源头控制。</w:t>
                  </w:r>
                  <w:r>
                    <w:rPr>
                      <w:rFonts w:ascii="Times New Roman" w:hAnsi="Times New Roman"/>
                      <w:color w:val="000000"/>
                      <w:kern w:val="0"/>
                      <w:sz w:val="21"/>
                      <w:szCs w:val="21"/>
                    </w:rPr>
                    <w:t>加快使用粉末、水性、高固体分、辐射固化等低VOCs含量的涂料替代溶剂型涂料，</w:t>
                  </w:r>
                  <w:r>
                    <w:rPr>
                      <w:rFonts w:ascii="Times New Roman" w:hAnsi="Times New Roman"/>
                      <w:bCs/>
                      <w:color w:val="000000"/>
                      <w:kern w:val="0"/>
                      <w:sz w:val="21"/>
                      <w:szCs w:val="21"/>
                    </w:rPr>
                    <w:t>从源头减少VOCs的产生。</w:t>
                  </w:r>
                </w:p>
              </w:tc>
              <w:tc>
                <w:tcPr>
                  <w:tcW w:w="4055" w:type="dxa"/>
                  <w:vAlign w:val="center"/>
                </w:tcPr>
                <w:p>
                  <w:pPr>
                    <w:pStyle w:val="22"/>
                    <w:ind w:firstLine="420" w:firstLineChars="200"/>
                    <w:jc w:val="left"/>
                    <w:rPr>
                      <w:color w:val="FF0000"/>
                    </w:rPr>
                  </w:pPr>
                  <w:r>
                    <w:rPr>
                      <w:kern w:val="36"/>
                    </w:rPr>
                    <w:t>项目使用</w:t>
                  </w:r>
                  <w:r>
                    <w:rPr>
                      <w:rFonts w:hint="eastAsia"/>
                      <w:kern w:val="36"/>
                    </w:rPr>
                    <w:t>油墨固体含量为</w:t>
                  </w:r>
                  <w:r>
                    <w:rPr>
                      <w:kern w:val="36"/>
                    </w:rPr>
                    <w:t>70</w:t>
                  </w:r>
                  <w:r>
                    <w:rPr>
                      <w:rFonts w:hint="eastAsia"/>
                      <w:kern w:val="36"/>
                    </w:rPr>
                    <w:t>%左右，属于高固份油墨。</w:t>
                  </w:r>
                </w:p>
              </w:tc>
              <w:tc>
                <w:tcPr>
                  <w:tcW w:w="867" w:type="dxa"/>
                  <w:vAlign w:val="center"/>
                </w:tcPr>
                <w:p>
                  <w:pPr>
                    <w:widowControl/>
                    <w:adjustRightInd w:val="0"/>
                    <w:snapToGrid w:val="0"/>
                    <w:spacing w:line="260" w:lineRule="exact"/>
                    <w:jc w:val="center"/>
                    <w:rPr>
                      <w:rFonts w:ascii="Times New Roman" w:hAnsi="Times New Roman"/>
                      <w:bCs/>
                      <w:color w:val="000000"/>
                      <w:kern w:val="0"/>
                      <w:sz w:val="21"/>
                      <w:szCs w:val="21"/>
                    </w:rPr>
                  </w:pPr>
                  <w:r>
                    <w:rPr>
                      <w:rFonts w:ascii="Times New Roman" w:hAnsi="Times New Roman"/>
                      <w:bCs/>
                      <w:color w:val="000000"/>
                      <w:kern w:val="0"/>
                      <w:sz w:val="21"/>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8" w:hRule="atLeast"/>
                <w:jc w:val="center"/>
              </w:trPr>
              <w:tc>
                <w:tcPr>
                  <w:tcW w:w="5135" w:type="dxa"/>
                  <w:vAlign w:val="center"/>
                </w:tcPr>
                <w:p>
                  <w:pPr>
                    <w:widowControl/>
                    <w:adjustRightInd w:val="0"/>
                    <w:snapToGrid w:val="0"/>
                    <w:spacing w:line="260" w:lineRule="exact"/>
                    <w:rPr>
                      <w:rFonts w:ascii="Times New Roman" w:hAnsi="Times New Roman"/>
                      <w:bCs/>
                      <w:color w:val="000000"/>
                      <w:kern w:val="0"/>
                      <w:sz w:val="21"/>
                      <w:szCs w:val="21"/>
                    </w:rPr>
                  </w:pPr>
                  <w:r>
                    <w:rPr>
                      <w:rFonts w:ascii="Times New Roman" w:hAnsi="Times New Roman"/>
                      <w:bCs/>
                      <w:color w:val="000000"/>
                      <w:kern w:val="0"/>
                      <w:sz w:val="21"/>
                      <w:szCs w:val="21"/>
                    </w:rPr>
                    <w:t>2、有效控制无组织排放。</w:t>
                  </w:r>
                  <w:r>
                    <w:rPr>
                      <w:rFonts w:ascii="Times New Roman" w:hAnsi="Times New Roman"/>
                      <w:color w:val="000000"/>
                      <w:kern w:val="0"/>
                      <w:sz w:val="21"/>
                      <w:szCs w:val="21"/>
                    </w:rPr>
                    <w:t>工业涂装行业</w:t>
                  </w:r>
                  <w:r>
                    <w:rPr>
                      <w:rFonts w:ascii="Times New Roman" w:hAnsi="Times New Roman"/>
                      <w:bCs/>
                      <w:color w:val="000000"/>
                      <w:kern w:val="0"/>
                      <w:sz w:val="21"/>
                      <w:szCs w:val="21"/>
                    </w:rPr>
                    <w:t>涂料、稀释剂、清洗剂等原辅材料应密闭存储，调配、使用、回收等过程应采用密闭设备或在密闭空间内操作，采用密闭管道或密闭容器等输送。除大型工件外，禁止敞开式喷涂、晾（风）干作业。除工艺限制外，原则上实行集中调配。调配、喷涂和干燥等VOCs排放工序应配备有效的废气收集系统。</w:t>
                  </w:r>
                </w:p>
              </w:tc>
              <w:tc>
                <w:tcPr>
                  <w:tcW w:w="4055" w:type="dxa"/>
                  <w:vAlign w:val="center"/>
                </w:tcPr>
                <w:p>
                  <w:pPr>
                    <w:pStyle w:val="22"/>
                    <w:ind w:firstLine="420" w:firstLineChars="200"/>
                    <w:jc w:val="both"/>
                    <w:rPr>
                      <w:color w:val="FF0000"/>
                      <w:kern w:val="0"/>
                      <w:szCs w:val="21"/>
                    </w:rPr>
                  </w:pPr>
                  <w:r>
                    <w:rPr>
                      <w:rFonts w:hint="eastAsia"/>
                      <w:kern w:val="36"/>
                    </w:rPr>
                    <w:t>项目车间工作期间门窗关闭，配套集气装置使车间形成微负压</w:t>
                  </w:r>
                  <w:r>
                    <w:rPr>
                      <w:bCs w:val="0"/>
                      <w:kern w:val="2"/>
                      <w:szCs w:val="21"/>
                    </w:rPr>
                    <w:t>，收集的废气</w:t>
                  </w:r>
                  <w:r>
                    <w:rPr>
                      <w:rFonts w:hint="eastAsia"/>
                      <w:bCs w:val="0"/>
                      <w:kern w:val="2"/>
                      <w:szCs w:val="21"/>
                    </w:rPr>
                    <w:t>经催化燃烧装置</w:t>
                  </w:r>
                  <w:r>
                    <w:rPr>
                      <w:bCs w:val="0"/>
                      <w:kern w:val="2"/>
                      <w:szCs w:val="21"/>
                    </w:rPr>
                    <w:t>处理后经</w:t>
                  </w:r>
                  <w:r>
                    <w:rPr>
                      <w:rFonts w:hint="eastAsia"/>
                      <w:bCs w:val="0"/>
                      <w:kern w:val="2"/>
                      <w:szCs w:val="21"/>
                    </w:rPr>
                    <w:t>15m高排气筒</w:t>
                  </w:r>
                  <w:r>
                    <w:rPr>
                      <w:bCs w:val="0"/>
                      <w:kern w:val="2"/>
                      <w:szCs w:val="21"/>
                    </w:rPr>
                    <w:t>排放</w:t>
                  </w:r>
                  <w:r>
                    <w:rPr>
                      <w:rFonts w:hint="eastAsia"/>
                      <w:bCs w:val="0"/>
                      <w:kern w:val="2"/>
                      <w:szCs w:val="21"/>
                    </w:rPr>
                    <w:t>。</w:t>
                  </w:r>
                </w:p>
              </w:tc>
              <w:tc>
                <w:tcPr>
                  <w:tcW w:w="867" w:type="dxa"/>
                  <w:vAlign w:val="center"/>
                </w:tcPr>
                <w:p>
                  <w:pPr>
                    <w:widowControl/>
                    <w:adjustRightInd w:val="0"/>
                    <w:snapToGrid w:val="0"/>
                    <w:spacing w:line="260" w:lineRule="exact"/>
                    <w:jc w:val="center"/>
                    <w:rPr>
                      <w:rFonts w:ascii="Times New Roman" w:hAnsi="Times New Roman"/>
                      <w:bCs/>
                      <w:color w:val="000000"/>
                      <w:kern w:val="0"/>
                      <w:sz w:val="21"/>
                      <w:szCs w:val="21"/>
                    </w:rPr>
                  </w:pPr>
                  <w:r>
                    <w:rPr>
                      <w:rFonts w:ascii="Times New Roman" w:hAnsi="Times New Roman"/>
                      <w:bCs/>
                      <w:color w:val="000000"/>
                      <w:kern w:val="0"/>
                      <w:sz w:val="21"/>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63" w:hRule="atLeast"/>
                <w:jc w:val="center"/>
              </w:trPr>
              <w:tc>
                <w:tcPr>
                  <w:tcW w:w="5135" w:type="dxa"/>
                  <w:vAlign w:val="center"/>
                </w:tcPr>
                <w:p>
                  <w:pPr>
                    <w:widowControl/>
                    <w:adjustRightInd w:val="0"/>
                    <w:snapToGrid w:val="0"/>
                    <w:spacing w:line="260" w:lineRule="exact"/>
                    <w:rPr>
                      <w:rFonts w:ascii="Times New Roman" w:hAnsi="Times New Roman"/>
                      <w:color w:val="000000"/>
                      <w:kern w:val="0"/>
                      <w:sz w:val="21"/>
                      <w:szCs w:val="21"/>
                    </w:rPr>
                  </w:pPr>
                  <w:r>
                    <w:rPr>
                      <w:rFonts w:ascii="Times New Roman" w:hAnsi="Times New Roman"/>
                      <w:bCs/>
                      <w:color w:val="000000"/>
                      <w:kern w:val="0"/>
                      <w:sz w:val="21"/>
                      <w:szCs w:val="21"/>
                    </w:rPr>
                    <w:t>3、推进建设适宜高效的治污设施。</w:t>
                  </w:r>
                </w:p>
                <w:p>
                  <w:pPr>
                    <w:widowControl/>
                    <w:adjustRightInd w:val="0"/>
                    <w:snapToGrid w:val="0"/>
                    <w:spacing w:line="260" w:lineRule="exact"/>
                    <w:ind w:firstLine="420" w:firstLineChars="200"/>
                    <w:rPr>
                      <w:rFonts w:ascii="Times New Roman" w:hAnsi="Times New Roman"/>
                      <w:bCs/>
                      <w:color w:val="000000"/>
                      <w:kern w:val="0"/>
                      <w:sz w:val="21"/>
                      <w:szCs w:val="21"/>
                    </w:rPr>
                  </w:pPr>
                  <w:r>
                    <w:rPr>
                      <w:rFonts w:ascii="Times New Roman" w:hAnsi="Times New Roman"/>
                      <w:color w:val="000000"/>
                      <w:kern w:val="0"/>
                      <w:sz w:val="21"/>
                      <w:szCs w:val="21"/>
                    </w:rPr>
                    <w:t>工业涂装行业</w:t>
                  </w:r>
                  <w:r>
                    <w:rPr>
                      <w:rFonts w:ascii="Times New Roman" w:hAnsi="Times New Roman"/>
                      <w:bCs/>
                      <w:color w:val="000000"/>
                      <w:kern w:val="0"/>
                      <w:sz w:val="21"/>
                      <w:szCs w:val="21"/>
                    </w:rPr>
                    <w:t>喷涂废气应设置高效漆雾处理装置。喷涂、晾（风）干废气宜采用吸附浓缩+燃烧处理方式。调配、流平等废气可与喷涂、晾（风）干废气一并处理。</w:t>
                  </w:r>
                </w:p>
              </w:tc>
              <w:tc>
                <w:tcPr>
                  <w:tcW w:w="4055" w:type="dxa"/>
                  <w:vAlign w:val="center"/>
                </w:tcPr>
                <w:p>
                  <w:pPr>
                    <w:widowControl/>
                    <w:adjustRightInd w:val="0"/>
                    <w:snapToGrid w:val="0"/>
                    <w:spacing w:line="260" w:lineRule="exact"/>
                    <w:ind w:firstLine="420" w:firstLineChars="200"/>
                    <w:rPr>
                      <w:rFonts w:ascii="Times New Roman" w:hAnsi="Times New Roman"/>
                      <w:bCs/>
                      <w:color w:val="FF0000"/>
                      <w:kern w:val="0"/>
                      <w:sz w:val="21"/>
                      <w:szCs w:val="21"/>
                    </w:rPr>
                  </w:pPr>
                  <w:r>
                    <w:rPr>
                      <w:rFonts w:hint="eastAsia"/>
                      <w:bCs/>
                      <w:kern w:val="2"/>
                      <w:sz w:val="21"/>
                      <w:szCs w:val="18"/>
                    </w:rPr>
                    <w:t>印刷</w:t>
                  </w:r>
                  <w:r>
                    <w:rPr>
                      <w:rFonts w:ascii="Times New Roman" w:hAnsi="Times New Roman"/>
                      <w:bCs/>
                      <w:kern w:val="0"/>
                      <w:sz w:val="21"/>
                      <w:szCs w:val="21"/>
                    </w:rPr>
                    <w:t>工序</w:t>
                  </w:r>
                  <w:r>
                    <w:rPr>
                      <w:rFonts w:hint="eastAsia" w:ascii="Times New Roman" w:hAnsi="Times New Roman"/>
                      <w:bCs/>
                      <w:kern w:val="0"/>
                      <w:sz w:val="21"/>
                      <w:szCs w:val="21"/>
                    </w:rPr>
                    <w:t>在</w:t>
                  </w:r>
                  <w:r>
                    <w:rPr>
                      <w:rFonts w:ascii="Times New Roman" w:hAnsi="Times New Roman"/>
                      <w:bCs/>
                      <w:kern w:val="2"/>
                      <w:sz w:val="21"/>
                      <w:szCs w:val="21"/>
                    </w:rPr>
                    <w:t>微负压</w:t>
                  </w:r>
                  <w:r>
                    <w:rPr>
                      <w:rFonts w:ascii="Times New Roman" w:hAnsi="Times New Roman"/>
                      <w:bCs/>
                      <w:kern w:val="0"/>
                      <w:sz w:val="21"/>
                      <w:szCs w:val="21"/>
                    </w:rPr>
                    <w:t>环境下作业，废气先由集气装置收集，再经</w:t>
                  </w:r>
                  <w:r>
                    <w:rPr>
                      <w:rFonts w:hint="eastAsia" w:ascii="Times New Roman" w:hAnsi="Times New Roman"/>
                      <w:bCs/>
                      <w:kern w:val="2"/>
                      <w:sz w:val="21"/>
                      <w:szCs w:val="21"/>
                    </w:rPr>
                    <w:t>催化燃烧</w:t>
                  </w:r>
                  <w:r>
                    <w:rPr>
                      <w:rFonts w:ascii="Times New Roman" w:hAnsi="Times New Roman"/>
                      <w:bCs/>
                      <w:kern w:val="2"/>
                      <w:sz w:val="21"/>
                      <w:szCs w:val="21"/>
                    </w:rPr>
                    <w:t>装置处理，</w:t>
                  </w:r>
                  <w:r>
                    <w:rPr>
                      <w:rFonts w:ascii="Times New Roman" w:hAnsi="Times New Roman"/>
                      <w:bCs/>
                      <w:kern w:val="0"/>
                      <w:sz w:val="21"/>
                      <w:szCs w:val="21"/>
                    </w:rPr>
                    <w:t>处理后由</w:t>
                  </w:r>
                  <w:r>
                    <w:rPr>
                      <w:rFonts w:hint="eastAsia" w:ascii="Times New Roman" w:hAnsi="Times New Roman"/>
                      <w:bCs/>
                      <w:kern w:val="0"/>
                      <w:sz w:val="21"/>
                      <w:szCs w:val="21"/>
                    </w:rPr>
                    <w:t>15m排气筒</w:t>
                  </w:r>
                  <w:r>
                    <w:rPr>
                      <w:rFonts w:ascii="Times New Roman" w:hAnsi="Times New Roman"/>
                      <w:bCs/>
                      <w:kern w:val="0"/>
                      <w:sz w:val="21"/>
                      <w:szCs w:val="21"/>
                    </w:rPr>
                    <w:t>排放。废气收集效率为90%，处理效率为80%</w:t>
                  </w:r>
                </w:p>
              </w:tc>
              <w:tc>
                <w:tcPr>
                  <w:tcW w:w="867" w:type="dxa"/>
                  <w:vAlign w:val="center"/>
                </w:tcPr>
                <w:p>
                  <w:pPr>
                    <w:widowControl/>
                    <w:adjustRightInd w:val="0"/>
                    <w:snapToGrid w:val="0"/>
                    <w:spacing w:line="260" w:lineRule="exact"/>
                    <w:jc w:val="center"/>
                    <w:rPr>
                      <w:rFonts w:ascii="Times New Roman" w:hAnsi="Times New Roman"/>
                      <w:bCs/>
                      <w:color w:val="000000"/>
                      <w:kern w:val="0"/>
                      <w:sz w:val="21"/>
                      <w:szCs w:val="21"/>
                    </w:rPr>
                  </w:pPr>
                  <w:r>
                    <w:rPr>
                      <w:rFonts w:ascii="Times New Roman" w:hAnsi="Times New Roman"/>
                      <w:bCs/>
                      <w:color w:val="000000"/>
                      <w:kern w:val="0"/>
                      <w:sz w:val="21"/>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5135" w:type="dxa"/>
                  <w:vAlign w:val="center"/>
                </w:tcPr>
                <w:p>
                  <w:pPr>
                    <w:widowControl/>
                    <w:adjustRightInd w:val="0"/>
                    <w:snapToGrid w:val="0"/>
                    <w:spacing w:line="260" w:lineRule="exact"/>
                    <w:rPr>
                      <w:rFonts w:ascii="Times New Roman" w:hAnsi="Times New Roman"/>
                      <w:color w:val="000000"/>
                      <w:kern w:val="0"/>
                      <w:sz w:val="21"/>
                      <w:szCs w:val="21"/>
                    </w:rPr>
                  </w:pPr>
                  <w:r>
                    <w:rPr>
                      <w:rFonts w:ascii="Times New Roman" w:hAnsi="Times New Roman"/>
                      <w:color w:val="000000"/>
                      <w:kern w:val="0"/>
                      <w:sz w:val="21"/>
                      <w:szCs w:val="21"/>
                    </w:rPr>
                    <w:t>4、加强监测监控。</w:t>
                  </w:r>
                </w:p>
                <w:p>
                  <w:pPr>
                    <w:widowControl/>
                    <w:adjustRightInd w:val="0"/>
                    <w:snapToGrid w:val="0"/>
                    <w:spacing w:line="260" w:lineRule="exact"/>
                    <w:ind w:firstLine="420" w:firstLineChars="200"/>
                    <w:rPr>
                      <w:rFonts w:ascii="Times New Roman" w:hAnsi="Times New Roman"/>
                      <w:color w:val="000000"/>
                      <w:kern w:val="0"/>
                      <w:sz w:val="21"/>
                      <w:szCs w:val="21"/>
                    </w:rPr>
                  </w:pPr>
                  <w:r>
                    <w:rPr>
                      <w:rFonts w:ascii="Times New Roman" w:hAnsi="Times New Roman"/>
                      <w:color w:val="000000"/>
                      <w:kern w:val="0"/>
                      <w:sz w:val="21"/>
                      <w:szCs w:val="21"/>
                    </w:rPr>
                    <w:t>石化、化工、包装印刷、工业涂装等VOCs排放重点源，纳入重点排污单位名录，主要排污口安装自动监控设施，并与生态环境部门联网，重点区域2019年年底前基本完成，全国2020年年底前基本完成。鼓励重点区域对无组织排放突出的企业，在主要排放工序安装视频监控设施。鼓励企业配备便携式VOCs监测仪器，及时了解掌握排污状况。</w:t>
                  </w:r>
                </w:p>
              </w:tc>
              <w:tc>
                <w:tcPr>
                  <w:tcW w:w="4055" w:type="dxa"/>
                  <w:vAlign w:val="center"/>
                </w:tcPr>
                <w:p>
                  <w:pPr>
                    <w:pStyle w:val="22"/>
                    <w:ind w:firstLine="420" w:firstLineChars="200"/>
                    <w:jc w:val="both"/>
                    <w:rPr>
                      <w:color w:val="FF0000"/>
                      <w:kern w:val="0"/>
                      <w:szCs w:val="21"/>
                    </w:rPr>
                  </w:pPr>
                  <w:r>
                    <w:rPr>
                      <w:kern w:val="2"/>
                      <w:szCs w:val="22"/>
                    </w:rPr>
                    <w:t>项目采用的活性炭吸附装置采用PLC全自动化控制方式，利用压力差实时监测系统及活性炭饱和自动报警装置可自动记录活性炭更换记录，特设电脑触摸屏实时监控、记录，系统设有自动监视记录读取系统，用电脑、连接线、手机APP都可随时得到设备运行状况</w:t>
                  </w:r>
                </w:p>
              </w:tc>
              <w:tc>
                <w:tcPr>
                  <w:tcW w:w="867" w:type="dxa"/>
                  <w:vAlign w:val="center"/>
                </w:tcPr>
                <w:p>
                  <w:pPr>
                    <w:widowControl/>
                    <w:adjustRightInd w:val="0"/>
                    <w:snapToGrid w:val="0"/>
                    <w:spacing w:line="260" w:lineRule="exact"/>
                    <w:jc w:val="center"/>
                    <w:rPr>
                      <w:rFonts w:ascii="Times New Roman" w:hAnsi="Times New Roman"/>
                      <w:bCs/>
                      <w:color w:val="000000"/>
                      <w:kern w:val="0"/>
                      <w:sz w:val="21"/>
                      <w:szCs w:val="21"/>
                    </w:rPr>
                  </w:pPr>
                  <w:r>
                    <w:rPr>
                      <w:rFonts w:ascii="Times New Roman" w:hAnsi="Times New Roman"/>
                      <w:bCs/>
                      <w:color w:val="000000"/>
                      <w:kern w:val="0"/>
                      <w:sz w:val="21"/>
                      <w:szCs w:val="21"/>
                    </w:rPr>
                    <w:t>符合</w:t>
                  </w:r>
                </w:p>
              </w:tc>
            </w:tr>
          </w:tbl>
          <w:p>
            <w:pPr>
              <w:spacing w:line="336" w:lineRule="auto"/>
              <w:ind w:firstLine="482"/>
              <w:rPr>
                <w:rFonts w:ascii="Times New Roman" w:hAnsi="Times New Roman"/>
              </w:rPr>
            </w:pPr>
            <w:r>
              <w:rPr>
                <w:rFonts w:ascii="Times New Roman" w:hAnsi="Times New Roman"/>
              </w:rPr>
              <w:t>由上表可知，本项目符合</w:t>
            </w:r>
            <w:r>
              <w:rPr>
                <w:rFonts w:ascii="Times New Roman" w:hAnsi="Times New Roman"/>
                <w:bCs/>
                <w:color w:val="000000"/>
                <w:kern w:val="0"/>
                <w:szCs w:val="24"/>
              </w:rPr>
              <w:t>环大气[2019]53号</w:t>
            </w:r>
            <w:r>
              <w:rPr>
                <w:rFonts w:ascii="Times New Roman" w:hAnsi="Times New Roman"/>
              </w:rPr>
              <w:t>相关要求。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124" w:hRule="atLeast"/>
        </w:trPr>
        <w:tc>
          <w:tcPr>
            <w:tcW w:w="10183" w:type="dxa"/>
            <w:gridSpan w:val="15"/>
            <w:tcBorders>
              <w:bottom w:val="single" w:color="auto" w:sz="4" w:space="0"/>
            </w:tcBorders>
          </w:tcPr>
          <w:p>
            <w:pPr>
              <w:tabs>
                <w:tab w:val="left" w:pos="435"/>
              </w:tabs>
              <w:spacing w:beforeLines="50" w:line="360" w:lineRule="auto"/>
              <w:rPr>
                <w:rFonts w:ascii="Times New Roman" w:hAnsi="Times New Roman" w:eastAsia="黑体"/>
                <w:sz w:val="28"/>
              </w:rPr>
            </w:pPr>
            <w:r>
              <w:rPr>
                <w:rFonts w:ascii="Times New Roman" w:hAnsi="Times New Roman" w:eastAsia="黑体"/>
                <w:sz w:val="28"/>
              </w:rPr>
              <w:t>与项目有关的原有污染情况及主要环境问题：</w:t>
            </w:r>
          </w:p>
          <w:p>
            <w:pPr>
              <w:spacing w:line="360" w:lineRule="auto"/>
              <w:ind w:firstLine="480" w:firstLineChars="200"/>
              <w:rPr>
                <w:rFonts w:ascii="Times New Roman" w:hAnsi="Times New Roman"/>
                <w:szCs w:val="24"/>
              </w:rPr>
            </w:pPr>
            <w:r>
              <w:rPr>
                <w:rFonts w:ascii="Times New Roman" w:hAnsi="Times New Roman"/>
                <w:szCs w:val="24"/>
              </w:rPr>
              <w:t>威海步特户外用品有限公司成立于2009年3月，主要经营充气艇及其配件、游艇及其配件、充气式冲浪板、充气帐篷、充气游泳池、充气睡床、充气式产品的设计、生产及销售；房屋租赁；备案范围内的货物及技术进出口；售电服务。2016年5月在桥头镇旺桥路8号建设充气艇及充气式冲浪板生产加工项目，2016年6月20日取得了威海市环境保护局关于《威海步特户外用品有限公司充气艇及充气式冲浪板生产加工项目环境影响报告表》的批复（威环经管表【2016】6-3号），项目建成后落实了各项环评要求，与2018年7月27日通过了验收，取得了威海市环境保护局验收意见（威环经验【2018】6号）。</w:t>
            </w:r>
          </w:p>
          <w:p>
            <w:pPr>
              <w:pStyle w:val="67"/>
              <w:spacing w:line="360" w:lineRule="auto"/>
              <w:ind w:firstLine="480" w:firstLineChars="200"/>
              <w:rPr>
                <w:rFonts w:ascii="Times New Roman" w:cs="Times New Roman"/>
                <w:color w:val="auto"/>
              </w:rPr>
            </w:pPr>
            <w:r>
              <w:rPr>
                <w:rFonts w:ascii="Times New Roman" w:cs="Times New Roman"/>
                <w:color w:val="auto"/>
              </w:rPr>
              <w:t>本项目为</w:t>
            </w:r>
            <w:r>
              <w:rPr>
                <w:rFonts w:hint="eastAsia" w:ascii="Times New Roman" w:cs="Times New Roman"/>
                <w:color w:val="auto"/>
              </w:rPr>
              <w:t>扩建</w:t>
            </w:r>
            <w:r>
              <w:rPr>
                <w:rFonts w:ascii="Times New Roman" w:cs="Times New Roman"/>
                <w:color w:val="auto"/>
              </w:rPr>
              <w:t>项目，</w:t>
            </w:r>
            <w:r>
              <w:rPr>
                <w:rFonts w:ascii="Times New Roman" w:cs="Times New Roman"/>
              </w:rPr>
              <w:t>原有项目与本项目位于</w:t>
            </w:r>
            <w:r>
              <w:rPr>
                <w:rFonts w:hint="eastAsia" w:ascii="Times New Roman" w:cs="Times New Roman"/>
              </w:rPr>
              <w:t>同一</w:t>
            </w:r>
            <w:r>
              <w:rPr>
                <w:rFonts w:ascii="Times New Roman" w:cs="Times New Roman"/>
                <w:color w:val="auto"/>
              </w:rPr>
              <w:t>厂区，原有项目已建设配套的环保设施，且环保设施运营正常，</w:t>
            </w:r>
            <w:r>
              <w:rPr>
                <w:rFonts w:ascii="Times New Roman" w:cs="Times New Roman"/>
                <w:bCs/>
                <w:color w:val="auto"/>
              </w:rPr>
              <w:t>该项目已进行验收检测，已取得建设项目竣工环境保护验收，根据监测结果，项</w:t>
            </w:r>
            <w:r>
              <w:rPr>
                <w:rFonts w:ascii="Times New Roman" w:cs="Times New Roman"/>
                <w:color w:val="auto"/>
              </w:rPr>
              <w:t>目各污染物均能做到达标排放。</w:t>
            </w:r>
          </w:p>
          <w:p>
            <w:pPr>
              <w:adjustRightInd w:val="0"/>
              <w:snapToGrid w:val="0"/>
              <w:spacing w:line="360" w:lineRule="auto"/>
              <w:ind w:firstLine="480" w:firstLineChars="200"/>
              <w:rPr>
                <w:rFonts w:ascii="Times New Roman" w:hAnsi="Times New Roman"/>
                <w:szCs w:val="24"/>
              </w:rPr>
            </w:pPr>
            <w:r>
              <w:rPr>
                <w:rFonts w:ascii="Times New Roman" w:hAnsi="Times New Roman"/>
                <w:szCs w:val="24"/>
              </w:rPr>
              <w:t>一、工程产排污概况</w:t>
            </w:r>
          </w:p>
          <w:p>
            <w:pPr>
              <w:adjustRightInd w:val="0"/>
              <w:snapToGrid w:val="0"/>
              <w:spacing w:line="360" w:lineRule="auto"/>
              <w:ind w:firstLine="480" w:firstLineChars="200"/>
              <w:rPr>
                <w:rFonts w:ascii="Times New Roman" w:hAnsi="Times New Roman"/>
                <w:szCs w:val="24"/>
              </w:rPr>
            </w:pPr>
            <w:r>
              <w:rPr>
                <w:rFonts w:ascii="Times New Roman" w:hAnsi="Times New Roman"/>
                <w:szCs w:val="24"/>
              </w:rPr>
              <w:t>1、废气</w:t>
            </w:r>
          </w:p>
          <w:p>
            <w:pPr>
              <w:adjustRightInd w:val="0"/>
              <w:snapToGrid w:val="0"/>
              <w:spacing w:line="360" w:lineRule="auto"/>
              <w:ind w:firstLine="480" w:firstLineChars="200"/>
              <w:rPr>
                <w:rFonts w:ascii="Times New Roman" w:hAnsi="Times New Roman"/>
                <w:szCs w:val="24"/>
              </w:rPr>
            </w:pPr>
            <w:r>
              <w:rPr>
                <w:rFonts w:ascii="Times New Roman" w:hAnsi="Times New Roman"/>
                <w:szCs w:val="24"/>
              </w:rPr>
              <w:t>项目废气主要是合副、烘烤工序产生的废气及食堂油烟废气。冲浪板及充气艇生产过程中所用原料为PVC网布及环保胶，在合副及烘烤工序会产生废气，废气主要成份为VOCS，由于烘烤温度较低，为26～28℃，废气产生浓度较小，低于4.0mg/m3，本环评中建议项目车间内设集风装置收集废气，废气经过滤棉＋活性炭吸附处理后通过引风机将废气将废气送至15米高排气筒高空排放，项目车间通风状况良好，能够有效稀释车间内有机废气的排放浓度，为职工创造良好的工作环境，使项目废气对周围环境的影响降到最小。其排放浓度能够符合《大气污染物综合排放标准》（GB16297-2012）二级标准的要求。</w:t>
            </w:r>
          </w:p>
          <w:p>
            <w:pPr>
              <w:adjustRightInd w:val="0"/>
              <w:snapToGrid w:val="0"/>
              <w:spacing w:line="360" w:lineRule="auto"/>
              <w:ind w:firstLine="480" w:firstLineChars="200"/>
              <w:rPr>
                <w:rFonts w:ascii="Times New Roman" w:hAnsi="Times New Roman"/>
                <w:szCs w:val="24"/>
              </w:rPr>
            </w:pPr>
            <w:r>
              <w:rPr>
                <w:rFonts w:ascii="Times New Roman" w:hAnsi="Times New Roman"/>
                <w:szCs w:val="24"/>
              </w:rPr>
              <w:t>项目区食堂用气采用清洁能源液化气作燃料，设有一个小型灶头，产生的污染物浓度较低，与油烟废气一起经抽风机抽入油烟净化装置处理达到《饮食业油烟排放标准》（DB37/597-2006）标准后经房顶烟气排放筒直接排放，对周围环境影响较小。</w:t>
            </w:r>
          </w:p>
          <w:p>
            <w:pPr>
              <w:adjustRightInd w:val="0"/>
              <w:snapToGrid w:val="0"/>
              <w:spacing w:line="360" w:lineRule="auto"/>
              <w:ind w:firstLine="480" w:firstLineChars="200"/>
              <w:rPr>
                <w:rFonts w:ascii="Times New Roman" w:hAnsi="Times New Roman"/>
                <w:szCs w:val="24"/>
              </w:rPr>
            </w:pPr>
            <w:r>
              <w:rPr>
                <w:rFonts w:ascii="Times New Roman" w:hAnsi="Times New Roman"/>
                <w:szCs w:val="24"/>
              </w:rPr>
              <w:t>2、废水</w:t>
            </w:r>
          </w:p>
          <w:p>
            <w:pPr>
              <w:adjustRightInd w:val="0"/>
              <w:snapToGrid w:val="0"/>
              <w:spacing w:line="360" w:lineRule="auto"/>
              <w:ind w:firstLine="480" w:firstLineChars="200"/>
              <w:rPr>
                <w:rFonts w:ascii="Times New Roman" w:hAnsi="Times New Roman"/>
                <w:szCs w:val="24"/>
              </w:rPr>
            </w:pPr>
            <w:r>
              <w:rPr>
                <w:rFonts w:ascii="Times New Roman" w:hAnsi="Times New Roman"/>
                <w:szCs w:val="24"/>
              </w:rPr>
              <w:t>项目生产过程中空气压缩机用水循环使用，定期补充损耗水，不外排；生产中使用洗衣粉与水混合对船体进行摸擦检测时，在船体表面会有水印残留，自然风干，无废水产生；绿化用水全部蒸发或下渗，无废水产生。项目企业主动自费申请并网后，食堂废水经隔油池处理后与生活污水汇合经化粪池处理达标后经市政污水管网输送至威海经区崮山污水处理厂做深度处理，其排放浓度能够符合《污水排入城镇下水道水质标准》（CJ343-2010）B等级标准及污水处理厂废水接管要求，在污水管网没有并网前，企业不得进行生产。</w:t>
            </w:r>
          </w:p>
          <w:p>
            <w:pPr>
              <w:adjustRightInd w:val="0"/>
              <w:snapToGrid w:val="0"/>
              <w:spacing w:line="360" w:lineRule="auto"/>
              <w:ind w:firstLine="480" w:firstLineChars="200"/>
              <w:rPr>
                <w:rFonts w:ascii="Times New Roman" w:hAnsi="Times New Roman"/>
                <w:szCs w:val="24"/>
              </w:rPr>
            </w:pPr>
            <w:r>
              <w:rPr>
                <w:rFonts w:ascii="Times New Roman" w:hAnsi="Times New Roman"/>
                <w:szCs w:val="24"/>
              </w:rPr>
              <w:t>3、噪声</w:t>
            </w:r>
          </w:p>
          <w:p>
            <w:pPr>
              <w:adjustRightInd w:val="0"/>
              <w:snapToGrid w:val="0"/>
              <w:spacing w:line="360" w:lineRule="auto"/>
              <w:ind w:firstLine="480" w:firstLineChars="200"/>
              <w:rPr>
                <w:rFonts w:ascii="Times New Roman" w:hAnsi="Times New Roman"/>
                <w:szCs w:val="24"/>
              </w:rPr>
            </w:pPr>
            <w:r>
              <w:rPr>
                <w:rFonts w:ascii="Times New Roman" w:hAnsi="Times New Roman"/>
                <w:szCs w:val="24"/>
              </w:rPr>
              <w:t>项目噪声主要是裁剪机、空压机及切割机等生产设备产生的噪声，噪声级约60~85dB(A)。项目只在白天生产，夜间不生产。设备选型时选用低噪声设备；设备首先采用低噪声设备，设备安装时采用减震垫或柔性接头等措施，设备设置于室内，采取隔声窗、门，墙壁贴吸声材料，工作时尽量关闭门窗，以减轻噪声对外界环境的影响。加强管理，经常保养和维护机械设备避免设备在不良状态下运行；以减轻噪声对厂区及厂外周围环境的影响。</w:t>
            </w:r>
          </w:p>
          <w:p>
            <w:pPr>
              <w:adjustRightInd w:val="0"/>
              <w:snapToGrid w:val="0"/>
              <w:spacing w:line="360" w:lineRule="auto"/>
              <w:ind w:firstLine="480" w:firstLineChars="200"/>
              <w:rPr>
                <w:rFonts w:ascii="Times New Roman" w:hAnsi="Times New Roman"/>
                <w:szCs w:val="24"/>
              </w:rPr>
            </w:pPr>
            <w:r>
              <w:rPr>
                <w:rFonts w:ascii="Times New Roman" w:hAnsi="Times New Roman"/>
                <w:szCs w:val="24"/>
              </w:rPr>
              <w:t>设备噪声采用上述隔声、减震措施后，厂界噪声满足《工业企业厂界环境噪声排放标准》（GB12348-2008）3类标准。</w:t>
            </w:r>
          </w:p>
          <w:p>
            <w:pPr>
              <w:adjustRightInd w:val="0"/>
              <w:snapToGrid w:val="0"/>
              <w:spacing w:line="360" w:lineRule="auto"/>
              <w:ind w:firstLine="480" w:firstLineChars="200"/>
              <w:rPr>
                <w:rFonts w:ascii="Times New Roman" w:hAnsi="Times New Roman"/>
                <w:szCs w:val="24"/>
              </w:rPr>
            </w:pPr>
            <w:r>
              <w:rPr>
                <w:rFonts w:ascii="Times New Roman" w:hAnsi="Times New Roman"/>
                <w:szCs w:val="24"/>
              </w:rPr>
              <w:t>4、固废</w:t>
            </w:r>
          </w:p>
          <w:p>
            <w:pPr>
              <w:adjustRightInd w:val="0"/>
              <w:snapToGrid w:val="0"/>
              <w:spacing w:line="360" w:lineRule="auto"/>
              <w:ind w:firstLine="480" w:firstLineChars="200"/>
              <w:rPr>
                <w:rFonts w:ascii="Times New Roman" w:hAnsi="Times New Roman"/>
                <w:szCs w:val="24"/>
              </w:rPr>
            </w:pPr>
            <w:r>
              <w:rPr>
                <w:rFonts w:ascii="Times New Roman" w:hAnsi="Times New Roman"/>
                <w:szCs w:val="24"/>
              </w:rPr>
              <w:t>本项目产生的固体废物主要有废包装袋、废弃胶桶、下脚料、废铝合金边角料、废活性炭、废过滤棉及生活垃圾。废包装袋、下脚料及废铝合金收集后外售于物质回收公司；废弃胶桶、废过滤棉及废活性炭为危险废物，危险代码为HW09其他废物，收集后送有资质部门处理，不得擅自外排，以免引起二次污染；生活垃圾集中堆放，生活垃圾集中堆放，委托当地环卫部门定期外运至威海市垃圾处理场无害化处理处理。</w:t>
            </w:r>
          </w:p>
          <w:p>
            <w:pPr>
              <w:adjustRightInd w:val="0"/>
              <w:snapToGrid w:val="0"/>
              <w:spacing w:line="360" w:lineRule="auto"/>
              <w:ind w:firstLine="480" w:firstLineChars="200"/>
              <w:rPr>
                <w:rFonts w:ascii="Times New Roman" w:hAnsi="Times New Roman"/>
                <w:szCs w:val="24"/>
              </w:rPr>
            </w:pPr>
            <w:r>
              <w:rPr>
                <w:rFonts w:ascii="Times New Roman" w:hAnsi="Times New Roman"/>
                <w:szCs w:val="24"/>
              </w:rPr>
              <w:t>堆放固体废物的地面要硬化处理并分类堆放，固体废物只在厂内作短时间的堆放，不会对环境产生影响。固体废物处置满足《一般工业固体废物贮存、处置场污染控制标准》（GB18599-2001）及修改单标准以及《危险废物贮存污染控制标准》（GB18597－2001）及修改单标准的要求，对周边环境影响较小。</w:t>
            </w:r>
          </w:p>
          <w:p>
            <w:pPr>
              <w:pStyle w:val="70"/>
              <w:rPr>
                <w:rFonts w:ascii="Times New Roman" w:hAnsi="Times New Roman"/>
                <w:snapToGrid w:val="0"/>
                <w:kern w:val="0"/>
              </w:rPr>
            </w:pPr>
            <w:r>
              <w:rPr>
                <w:rFonts w:ascii="Times New Roman" w:hAnsi="Times New Roman"/>
              </w:rPr>
              <w:t>二、</w:t>
            </w:r>
            <w:r>
              <w:rPr>
                <w:rFonts w:ascii="Times New Roman" w:hAnsi="Times New Roman"/>
                <w:snapToGrid w:val="0"/>
                <w:kern w:val="0"/>
              </w:rPr>
              <w:t>存在的环保问题</w:t>
            </w:r>
          </w:p>
          <w:p>
            <w:pPr>
              <w:pStyle w:val="8"/>
              <w:spacing w:line="360" w:lineRule="auto"/>
              <w:ind w:firstLine="480"/>
              <w:rPr>
                <w:rFonts w:ascii="Times New Roman" w:hAnsi="Times New Roman" w:cs="Times New Roman"/>
              </w:rPr>
            </w:pPr>
            <w:r>
              <w:rPr>
                <w:rFonts w:ascii="Times New Roman" w:hAnsi="Times New Roman" w:cs="Times New Roman"/>
                <w:bCs/>
              </w:rPr>
              <w:t>经现场踏勘，</w:t>
            </w:r>
            <w:r>
              <w:rPr>
                <w:rFonts w:ascii="Times New Roman" w:hAnsi="Times New Roman" w:cs="Times New Roman"/>
              </w:rPr>
              <w:t>现有项目已建设配套的环保设施，且环保设施运营正常，</w:t>
            </w:r>
            <w:r>
              <w:rPr>
                <w:rFonts w:ascii="Times New Roman" w:hAnsi="Times New Roman" w:cs="Times New Roman"/>
                <w:bCs/>
              </w:rPr>
              <w:t>该项目已进行验收检测，已取得建设项目竣工环境保护验收，根据监测结果，项</w:t>
            </w:r>
            <w:r>
              <w:rPr>
                <w:rFonts w:ascii="Times New Roman" w:hAnsi="Times New Roman" w:cs="Times New Roman"/>
              </w:rPr>
              <w:t>目各污染物均能做到达标排放，无环保问题。</w:t>
            </w:r>
          </w:p>
          <w:p>
            <w:pPr>
              <w:pStyle w:val="70"/>
              <w:rPr>
                <w:rFonts w:ascii="Times New Roman" w:hAnsi="Times New Roman"/>
                <w:snapToGrid w:val="0"/>
                <w:kern w:val="0"/>
              </w:rPr>
            </w:pPr>
            <w:r>
              <w:rPr>
                <w:rFonts w:hint="eastAsia" w:ascii="Times New Roman" w:hAnsi="Times New Roman"/>
                <w:snapToGrid w:val="0"/>
                <w:kern w:val="0"/>
              </w:rPr>
              <w:t>三</w:t>
            </w:r>
            <w:r>
              <w:rPr>
                <w:rFonts w:ascii="Times New Roman" w:hAnsi="Times New Roman"/>
                <w:snapToGrid w:val="0"/>
                <w:kern w:val="0"/>
              </w:rPr>
              <w:t>、总量控制指标排污减少措施及减少情况</w:t>
            </w:r>
          </w:p>
          <w:p>
            <w:pPr>
              <w:pStyle w:val="70"/>
            </w:pPr>
            <w:r>
              <w:rPr>
                <w:rFonts w:ascii="Times New Roman" w:hAnsi="Times New Roman"/>
                <w:snapToGrid w:val="0"/>
                <w:kern w:val="0"/>
              </w:rPr>
              <w:t>威海步特户外用品有限公司原厂区分为2号生产车间和4号生产车间，每个生产车间都有涂胶工序，生产车间用胶量为4吨/年，产生VOC量1.2吨/年，每个生产车间配备2套活性炭吸附+UV光解设备，经处理后排放VOC0.722t/a，企业将4号车间2套老设备拆除，更换2套催化燃烧设备，一台印刷车间使用，一台2楼涂胶生产线使用，更换后处理效果更好，VOC排放量削减了0.586t/a</w:t>
            </w:r>
            <w:r>
              <w:rPr>
                <w:rFonts w:ascii="Times New Roman" w:hAnsi="Times New Roman"/>
              </w:rPr>
              <w:t>。</w:t>
            </w:r>
          </w:p>
        </w:tc>
      </w:tr>
    </w:tbl>
    <w:p>
      <w:pPr>
        <w:rPr>
          <w:rFonts w:ascii="Times New Roman" w:hAnsi="Times New Roman" w:eastAsia="黑体"/>
          <w:sz w:val="28"/>
        </w:rPr>
        <w:sectPr>
          <w:footerReference r:id="rId5" w:type="default"/>
          <w:pgSz w:w="11906" w:h="16838"/>
          <w:pgMar w:top="1440" w:right="964" w:bottom="1440" w:left="964" w:header="851" w:footer="992" w:gutter="397"/>
          <w:pgNumType w:start="1"/>
          <w:cols w:space="720" w:num="1"/>
          <w:docGrid w:linePitch="312" w:charSpace="0"/>
        </w:sectPr>
      </w:pPr>
    </w:p>
    <w:p>
      <w:pPr>
        <w:pStyle w:val="3"/>
        <w:spacing w:before="0" w:after="0" w:line="360" w:lineRule="auto"/>
        <w:rPr>
          <w:rFonts w:ascii="Times New Roman" w:hAnsi="Times New Roman" w:eastAsia="黑体"/>
          <w:b w:val="0"/>
          <w:sz w:val="28"/>
          <w:szCs w:val="28"/>
        </w:rPr>
      </w:pPr>
      <w:r>
        <w:rPr>
          <w:rFonts w:ascii="Times New Roman" w:hAnsi="Times New Roman" w:eastAsia="黑体"/>
          <w:b w:val="0"/>
          <w:sz w:val="28"/>
          <w:szCs w:val="28"/>
        </w:rPr>
        <w:t>建设项目所在地自然环境社会环境简况</w:t>
      </w:r>
    </w:p>
    <w:tbl>
      <w:tblPr>
        <w:tblStyle w:val="30"/>
        <w:tblW w:w="9934" w:type="dxa"/>
        <w:tblInd w:w="-43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99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46" w:hRule="atLeast"/>
        </w:trPr>
        <w:tc>
          <w:tcPr>
            <w:tcW w:w="9934" w:type="dxa"/>
          </w:tcPr>
          <w:p>
            <w:pPr>
              <w:spacing w:beforeLines="50" w:line="360" w:lineRule="auto"/>
              <w:rPr>
                <w:rFonts w:ascii="Times New Roman" w:hAnsi="Times New Roman" w:eastAsia="黑体"/>
                <w:sz w:val="28"/>
              </w:rPr>
            </w:pPr>
            <w:r>
              <w:rPr>
                <w:rFonts w:ascii="Times New Roman" w:hAnsi="Times New Roman" w:eastAsia="黑体"/>
                <w:sz w:val="28"/>
              </w:rPr>
              <w:t>自然环境简况（地形、地貌、地质、气候、气象、水文、植被、生物多样性等）</w:t>
            </w:r>
          </w:p>
          <w:p>
            <w:pPr>
              <w:widowControl/>
              <w:spacing w:line="360" w:lineRule="auto"/>
              <w:ind w:firstLine="480" w:firstLineChars="200"/>
              <w:rPr>
                <w:rFonts w:ascii="Times New Roman" w:hAnsi="Times New Roman" w:eastAsia="黑体"/>
                <w:kern w:val="0"/>
                <w:szCs w:val="24"/>
              </w:rPr>
            </w:pPr>
            <w:r>
              <w:rPr>
                <w:rFonts w:hint="eastAsia" w:ascii="Times New Roman" w:hAnsi="Times New Roman" w:eastAsia="黑体"/>
                <w:kern w:val="0"/>
                <w:szCs w:val="24"/>
              </w:rPr>
              <w:t>1、地理位置</w:t>
            </w:r>
          </w:p>
          <w:p>
            <w:pPr>
              <w:widowControl/>
              <w:spacing w:line="360" w:lineRule="auto"/>
              <w:ind w:firstLine="480" w:firstLineChars="200"/>
              <w:rPr>
                <w:rFonts w:ascii="Times New Roman" w:hAnsi="Times New Roman"/>
                <w:kern w:val="0"/>
                <w:szCs w:val="24"/>
              </w:rPr>
            </w:pPr>
            <w:r>
              <w:rPr>
                <w:rFonts w:ascii="Times New Roman" w:hAnsi="Times New Roman"/>
                <w:kern w:val="0"/>
                <w:szCs w:val="24"/>
              </w:rPr>
              <w:t>威海市位于山东半岛东端，地</w:t>
            </w:r>
            <w:r>
              <w:rPr>
                <w:rFonts w:hint="eastAsia" w:ascii="Times New Roman" w:hAnsi="Times New Roman"/>
                <w:kern w:val="0"/>
                <w:szCs w:val="24"/>
              </w:rPr>
              <w:t>跨</w:t>
            </w:r>
            <w:r>
              <w:rPr>
                <w:rFonts w:ascii="Times New Roman" w:hAnsi="Times New Roman"/>
                <w:kern w:val="0"/>
                <w:szCs w:val="24"/>
              </w:rPr>
              <w:t>北纬36°41′～37°35′、东经121°11′～122°42′。北</w:t>
            </w:r>
            <w:r>
              <w:rPr>
                <w:rFonts w:hint="eastAsia" w:ascii="Times New Roman" w:hAnsi="Times New Roman"/>
                <w:kern w:val="0"/>
                <w:szCs w:val="24"/>
              </w:rPr>
              <w:t>、</w:t>
            </w:r>
            <w:r>
              <w:rPr>
                <w:rFonts w:ascii="Times New Roman" w:hAnsi="Times New Roman"/>
                <w:kern w:val="0"/>
                <w:szCs w:val="24"/>
              </w:rPr>
              <w:t>东</w:t>
            </w:r>
            <w:r>
              <w:rPr>
                <w:rFonts w:hint="eastAsia" w:ascii="Times New Roman" w:hAnsi="Times New Roman"/>
                <w:kern w:val="0"/>
                <w:szCs w:val="24"/>
              </w:rPr>
              <w:t>、</w:t>
            </w:r>
            <w:r>
              <w:rPr>
                <w:rFonts w:ascii="Times New Roman" w:hAnsi="Times New Roman"/>
                <w:kern w:val="0"/>
                <w:szCs w:val="24"/>
              </w:rPr>
              <w:t>南三面濒临黄海，北与辽东半岛相对，东及东南与朝鲜半岛隔海相望，西与烟台市接壤。东西最大横距135</w:t>
            </w:r>
            <w:r>
              <w:rPr>
                <w:rFonts w:hint="eastAsia" w:ascii="Times New Roman" w:hAnsi="Times New Roman"/>
                <w:kern w:val="0"/>
                <w:szCs w:val="24"/>
              </w:rPr>
              <w:t>km</w:t>
            </w:r>
            <w:r>
              <w:rPr>
                <w:rFonts w:ascii="Times New Roman" w:hAnsi="Times New Roman"/>
                <w:kern w:val="0"/>
                <w:szCs w:val="24"/>
              </w:rPr>
              <w:t>，南北最大纵距81</w:t>
            </w:r>
            <w:r>
              <w:rPr>
                <w:rFonts w:hint="eastAsia" w:ascii="Times New Roman" w:hAnsi="Times New Roman"/>
                <w:kern w:val="0"/>
                <w:szCs w:val="24"/>
              </w:rPr>
              <w:t>k</w:t>
            </w:r>
            <w:r>
              <w:rPr>
                <w:rFonts w:ascii="Times New Roman" w:hAnsi="Times New Roman"/>
                <w:kern w:val="0"/>
                <w:szCs w:val="24"/>
              </w:rPr>
              <w:t>m，总面积5797km</w:t>
            </w:r>
            <w:r>
              <w:rPr>
                <w:rFonts w:ascii="Times New Roman" w:hAnsi="Times New Roman"/>
                <w:kern w:val="0"/>
                <w:szCs w:val="24"/>
                <w:vertAlign w:val="superscript"/>
              </w:rPr>
              <w:t>2</w:t>
            </w:r>
            <w:r>
              <w:rPr>
                <w:rFonts w:ascii="Times New Roman" w:hAnsi="Times New Roman"/>
                <w:kern w:val="0"/>
                <w:szCs w:val="24"/>
              </w:rPr>
              <w:t>，其中市区面积7777km</w:t>
            </w:r>
            <w:r>
              <w:rPr>
                <w:rFonts w:ascii="Times New Roman" w:hAnsi="Times New Roman"/>
                <w:kern w:val="0"/>
                <w:szCs w:val="24"/>
                <w:vertAlign w:val="superscript"/>
              </w:rPr>
              <w:t>2</w:t>
            </w:r>
            <w:r>
              <w:rPr>
                <w:rFonts w:hint="eastAsia" w:ascii="Times New Roman" w:hAnsi="Times New Roman"/>
                <w:kern w:val="0"/>
                <w:szCs w:val="24"/>
              </w:rPr>
              <w:t>，</w:t>
            </w:r>
            <w:r>
              <w:rPr>
                <w:rFonts w:ascii="Times New Roman" w:hAnsi="Times New Roman"/>
                <w:kern w:val="0"/>
                <w:szCs w:val="24"/>
              </w:rPr>
              <w:t>海岸线长985.9</w:t>
            </w:r>
            <w:r>
              <w:rPr>
                <w:rFonts w:hint="eastAsia" w:ascii="Times New Roman" w:hAnsi="Times New Roman"/>
                <w:kern w:val="0"/>
                <w:szCs w:val="24"/>
              </w:rPr>
              <w:t>k</w:t>
            </w:r>
            <w:r>
              <w:rPr>
                <w:rFonts w:ascii="Times New Roman" w:hAnsi="Times New Roman"/>
                <w:kern w:val="0"/>
                <w:szCs w:val="24"/>
              </w:rPr>
              <w:t>m。</w:t>
            </w:r>
          </w:p>
          <w:p>
            <w:pPr>
              <w:widowControl/>
              <w:spacing w:line="360" w:lineRule="auto"/>
              <w:ind w:firstLine="480" w:firstLineChars="200"/>
              <w:rPr>
                <w:rFonts w:ascii="Times New Roman" w:hAnsi="Times New Roman" w:eastAsia="黑体"/>
                <w:kern w:val="0"/>
                <w:szCs w:val="24"/>
              </w:rPr>
            </w:pPr>
            <w:r>
              <w:rPr>
                <w:rFonts w:hint="eastAsia" w:ascii="Times New Roman" w:hAnsi="Times New Roman" w:eastAsia="黑体"/>
                <w:kern w:val="0"/>
                <w:szCs w:val="24"/>
              </w:rPr>
              <w:t>2、地形、地貌、地质</w:t>
            </w:r>
          </w:p>
          <w:p>
            <w:pPr>
              <w:spacing w:line="360" w:lineRule="auto"/>
              <w:ind w:firstLine="480" w:firstLineChars="200"/>
              <w:rPr>
                <w:rFonts w:ascii="Times New Roman" w:hAnsi="Times New Roman"/>
                <w:kern w:val="2"/>
                <w:szCs w:val="24"/>
              </w:rPr>
            </w:pPr>
            <w:r>
              <w:rPr>
                <w:rFonts w:ascii="Times New Roman" w:hAnsi="Times New Roman"/>
                <w:kern w:val="2"/>
                <w:szCs w:val="24"/>
              </w:rPr>
              <w:t>威海地处山东半岛地区东北部，属胶东古陆的组成部分，基底岩石为下元古代胶东群变质岩石，后期有中生代燕山期岩浆岩侵入，自上元古代到新生代晚第三纪地壳一直处于隆起上升状态，长期遭受风化剥蚀，没有接受沉积，缺失古、中生代地层，直至新生代第四纪中更新世开始有残坡积、冲洪积、海积等堆积层，它们分布与厚度明显受古地理条件的控制。</w:t>
            </w:r>
          </w:p>
          <w:p>
            <w:pPr>
              <w:spacing w:line="360" w:lineRule="auto"/>
              <w:ind w:firstLine="480" w:firstLineChars="200"/>
              <w:rPr>
                <w:rFonts w:ascii="Times New Roman" w:hAnsi="Times New Roman"/>
                <w:kern w:val="2"/>
                <w:szCs w:val="24"/>
              </w:rPr>
            </w:pPr>
            <w:r>
              <w:rPr>
                <w:rFonts w:ascii="Times New Roman" w:hAnsi="Times New Roman"/>
                <w:kern w:val="2"/>
                <w:szCs w:val="24"/>
              </w:rPr>
              <w:t>区内第四纪地层主要为中上更新世的残坡积层、冲积洪积层和全新世的海相沉积层。残坡积层、冲积洪积层二者连续过度，分布于山区河流、丘陵山区盆地山坡及山麓地带，厚度一般1～10m。海相沉积层主要分布于滨海平原地带，厚度不一，一般在20m左右，由砂土、淤泥质土等组成。</w:t>
            </w:r>
          </w:p>
          <w:p>
            <w:pPr>
              <w:spacing w:line="360" w:lineRule="auto"/>
              <w:ind w:firstLine="480" w:firstLineChars="200"/>
              <w:rPr>
                <w:rFonts w:ascii="Times New Roman" w:hAnsi="Times New Roman"/>
                <w:kern w:val="2"/>
                <w:szCs w:val="24"/>
              </w:rPr>
            </w:pPr>
            <w:r>
              <w:rPr>
                <w:rFonts w:ascii="Times New Roman" w:hAnsi="Times New Roman"/>
                <w:kern w:val="2"/>
                <w:szCs w:val="24"/>
              </w:rPr>
              <w:t>乳山—威海复背斜为胶东地区古老的构造形式，对胶东地区东部的构造具有骨架定型作用。威海北部为一单斜构造层，岩层走向一般在310°～330°，倾向40°～60°，倾角50°～65°，局部产状稍有变化。</w:t>
            </w:r>
          </w:p>
          <w:p>
            <w:pPr>
              <w:widowControl/>
              <w:spacing w:line="360" w:lineRule="auto"/>
              <w:ind w:firstLine="480" w:firstLineChars="200"/>
              <w:rPr>
                <w:rFonts w:ascii="Times New Roman" w:hAnsi="Times New Roman" w:eastAsia="黑体"/>
                <w:kern w:val="0"/>
                <w:szCs w:val="24"/>
              </w:rPr>
            </w:pPr>
            <w:r>
              <w:rPr>
                <w:rFonts w:hint="eastAsia" w:ascii="Times New Roman" w:hAnsi="Times New Roman" w:eastAsia="黑体"/>
                <w:kern w:val="0"/>
                <w:szCs w:val="24"/>
              </w:rPr>
              <w:t>3、气候、气象</w:t>
            </w:r>
          </w:p>
          <w:p>
            <w:pPr>
              <w:tabs>
                <w:tab w:val="left" w:pos="4678"/>
              </w:tabs>
              <w:spacing w:line="360" w:lineRule="auto"/>
              <w:ind w:firstLine="480" w:firstLineChars="200"/>
              <w:rPr>
                <w:rFonts w:ascii="Times New Roman" w:hAnsi="Times New Roman"/>
                <w:kern w:val="2"/>
                <w:szCs w:val="24"/>
              </w:rPr>
            </w:pPr>
            <w:r>
              <w:rPr>
                <w:rFonts w:ascii="Times New Roman" w:hAnsi="Times New Roman"/>
                <w:bCs/>
                <w:kern w:val="2"/>
                <w:szCs w:val="24"/>
              </w:rPr>
              <w:t>威海地区属北温带季风型大陆性气候，四季变化和季风进退明显，雨水丰富，</w:t>
            </w:r>
            <w:r>
              <w:rPr>
                <w:rFonts w:ascii="Times New Roman" w:hAnsi="Times New Roman"/>
                <w:kern w:val="2"/>
                <w:szCs w:val="24"/>
              </w:rPr>
              <w:t>气温适中，气候温和。由于毗临黄海，受海洋的调节作用，与西部内陆相比较，表现出春冷、夏凉、秋暖、冬温、大风多、湿度大、无霜期长、昼夜温差小等气候特点。</w:t>
            </w:r>
          </w:p>
          <w:p>
            <w:pPr>
              <w:spacing w:line="360" w:lineRule="auto"/>
              <w:ind w:firstLine="482"/>
              <w:rPr>
                <w:rFonts w:ascii="Times New Roman" w:hAnsi="Times New Roman"/>
                <w:kern w:val="2"/>
                <w:szCs w:val="24"/>
              </w:rPr>
            </w:pPr>
            <w:r>
              <w:rPr>
                <w:rFonts w:ascii="Times New Roman" w:hAnsi="Times New Roman"/>
                <w:bCs/>
                <w:kern w:val="2"/>
                <w:szCs w:val="24"/>
              </w:rPr>
              <w:t>评价区近20年年平均气温为12.2</w:t>
            </w:r>
            <w:r>
              <w:rPr>
                <w:rFonts w:ascii="Times New Roman" w:hAnsi="Times New Roman"/>
                <w:kern w:val="2"/>
                <w:szCs w:val="24"/>
              </w:rPr>
              <w:t>℃，8月气温最高（平均24.90℃），1月气温最低（平均-2.02℃）；年降水量常年平均为803.8mm，主要集中在6、7、8、9四个月，7月降水量最大（平均203.81mm），2月降水量最小（平均13.01mm）；</w:t>
            </w:r>
            <w:r>
              <w:rPr>
                <w:rFonts w:ascii="Times New Roman" w:hAnsi="Times New Roman"/>
                <w:bCs/>
                <w:kern w:val="0"/>
                <w:szCs w:val="24"/>
              </w:rPr>
              <w:t>全区年主导风向以北到西北风为主，</w:t>
            </w:r>
            <w:r>
              <w:rPr>
                <w:rFonts w:ascii="Times New Roman" w:hAnsi="Times New Roman"/>
                <w:kern w:val="2"/>
                <w:szCs w:val="24"/>
              </w:rPr>
              <w:t>常年平均风速为3.5m/s，4月平均风速最大（4.31m/s），9月风速最小（2.79m/s）。</w:t>
            </w:r>
          </w:p>
          <w:p>
            <w:pPr>
              <w:widowControl/>
              <w:spacing w:line="360" w:lineRule="auto"/>
              <w:ind w:firstLine="480" w:firstLineChars="200"/>
              <w:rPr>
                <w:rFonts w:ascii="Times New Roman" w:hAnsi="Times New Roman" w:eastAsia="黑体"/>
                <w:kern w:val="0"/>
                <w:szCs w:val="24"/>
              </w:rPr>
            </w:pPr>
            <w:r>
              <w:rPr>
                <w:rFonts w:hint="eastAsia" w:ascii="Times New Roman" w:hAnsi="Times New Roman" w:eastAsia="黑体"/>
                <w:kern w:val="0"/>
                <w:szCs w:val="24"/>
              </w:rPr>
              <w:t>4、水文</w:t>
            </w:r>
          </w:p>
          <w:p>
            <w:pPr>
              <w:widowControl/>
              <w:spacing w:line="360" w:lineRule="auto"/>
              <w:ind w:firstLine="480" w:firstLineChars="200"/>
              <w:rPr>
                <w:rFonts w:ascii="Times New Roman" w:hAnsi="Times New Roman"/>
                <w:kern w:val="0"/>
                <w:szCs w:val="24"/>
              </w:rPr>
            </w:pPr>
            <w:r>
              <w:rPr>
                <w:rFonts w:hint="eastAsia" w:ascii="Times New Roman" w:hAnsi="Times New Roman"/>
                <w:kern w:val="0"/>
                <w:szCs w:val="24"/>
              </w:rPr>
              <w:t>（1）地表水</w:t>
            </w:r>
          </w:p>
          <w:p>
            <w:pPr>
              <w:widowControl/>
              <w:spacing w:line="360" w:lineRule="auto"/>
              <w:ind w:firstLine="480" w:firstLineChars="200"/>
              <w:rPr>
                <w:rFonts w:ascii="Times New Roman" w:hAnsi="Times New Roman"/>
                <w:kern w:val="0"/>
                <w:szCs w:val="24"/>
              </w:rPr>
            </w:pPr>
            <w:r>
              <w:rPr>
                <w:rFonts w:ascii="Times New Roman" w:hAnsi="Times New Roman"/>
                <w:kern w:val="0"/>
                <w:szCs w:val="24"/>
              </w:rPr>
              <w:t>威海市境内河流均属季节性河流，径流量受季节影响差异较大，枯水季节由于自然降水不足，多断流，环境容量较小，河流的自净与稀释能力较差。</w:t>
            </w:r>
          </w:p>
          <w:p>
            <w:pPr>
              <w:widowControl/>
              <w:spacing w:line="360" w:lineRule="auto"/>
              <w:ind w:firstLine="480" w:firstLineChars="200"/>
              <w:rPr>
                <w:rFonts w:ascii="Times New Roman"/>
                <w:kern w:val="0"/>
                <w:szCs w:val="24"/>
              </w:rPr>
            </w:pPr>
            <w:r>
              <w:rPr>
                <w:rFonts w:hint="eastAsia" w:ascii="Times New Roman"/>
                <w:kern w:val="0"/>
                <w:szCs w:val="24"/>
              </w:rPr>
              <w:t>（2）地下水</w:t>
            </w:r>
          </w:p>
          <w:p>
            <w:pPr>
              <w:widowControl/>
              <w:spacing w:line="360" w:lineRule="auto"/>
              <w:ind w:firstLine="480" w:firstLineChars="200"/>
              <w:rPr>
                <w:rFonts w:ascii="Times New Roman" w:hAnsi="Times New Roman"/>
                <w:kern w:val="0"/>
                <w:szCs w:val="24"/>
              </w:rPr>
            </w:pPr>
            <w:r>
              <w:rPr>
                <w:rFonts w:ascii="Times New Roman" w:hAnsi="Times New Roman"/>
                <w:kern w:val="0"/>
                <w:szCs w:val="24"/>
              </w:rPr>
              <w:t>项目区地下水类型主要是第四系孔隙潜水和微承压水，主要含水层为第四系海相的粉细砂、中砂，陆相坡洪积的粗砂、粉细砂等；埋深一般为1-10 m，分布均匀，连续呈层状，水量较丰富；地下水来源主要靠降水补给，此外还受地形、地貌、岩性、地质构造和人类活动的影响，地下水位呈动态变化状态，流向由东南向西北。</w:t>
            </w:r>
          </w:p>
          <w:p>
            <w:pPr>
              <w:numPr>
                <w:ilvl w:val="0"/>
                <w:numId w:val="2"/>
              </w:numPr>
              <w:spacing w:line="500" w:lineRule="exact"/>
              <w:textAlignment w:val="baseline"/>
              <w:rPr>
                <w:rFonts w:ascii="黑体" w:hAnsi="黑体" w:eastAsia="黑体" w:cs="黑体"/>
                <w:bCs/>
                <w:szCs w:val="24"/>
              </w:rPr>
            </w:pPr>
            <w:r>
              <w:rPr>
                <w:rFonts w:ascii="黑体" w:hAnsi="黑体" w:eastAsia="黑体" w:cs="黑体"/>
                <w:bCs/>
                <w:szCs w:val="24"/>
              </w:rPr>
              <w:t>植被</w:t>
            </w:r>
          </w:p>
          <w:p>
            <w:pPr>
              <w:spacing w:line="500" w:lineRule="exact"/>
              <w:ind w:firstLine="480" w:firstLineChars="200"/>
              <w:textAlignment w:val="baseline"/>
              <w:rPr>
                <w:rFonts w:ascii="黑体" w:hAnsi="黑体" w:eastAsia="黑体" w:cs="黑体"/>
                <w:bCs/>
                <w:szCs w:val="24"/>
              </w:rPr>
            </w:pPr>
            <w:r>
              <w:rPr>
                <w:rFonts w:hint="eastAsia" w:ascii="Times New Roman" w:hAnsi="Times New Roman"/>
                <w:kern w:val="2"/>
              </w:rPr>
              <w:t>境内山地、丘陵、平原相间，植被种类较多。大体可分3种类型：</w:t>
            </w:r>
          </w:p>
          <w:p>
            <w:pPr>
              <w:spacing w:line="500" w:lineRule="exact"/>
              <w:ind w:firstLine="480" w:firstLineChars="200"/>
              <w:textAlignment w:val="baseline"/>
              <w:rPr>
                <w:rFonts w:ascii="黑体" w:hAnsi="黑体" w:eastAsia="黑体" w:cs="黑体"/>
                <w:bCs/>
                <w:szCs w:val="24"/>
              </w:rPr>
            </w:pPr>
            <w:r>
              <w:rPr>
                <w:rFonts w:hint="eastAsia" w:ascii="Times New Roman" w:hAnsi="Times New Roman"/>
                <w:kern w:val="2"/>
              </w:rPr>
              <w:t>林木植被：山地丘陵上部主要为松类、栎类(素称柞类)，中部以刺槐、臭椿、楸、紫穗槐、卫茅、映山红、酸枣等为主，下部以苹果、山楂、梨、桃、杏、李、板栗、核桃、柿子、葡萄等为多。平原谷地以杨类、柳类、泡桐、法桐、国槐、紫穗槐、桑等为多。滨海沙滩地带，以黑松、刺槐、紫穗槐为最常见。</w:t>
            </w:r>
          </w:p>
          <w:p>
            <w:pPr>
              <w:spacing w:line="500" w:lineRule="exact"/>
              <w:ind w:firstLine="480" w:firstLineChars="200"/>
              <w:textAlignment w:val="baseline"/>
              <w:rPr>
                <w:rFonts w:ascii="黑体" w:hAnsi="黑体" w:eastAsia="黑体" w:cs="黑体"/>
                <w:bCs/>
                <w:szCs w:val="24"/>
              </w:rPr>
            </w:pPr>
            <w:r>
              <w:rPr>
                <w:rFonts w:hint="eastAsia" w:ascii="Times New Roman" w:hAnsi="Times New Roman"/>
                <w:kern w:val="2"/>
              </w:rPr>
              <w:t>草类植被：分布广泛，且皆属天然植被。按地形、区域等状况区分，山丘地区主要以黄背草、狗尾草、羊胡草、鬼针叶草、白草、艾、蒿草等为多，平原地区则多生长着马唐(素称黍草蔓)、节节草、三菱草、马齿苋、灰菜、苍耳等，滨海沙滩以芦苇、黑蒿、茅草见多，在一些河、湾、水库边沿及涝洼地带，芦苇、水葱、臭蒲、香蒲为多见。</w:t>
            </w:r>
          </w:p>
          <w:p>
            <w:pPr>
              <w:spacing w:line="500" w:lineRule="exact"/>
              <w:ind w:firstLine="480" w:firstLineChars="200"/>
              <w:textAlignment w:val="baseline"/>
              <w:rPr>
                <w:rFonts w:ascii="Times New Roman" w:hAnsi="Times New Roman"/>
                <w:kern w:val="2"/>
              </w:rPr>
            </w:pPr>
            <w:r>
              <w:rPr>
                <w:rFonts w:hint="eastAsia" w:ascii="Times New Roman" w:hAnsi="Times New Roman"/>
                <w:kern w:val="2"/>
              </w:rPr>
              <w:t>农作物植被：主要分布在平原、沟谷和山丘缓坡地带。主要种植作物为小麦、玉米、地瓜、花生、大豆及蔬菜类。</w:t>
            </w:r>
          </w:p>
          <w:p>
            <w:pPr>
              <w:spacing w:line="500" w:lineRule="exact"/>
              <w:ind w:left="420"/>
              <w:textAlignment w:val="baseline"/>
              <w:rPr>
                <w:rFonts w:ascii="黑体" w:hAnsi="黑体" w:eastAsia="黑体" w:cs="黑体"/>
                <w:bCs/>
                <w:sz w:val="16"/>
                <w:szCs w:val="24"/>
              </w:rPr>
            </w:pPr>
            <w:r>
              <w:rPr>
                <w:rFonts w:hint="eastAsia"/>
                <w:kern w:val="2"/>
                <w:szCs w:val="16"/>
              </w:rPr>
              <w:t>6</w:t>
            </w:r>
            <w:r>
              <w:rPr>
                <w:rFonts w:hint="eastAsia" w:ascii="Times New Roman" w:hAnsi="Times New Roman"/>
                <w:kern w:val="2"/>
              </w:rPr>
              <w:t>、</w:t>
            </w:r>
            <w:r>
              <w:rPr>
                <w:rFonts w:hint="eastAsia" w:ascii="黑体" w:hAnsi="黑体" w:eastAsia="黑体" w:cs="黑体"/>
                <w:bCs/>
                <w:szCs w:val="24"/>
              </w:rPr>
              <w:t>动物资源</w:t>
            </w:r>
          </w:p>
          <w:p>
            <w:pPr>
              <w:pStyle w:val="23"/>
              <w:spacing w:after="0" w:line="500" w:lineRule="exact"/>
              <w:ind w:left="0" w:leftChars="0" w:firstLine="480" w:firstLineChars="200"/>
              <w:textAlignment w:val="baseline"/>
              <w:rPr>
                <w:rFonts w:ascii="Times New Roman" w:hAnsi="Times New Roman"/>
                <w:kern w:val="2"/>
                <w:sz w:val="24"/>
                <w:szCs w:val="20"/>
              </w:rPr>
            </w:pPr>
            <w:r>
              <w:rPr>
                <w:rFonts w:hint="eastAsia" w:ascii="Times New Roman" w:hAnsi="Times New Roman"/>
                <w:kern w:val="2"/>
                <w:sz w:val="24"/>
                <w:szCs w:val="20"/>
              </w:rPr>
              <w:t>项目区域</w:t>
            </w:r>
            <w:r>
              <w:rPr>
                <w:rFonts w:ascii="Times New Roman" w:hAnsi="Times New Roman"/>
                <w:kern w:val="2"/>
                <w:sz w:val="24"/>
                <w:szCs w:val="20"/>
              </w:rPr>
              <w:t>野生动物资源中，兽类品种为数不多，鸟类品种资源比较丰富。兽类主要品种有</w:t>
            </w:r>
            <w:r>
              <w:rPr>
                <w:rFonts w:hint="eastAsia" w:ascii="Times New Roman" w:hAnsi="Times New Roman"/>
                <w:kern w:val="2"/>
                <w:sz w:val="24"/>
                <w:szCs w:val="20"/>
              </w:rPr>
              <w:t>野兔、</w:t>
            </w:r>
            <w:r>
              <w:rPr>
                <w:rFonts w:ascii="Times New Roman" w:hAnsi="Times New Roman"/>
                <w:kern w:val="2"/>
                <w:sz w:val="24"/>
                <w:szCs w:val="20"/>
              </w:rPr>
              <w:t>刺猬、蝙蝠、</w:t>
            </w:r>
            <w:r>
              <w:rPr>
                <w:rFonts w:hint="eastAsia" w:ascii="Times New Roman" w:hAnsi="Times New Roman"/>
                <w:kern w:val="2"/>
                <w:sz w:val="24"/>
                <w:szCs w:val="20"/>
              </w:rPr>
              <w:t>田</w:t>
            </w:r>
            <w:r>
              <w:rPr>
                <w:rFonts w:ascii="Times New Roman" w:hAnsi="Times New Roman"/>
                <w:kern w:val="2"/>
                <w:sz w:val="24"/>
                <w:szCs w:val="20"/>
              </w:rPr>
              <w:t>鼠、大家鼠、小家鼠、草兔、黄鼠狼、獾等。两栖</w:t>
            </w:r>
            <w:r>
              <w:rPr>
                <w:rFonts w:hint="eastAsia" w:ascii="Times New Roman" w:hAnsi="Times New Roman"/>
                <w:kern w:val="2"/>
                <w:sz w:val="24"/>
                <w:szCs w:val="20"/>
              </w:rPr>
              <w:t>爬行</w:t>
            </w:r>
            <w:r>
              <w:rPr>
                <w:rFonts w:ascii="Times New Roman" w:hAnsi="Times New Roman"/>
                <w:kern w:val="2"/>
                <w:sz w:val="24"/>
                <w:szCs w:val="20"/>
              </w:rPr>
              <w:t>类主要品种有大蟾蜍、</w:t>
            </w:r>
            <w:r>
              <w:rPr>
                <w:rFonts w:hint="eastAsia" w:ascii="Times New Roman" w:hAnsi="Times New Roman"/>
                <w:kern w:val="2"/>
                <w:sz w:val="24"/>
                <w:szCs w:val="20"/>
              </w:rPr>
              <w:t>青蛙、蜥蜴</w:t>
            </w:r>
            <w:r>
              <w:rPr>
                <w:rFonts w:ascii="Times New Roman" w:hAnsi="Times New Roman"/>
                <w:kern w:val="2"/>
                <w:sz w:val="24"/>
                <w:szCs w:val="20"/>
              </w:rPr>
              <w:t>；爬行类主要品种有麻蝎、壁虎、红点锦蛇、虎斑游蛇、黄脊游蛇、乌龟、鳖、山地麻蝎、草蜥、蝮蛇等。鸟类候鸟和留鸟种类较少。常见的鸟类有麻雀、黄鹂、斑鸠、八哥、百灵、燕子、乌鸦、布谷鸟、啄木鸟、猫头鹰、野鸡、布鸽、雁鹫等。</w:t>
            </w:r>
          </w:p>
          <w:p>
            <w:pPr>
              <w:pStyle w:val="23"/>
              <w:spacing w:after="0" w:line="500" w:lineRule="exact"/>
              <w:ind w:left="0" w:leftChars="0" w:firstLine="480" w:firstLineChars="200"/>
              <w:textAlignment w:val="baseline"/>
              <w:rPr>
                <w:rFonts w:ascii="Times New Roman" w:hAnsi="Times New Roman"/>
                <w:kern w:val="2"/>
                <w:sz w:val="24"/>
                <w:szCs w:val="20"/>
              </w:rPr>
            </w:pPr>
          </w:p>
          <w:p>
            <w:pPr>
              <w:pStyle w:val="23"/>
              <w:spacing w:after="0" w:line="500" w:lineRule="exact"/>
              <w:ind w:left="0" w:leftChars="0" w:firstLine="320" w:firstLineChars="200"/>
              <w:textAlignment w:val="baseline"/>
              <w:rPr>
                <w:rFonts w:ascii="Times New Roman" w:hAnsi="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13" w:hRule="atLeast"/>
        </w:trPr>
        <w:tc>
          <w:tcPr>
            <w:tcW w:w="9934" w:type="dxa"/>
          </w:tcPr>
          <w:p>
            <w:pPr>
              <w:spacing w:beforeLines="50" w:line="360" w:lineRule="auto"/>
              <w:ind w:right="74"/>
              <w:rPr>
                <w:rFonts w:ascii="Times New Roman" w:hAnsi="Times New Roman" w:eastAsia="黑体"/>
                <w:sz w:val="28"/>
              </w:rPr>
            </w:pPr>
            <w:r>
              <w:rPr>
                <w:rFonts w:ascii="Times New Roman" w:hAnsi="Times New Roman" w:eastAsia="黑体"/>
                <w:sz w:val="28"/>
              </w:rPr>
              <w:t>社会环境简况（社会经济结构、教育、文化、文物保护等）</w:t>
            </w:r>
          </w:p>
          <w:p>
            <w:pPr>
              <w:pStyle w:val="25"/>
              <w:spacing w:before="0" w:beforeAutospacing="0" w:after="0" w:afterAutospacing="0" w:line="360" w:lineRule="auto"/>
              <w:ind w:firstLine="480" w:firstLineChars="200"/>
              <w:rPr>
                <w:rFonts w:hint="default" w:ascii="Times New Roman" w:hAnsi="Times New Roman"/>
              </w:rPr>
            </w:pPr>
            <w:r>
              <w:rPr>
                <w:rFonts w:hint="default" w:ascii="Times New Roman" w:hAnsi="Times New Roman"/>
              </w:rPr>
              <w:t>威海市位于山东半岛东端，地处北纬36°41'~37°35'，东经121°11'~122°42'。北东南三面濒临黄海，北与辽东半岛相对，东及东南与朝鲜半岛和日本列岛隔海相望，西与烟台市接壤。总面积 5436 km</w:t>
            </w:r>
            <w:r>
              <w:rPr>
                <w:rFonts w:hint="default" w:ascii="Times New Roman" w:hAnsi="Times New Roman"/>
                <w:vertAlign w:val="superscript"/>
              </w:rPr>
              <w:t>2</w:t>
            </w:r>
            <w:r>
              <w:rPr>
                <w:rFonts w:hint="default" w:ascii="Times New Roman" w:hAnsi="Times New Roman"/>
              </w:rPr>
              <w:t>，其中市区面积731 km</w:t>
            </w:r>
            <w:r>
              <w:rPr>
                <w:rFonts w:hint="default" w:ascii="Times New Roman" w:hAnsi="Times New Roman"/>
                <w:vertAlign w:val="superscript"/>
              </w:rPr>
              <w:t>2</w:t>
            </w:r>
            <w:r>
              <w:rPr>
                <w:rFonts w:hint="default" w:ascii="Times New Roman" w:hAnsi="Times New Roman"/>
              </w:rPr>
              <w:t>。</w:t>
            </w:r>
          </w:p>
          <w:p>
            <w:pPr>
              <w:spacing w:line="360" w:lineRule="auto"/>
              <w:ind w:firstLine="480" w:firstLineChars="200"/>
              <w:rPr>
                <w:rFonts w:ascii="Times New Roman" w:hAnsi="Times New Roman"/>
                <w:kern w:val="2"/>
                <w:szCs w:val="24"/>
              </w:rPr>
            </w:pPr>
            <w:r>
              <w:rPr>
                <w:rFonts w:ascii="Times New Roman" w:hAnsi="Times New Roman"/>
                <w:kern w:val="2"/>
                <w:szCs w:val="24"/>
              </w:rPr>
              <w:t>201</w:t>
            </w:r>
            <w:r>
              <w:rPr>
                <w:rFonts w:ascii="Times New Roman" w:hAnsi="Times New Roman"/>
                <w:szCs w:val="24"/>
              </w:rPr>
              <w:t>8</w:t>
            </w:r>
            <w:r>
              <w:rPr>
                <w:rFonts w:ascii="Times New Roman" w:hAnsi="Times New Roman"/>
                <w:kern w:val="2"/>
                <w:szCs w:val="24"/>
              </w:rPr>
              <w:t>年全市地区生产总值3641.48亿元，按可比价格计算，比上年增长6.7%，其中，第一产业增加值281.21亿元，增长2.6%；第二产业增加值1601.20亿元，增长5.6%；第三产业增加值1759.07亿元，增长8.3%。三次产业结构为7.7:44.0:48.3。全年实现农林牧渔及服务业增加值292.13亿元，增长2.8%。其中，农业增加值55.18亿元，增长3.8%；林业增加值0.85亿元，增长3.1%；畜牧业增加值27.14亿元，下降1.1%；渔业增加值198.05亿元，增长2.8%；农林牧渔服务业增加值10.92亿元，增长9.8%。全年规模以上工业增加值增长6.0%，其中，股份制企业增加值增长5.8%，外商及港澳台商投资企业增加值增长2.4%；轻工业增加值增长7.6%，重工业增加值增长1.3%，轻工业生产快于重工业6.3个百分点。在37个行业大类中，有19个行业实现增长，其中，专用设备制造业增长45.1%，农副食品加工业增长7.6%。大中型工业企业增加值增长6.5%。</w:t>
            </w:r>
          </w:p>
          <w:p>
            <w:pPr>
              <w:pStyle w:val="32"/>
              <w:ind w:firstLine="480"/>
            </w:pPr>
            <w:r>
              <w:t>环翠区辖3个镇、5个街道办事处，88个村民委员会、110个居民委员会， 总面积275平方公里，海岸线长88公里。</w:t>
            </w:r>
            <w:r>
              <w:rPr>
                <w:kern w:val="2"/>
              </w:rPr>
              <w:t>2018年，全区实现地区生产总值395.90亿元，按可比价格计算，比上年增长6.8%。其中，第一产业增加值30.10亿元，增长0.1%；第二产业增加值148.97亿元，增长5.4%；第三产业增加值216.84亿元，增长8.5%。三次产业结构由上年的7.8:38.2:54.0调整为7.6:37.6:54.8。2018年，全区实现农林牧渔业增加值32.17亿元，按可比价格计算，同比增长0.6%。其中，农业增加值0.67亿元，增长4.4%；林业增加值0.07亿元，增长3.7%；畜牧业增加值0.22亿元，下降0.7%；渔业增加值29.15亿元，增长0.1%；农林牧渔服务业增加值2.07亿元，增长8.4%；全年粮食总产量7190吨，减少13.4%。其中，夏粮产量1596吨，增长62.4%；秋粮产量5594吨，减少23.5%。花生总产量1836吨，减少2.1%。蔬菜总产量20166吨，减少4.1%。果品总产量15650吨，增长4.4%，其中，苹果11518吨，增长3%。规模以上工业企业（全部国有和年主营业务收入2000万元及以上的非国有工业企业）116家，实现增加值同比增长7.25%。主要产品产量稳步提高，在重点监测的15种产品中，较上年同期增产的有8种，其中增幅前三名的产品分别是无纺布54.56%、金属紧固件30.2%、工业仪表13.6%。实现高新技术产业产值同比增长12.37%，占规模以上工业总产值比重达到65.09％。全年固定资产投资增长5.7%，民间投资占总投资的比重达83.5%。其中，第二产业投资下降13%，第三产业投资增长27.4%。全年房地产开发投资增长46.5%，其中，住宅投资增长81.8%。全年房屋施工面积611.4万平方米，下降21.6%；竣工面积53.9万平方米，增长56.0%；商品房销售面积214.5万平方米，增长5%；商品房销售额174.6亿元，增长22.4%。全年实现建筑业增加值54亿元，按可比价格计算，同比增长1.7%</w:t>
            </w:r>
            <w:r>
              <w:t>。</w:t>
            </w:r>
          </w:p>
          <w:p>
            <w:pPr>
              <w:spacing w:line="360" w:lineRule="auto"/>
              <w:ind w:firstLine="480" w:firstLineChars="200"/>
              <w:rPr>
                <w:rFonts w:ascii="Times New Roman" w:hAnsi="Times New Roman"/>
                <w:color w:val="000000"/>
                <w:szCs w:val="24"/>
              </w:rPr>
            </w:pPr>
            <w:r>
              <w:rPr>
                <w:rFonts w:ascii="Times New Roman" w:hAnsi="Times New Roman"/>
                <w:color w:val="000000"/>
                <w:szCs w:val="24"/>
              </w:rPr>
              <w:t>张村镇位于环翠区西部，北邻高区，东接竹岛，南连羊亭，西临双岛湾，面积51.8平方公里，辖6个行政村、15个社区居委会，总人口近10万人。</w:t>
            </w:r>
            <w:r>
              <w:rPr>
                <w:rFonts w:hint="eastAsia" w:ascii="Times New Roman" w:hAnsi="Times New Roman"/>
                <w:color w:val="000000"/>
                <w:szCs w:val="24"/>
              </w:rPr>
              <w:t>张村镇</w:t>
            </w:r>
            <w:r>
              <w:rPr>
                <w:rFonts w:ascii="Times New Roman" w:hAnsi="Times New Roman"/>
                <w:color w:val="000000"/>
                <w:szCs w:val="24"/>
              </w:rPr>
              <w:t>2018年上半年，主要指标完成情况如下：固定资产投资：25.9亿元</w:t>
            </w:r>
            <w:r>
              <w:rPr>
                <w:rFonts w:hint="eastAsia" w:ascii="Times New Roman" w:hAnsi="Times New Roman"/>
                <w:color w:val="000000"/>
                <w:szCs w:val="24"/>
              </w:rPr>
              <w:t>，</w:t>
            </w:r>
            <w:r>
              <w:rPr>
                <w:rFonts w:ascii="Times New Roman" w:hAnsi="Times New Roman"/>
                <w:color w:val="000000"/>
                <w:szCs w:val="24"/>
              </w:rPr>
              <w:t>已完成规模以上工业增加值7.5亿元，高新技术增加值1.2亿元</w:t>
            </w:r>
            <w:r>
              <w:rPr>
                <w:rFonts w:hint="eastAsia" w:ascii="Times New Roman" w:hAnsi="Times New Roman"/>
                <w:color w:val="000000"/>
                <w:szCs w:val="24"/>
              </w:rPr>
              <w:t>，</w:t>
            </w:r>
            <w:r>
              <w:rPr>
                <w:rFonts w:ascii="Times New Roman" w:hAnsi="Times New Roman"/>
                <w:color w:val="000000"/>
                <w:szCs w:val="24"/>
              </w:rPr>
              <w:t>第三产业批零住餐任务：限上法人批发销售额25201</w:t>
            </w:r>
            <w:r>
              <w:rPr>
                <w:rFonts w:hint="eastAsia" w:ascii="Times New Roman" w:hAnsi="Times New Roman"/>
                <w:color w:val="000000"/>
                <w:szCs w:val="24"/>
              </w:rPr>
              <w:t>万元、大个体零售销售额</w:t>
            </w:r>
            <w:r>
              <w:rPr>
                <w:rFonts w:ascii="Times New Roman" w:hAnsi="Times New Roman"/>
                <w:color w:val="000000"/>
                <w:szCs w:val="24"/>
              </w:rPr>
              <w:t>3203万元。</w:t>
            </w:r>
          </w:p>
          <w:p>
            <w:pPr>
              <w:spacing w:line="360" w:lineRule="auto"/>
              <w:ind w:right="34" w:firstLine="480" w:firstLineChars="200"/>
              <w:rPr>
                <w:rFonts w:ascii="Times New Roman" w:hAnsi="Times New Roman"/>
                <w:color w:val="000000"/>
                <w:kern w:val="2"/>
                <w:szCs w:val="24"/>
              </w:rPr>
            </w:pPr>
            <w:r>
              <w:rPr>
                <w:rFonts w:hint="eastAsia" w:ascii="Times New Roman" w:hAnsi="Times New Roman"/>
                <w:color w:val="000000"/>
                <w:kern w:val="2"/>
                <w:szCs w:val="24"/>
              </w:rPr>
              <w:t>项目所在区域内无国家、省、市级重点文物保护单位、名胜古迹及自然保护区。</w:t>
            </w:r>
          </w:p>
          <w:p>
            <w:pPr>
              <w:spacing w:line="360" w:lineRule="auto"/>
              <w:ind w:firstLine="480" w:firstLineChars="200"/>
              <w:rPr>
                <w:rFonts w:ascii="Times New Roman" w:hAnsi="Times New Roman"/>
                <w:szCs w:val="24"/>
              </w:rPr>
            </w:pPr>
          </w:p>
          <w:p>
            <w:pPr>
              <w:spacing w:line="360" w:lineRule="auto"/>
              <w:ind w:firstLine="480" w:firstLineChars="200"/>
              <w:rPr>
                <w:rFonts w:ascii="Times New Roman" w:hAnsi="Times New Roman"/>
                <w:szCs w:val="24"/>
              </w:rPr>
            </w:pPr>
          </w:p>
          <w:p>
            <w:pPr>
              <w:spacing w:line="360" w:lineRule="auto"/>
              <w:ind w:firstLine="480" w:firstLineChars="200"/>
              <w:rPr>
                <w:rFonts w:ascii="Times New Roman" w:hAnsi="Times New Roman"/>
                <w:szCs w:val="24"/>
              </w:rPr>
            </w:pPr>
          </w:p>
          <w:p>
            <w:pPr>
              <w:spacing w:line="360" w:lineRule="auto"/>
              <w:ind w:firstLine="480" w:firstLineChars="200"/>
              <w:rPr>
                <w:rFonts w:ascii="Times New Roman" w:hAnsi="Times New Roman"/>
                <w:szCs w:val="24"/>
              </w:rPr>
            </w:pPr>
          </w:p>
          <w:p>
            <w:pPr>
              <w:spacing w:line="360" w:lineRule="auto"/>
              <w:ind w:firstLine="480" w:firstLineChars="200"/>
              <w:rPr>
                <w:rFonts w:ascii="Times New Roman" w:hAnsi="Times New Roman"/>
                <w:szCs w:val="24"/>
              </w:rPr>
            </w:pPr>
          </w:p>
          <w:p>
            <w:pPr>
              <w:spacing w:line="360" w:lineRule="auto"/>
              <w:ind w:firstLine="480" w:firstLineChars="200"/>
              <w:rPr>
                <w:rFonts w:ascii="Times New Roman" w:hAnsi="Times New Roman"/>
                <w:szCs w:val="24"/>
              </w:rPr>
            </w:pPr>
          </w:p>
          <w:p>
            <w:pPr>
              <w:spacing w:line="360" w:lineRule="auto"/>
              <w:ind w:firstLine="480" w:firstLineChars="200"/>
              <w:rPr>
                <w:rFonts w:ascii="Times New Roman" w:hAnsi="Times New Roman"/>
                <w:szCs w:val="24"/>
              </w:rPr>
            </w:pPr>
          </w:p>
          <w:p>
            <w:pPr>
              <w:spacing w:line="360" w:lineRule="auto"/>
              <w:ind w:firstLine="480" w:firstLineChars="200"/>
              <w:rPr>
                <w:rFonts w:ascii="Times New Roman" w:hAnsi="Times New Roman"/>
                <w:szCs w:val="24"/>
              </w:rPr>
            </w:pPr>
          </w:p>
          <w:p>
            <w:pPr>
              <w:spacing w:line="360" w:lineRule="auto"/>
              <w:ind w:firstLine="480" w:firstLineChars="200"/>
              <w:rPr>
                <w:rFonts w:ascii="Times New Roman" w:hAnsi="Times New Roman"/>
                <w:szCs w:val="24"/>
              </w:rPr>
            </w:pPr>
          </w:p>
          <w:p>
            <w:pPr>
              <w:spacing w:line="360" w:lineRule="auto"/>
              <w:ind w:firstLine="480" w:firstLineChars="200"/>
              <w:rPr>
                <w:rFonts w:ascii="Times New Roman" w:hAnsi="Times New Roman"/>
                <w:szCs w:val="24"/>
              </w:rPr>
            </w:pPr>
          </w:p>
          <w:p>
            <w:pPr>
              <w:spacing w:line="360" w:lineRule="auto"/>
              <w:ind w:firstLine="480" w:firstLineChars="200"/>
              <w:rPr>
                <w:rFonts w:ascii="Times New Roman" w:hAnsi="Times New Roman"/>
                <w:szCs w:val="24"/>
              </w:rPr>
            </w:pPr>
          </w:p>
          <w:p>
            <w:pPr>
              <w:spacing w:line="360" w:lineRule="auto"/>
              <w:ind w:firstLine="480" w:firstLineChars="200"/>
              <w:rPr>
                <w:rFonts w:ascii="Times New Roman" w:hAnsi="Times New Roman"/>
                <w:szCs w:val="24"/>
              </w:rPr>
            </w:pPr>
          </w:p>
          <w:p>
            <w:pPr>
              <w:spacing w:line="360" w:lineRule="auto"/>
              <w:ind w:firstLine="480" w:firstLineChars="200"/>
              <w:rPr>
                <w:rFonts w:ascii="Times New Roman" w:hAnsi="Times New Roman"/>
                <w:szCs w:val="24"/>
              </w:rPr>
            </w:pPr>
          </w:p>
          <w:p>
            <w:pPr>
              <w:spacing w:line="360" w:lineRule="auto"/>
              <w:ind w:firstLine="480" w:firstLineChars="200"/>
              <w:rPr>
                <w:rFonts w:ascii="Times New Roman" w:hAnsi="Times New Roman"/>
                <w:szCs w:val="24"/>
              </w:rPr>
            </w:pPr>
          </w:p>
          <w:p>
            <w:pPr>
              <w:spacing w:line="360" w:lineRule="auto"/>
              <w:ind w:firstLine="480" w:firstLineChars="200"/>
              <w:rPr>
                <w:rFonts w:ascii="Times New Roman" w:hAnsi="Times New Roman"/>
                <w:szCs w:val="24"/>
              </w:rPr>
            </w:pPr>
          </w:p>
          <w:p>
            <w:pPr>
              <w:spacing w:line="360" w:lineRule="auto"/>
              <w:ind w:firstLine="480" w:firstLineChars="200"/>
              <w:rPr>
                <w:rFonts w:ascii="Times New Roman" w:hAnsi="Times New Roman"/>
                <w:szCs w:val="24"/>
              </w:rPr>
            </w:pPr>
          </w:p>
          <w:p>
            <w:pPr>
              <w:spacing w:line="360" w:lineRule="auto"/>
              <w:ind w:firstLine="480" w:firstLineChars="200"/>
              <w:rPr>
                <w:rFonts w:ascii="Times New Roman" w:hAnsi="Times New Roman"/>
                <w:szCs w:val="24"/>
              </w:rPr>
            </w:pPr>
          </w:p>
          <w:p>
            <w:pPr>
              <w:spacing w:line="360" w:lineRule="auto"/>
              <w:ind w:firstLine="480" w:firstLineChars="200"/>
              <w:rPr>
                <w:rFonts w:ascii="Times New Roman" w:hAnsi="Times New Roman"/>
                <w:szCs w:val="24"/>
              </w:rPr>
            </w:pPr>
          </w:p>
          <w:p>
            <w:pPr>
              <w:spacing w:line="360" w:lineRule="auto"/>
              <w:rPr>
                <w:rFonts w:ascii="Times New Roman" w:hAnsi="Times New Roman"/>
              </w:rPr>
            </w:pPr>
          </w:p>
        </w:tc>
      </w:tr>
    </w:tbl>
    <w:p>
      <w:pPr>
        <w:spacing w:line="500" w:lineRule="exact"/>
        <w:jc w:val="center"/>
        <w:rPr>
          <w:rFonts w:ascii="Times New Roman" w:hAnsi="Times New Roman"/>
          <w:spacing w:val="20"/>
        </w:rPr>
        <w:sectPr>
          <w:pgSz w:w="11906" w:h="16838"/>
          <w:pgMar w:top="1440" w:right="964" w:bottom="1440" w:left="964" w:header="851" w:footer="992" w:gutter="397"/>
          <w:cols w:space="720" w:num="1"/>
          <w:docGrid w:linePitch="312" w:charSpace="0"/>
        </w:sectPr>
      </w:pPr>
    </w:p>
    <w:p>
      <w:pPr>
        <w:pStyle w:val="3"/>
        <w:spacing w:before="0" w:after="0" w:line="240" w:lineRule="auto"/>
        <w:rPr>
          <w:rFonts w:ascii="Times New Roman" w:hAnsi="Times New Roman" w:eastAsia="黑体"/>
          <w:b w:val="0"/>
          <w:sz w:val="28"/>
          <w:szCs w:val="28"/>
        </w:rPr>
      </w:pPr>
      <w:r>
        <w:rPr>
          <w:rFonts w:ascii="Times New Roman" w:hAnsi="Times New Roman" w:eastAsia="黑体"/>
          <w:b w:val="0"/>
          <w:sz w:val="28"/>
          <w:szCs w:val="28"/>
        </w:rPr>
        <w:t>环境质量状况</w:t>
      </w:r>
    </w:p>
    <w:tbl>
      <w:tblPr>
        <w:tblStyle w:val="30"/>
        <w:tblpPr w:leftFromText="182" w:rightFromText="182" w:vertAnchor="text" w:horzAnchor="margin" w:tblpXSpec="center" w:tblpY="192"/>
        <w:tblOverlap w:val="never"/>
        <w:tblW w:w="998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 w:hRule="atLeast"/>
        </w:trPr>
        <w:tc>
          <w:tcPr>
            <w:tcW w:w="9985" w:type="dxa"/>
            <w:tcBorders>
              <w:top w:val="single" w:color="auto" w:sz="4" w:space="0"/>
              <w:bottom w:val="single" w:color="auto" w:sz="4" w:space="0"/>
            </w:tcBorders>
          </w:tcPr>
          <w:p>
            <w:pPr>
              <w:spacing w:line="360" w:lineRule="auto"/>
              <w:jc w:val="left"/>
              <w:rPr>
                <w:rFonts w:ascii="Times New Roman" w:hAnsi="Times New Roman"/>
                <w:sz w:val="28"/>
              </w:rPr>
            </w:pPr>
            <w:r>
              <w:rPr>
                <w:rFonts w:ascii="Times New Roman" w:hAnsi="Times New Roman"/>
                <w:sz w:val="28"/>
              </w:rPr>
              <w:t>建设项目所在地区域环境质量现状及主要环境问题（环境空气、地面水、地下水、声环境、生态环境等）</w:t>
            </w:r>
          </w:p>
          <w:p>
            <w:pPr>
              <w:spacing w:line="360" w:lineRule="auto"/>
              <w:ind w:firstLine="480" w:firstLineChars="200"/>
              <w:rPr>
                <w:rFonts w:ascii="Times New Roman" w:hAnsi="Times New Roman" w:eastAsia="黑体"/>
              </w:rPr>
            </w:pPr>
            <w:r>
              <w:rPr>
                <w:rFonts w:hint="eastAsia" w:ascii="Times New Roman" w:hAnsi="Times New Roman" w:eastAsia="黑体"/>
              </w:rPr>
              <w:t>一</w:t>
            </w:r>
            <w:r>
              <w:rPr>
                <w:rFonts w:ascii="Times New Roman" w:hAnsi="Times New Roman" w:eastAsia="黑体"/>
              </w:rPr>
              <w:t>、环境空气</w:t>
            </w:r>
          </w:p>
          <w:p>
            <w:pPr>
              <w:pStyle w:val="32"/>
              <w:ind w:firstLine="480"/>
            </w:pPr>
            <w:r>
              <w:t>根据威海市生态环境局发布的《威海市2019年环境质量公报》，威海市2019年环境空气年度统计监测结果见表</w:t>
            </w:r>
            <w:r>
              <w:rPr>
                <w:rFonts w:hint="eastAsia"/>
              </w:rPr>
              <w:t>1</w:t>
            </w:r>
            <w:r>
              <w:t>0。</w:t>
            </w:r>
          </w:p>
          <w:p>
            <w:pPr>
              <w:pStyle w:val="26"/>
            </w:pPr>
            <w:r>
              <w:t>表10威海市2019年环境空气年度统计监测结果（单位：mg/m</w:t>
            </w:r>
            <w:r>
              <w:rPr>
                <w:vertAlign w:val="superscript"/>
              </w:rPr>
              <w:t>3</w:t>
            </w:r>
            <w:r>
              <w:t>）</w:t>
            </w:r>
          </w:p>
          <w:tbl>
            <w:tblPr>
              <w:tblStyle w:val="30"/>
              <w:tblW w:w="9759"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905"/>
              <w:gridCol w:w="800"/>
              <w:gridCol w:w="800"/>
              <w:gridCol w:w="801"/>
              <w:gridCol w:w="800"/>
              <w:gridCol w:w="1708"/>
              <w:gridCol w:w="2945"/>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170" w:hRule="atLeast"/>
                <w:jc w:val="center"/>
              </w:trPr>
              <w:tc>
                <w:tcPr>
                  <w:tcW w:w="1905" w:type="dxa"/>
                  <w:vMerge w:val="restart"/>
                  <w:tcBorders>
                    <w:top w:val="single" w:color="auto" w:sz="4" w:space="0"/>
                    <w:left w:val="single" w:color="auto" w:sz="4" w:space="0"/>
                    <w:bottom w:val="single" w:color="auto" w:sz="4" w:space="0"/>
                    <w:right w:val="single" w:color="auto" w:sz="4" w:space="0"/>
                    <w:tl2br w:val="single" w:color="auto" w:sz="8" w:space="0"/>
                  </w:tcBorders>
                  <w:vAlign w:val="center"/>
                </w:tcPr>
                <w:p>
                  <w:pPr>
                    <w:spacing w:before="50"/>
                    <w:jc w:val="right"/>
                    <w:rPr>
                      <w:rFonts w:ascii="Times New Roman" w:hAnsi="Times New Roman"/>
                      <w:kern w:val="2"/>
                      <w:sz w:val="21"/>
                      <w:szCs w:val="21"/>
                    </w:rPr>
                  </w:pPr>
                  <w:r>
                    <w:rPr>
                      <w:rFonts w:ascii="Times New Roman" w:hAnsi="Times New Roman"/>
                      <w:kern w:val="2"/>
                      <w:sz w:val="21"/>
                      <w:szCs w:val="21"/>
                    </w:rPr>
                    <w:t xml:space="preserve">                  项目</w:t>
                  </w:r>
                </w:p>
                <w:p>
                  <w:pPr>
                    <w:rPr>
                      <w:rFonts w:ascii="Times New Roman" w:hAnsi="Times New Roman"/>
                      <w:kern w:val="2"/>
                      <w:sz w:val="21"/>
                      <w:szCs w:val="21"/>
                    </w:rPr>
                  </w:pPr>
                  <w:r>
                    <w:rPr>
                      <w:rFonts w:ascii="Times New Roman" w:hAnsi="Times New Roman"/>
                      <w:kern w:val="2"/>
                      <w:sz w:val="21"/>
                      <w:szCs w:val="21"/>
                    </w:rPr>
                    <w:t>点位</w:t>
                  </w:r>
                </w:p>
              </w:tc>
              <w:tc>
                <w:tcPr>
                  <w:tcW w:w="800" w:type="dxa"/>
                  <w:tcBorders>
                    <w:top w:val="single" w:color="auto" w:sz="4" w:space="0"/>
                    <w:left w:val="single" w:color="auto" w:sz="4" w:space="0"/>
                    <w:bottom w:val="single" w:color="auto" w:sz="4" w:space="0"/>
                    <w:right w:val="single" w:color="auto" w:sz="4" w:space="0"/>
                  </w:tcBorders>
                  <w:vAlign w:val="center"/>
                </w:tcPr>
                <w:p>
                  <w:pPr>
                    <w:tabs>
                      <w:tab w:val="left" w:pos="4678"/>
                    </w:tabs>
                    <w:jc w:val="center"/>
                    <w:rPr>
                      <w:rFonts w:ascii="Times New Roman" w:hAnsi="Times New Roman"/>
                      <w:kern w:val="2"/>
                      <w:sz w:val="21"/>
                      <w:szCs w:val="21"/>
                    </w:rPr>
                  </w:pPr>
                  <w:r>
                    <w:rPr>
                      <w:rFonts w:ascii="Times New Roman" w:hAnsi="Times New Roman"/>
                      <w:kern w:val="2"/>
                      <w:sz w:val="21"/>
                      <w:szCs w:val="21"/>
                    </w:rPr>
                    <w:t>SO</w:t>
                  </w:r>
                  <w:r>
                    <w:rPr>
                      <w:rFonts w:ascii="Times New Roman" w:hAnsi="Times New Roman"/>
                      <w:kern w:val="2"/>
                      <w:sz w:val="21"/>
                      <w:szCs w:val="21"/>
                      <w:vertAlign w:val="subscript"/>
                    </w:rPr>
                    <w:t>2</w:t>
                  </w:r>
                </w:p>
              </w:tc>
              <w:tc>
                <w:tcPr>
                  <w:tcW w:w="800" w:type="dxa"/>
                  <w:tcBorders>
                    <w:top w:val="single" w:color="auto" w:sz="4" w:space="0"/>
                    <w:left w:val="single" w:color="auto" w:sz="4" w:space="0"/>
                    <w:bottom w:val="single" w:color="auto" w:sz="4" w:space="0"/>
                    <w:right w:val="single" w:color="auto" w:sz="4" w:space="0"/>
                  </w:tcBorders>
                  <w:vAlign w:val="center"/>
                </w:tcPr>
                <w:p>
                  <w:pPr>
                    <w:tabs>
                      <w:tab w:val="left" w:pos="4678"/>
                    </w:tabs>
                    <w:jc w:val="center"/>
                    <w:rPr>
                      <w:rFonts w:ascii="Times New Roman" w:hAnsi="Times New Roman"/>
                      <w:kern w:val="2"/>
                      <w:sz w:val="21"/>
                      <w:szCs w:val="21"/>
                    </w:rPr>
                  </w:pPr>
                  <w:r>
                    <w:rPr>
                      <w:rFonts w:ascii="Times New Roman" w:hAnsi="Times New Roman"/>
                      <w:kern w:val="2"/>
                      <w:sz w:val="21"/>
                      <w:szCs w:val="21"/>
                    </w:rPr>
                    <w:t>NO</w:t>
                  </w:r>
                  <w:r>
                    <w:rPr>
                      <w:rFonts w:ascii="Times New Roman" w:hAnsi="Times New Roman"/>
                      <w:kern w:val="2"/>
                      <w:sz w:val="21"/>
                      <w:szCs w:val="21"/>
                      <w:vertAlign w:val="subscript"/>
                    </w:rPr>
                    <w:t>2</w:t>
                  </w:r>
                </w:p>
              </w:tc>
              <w:tc>
                <w:tcPr>
                  <w:tcW w:w="801" w:type="dxa"/>
                  <w:tcBorders>
                    <w:top w:val="single" w:color="auto" w:sz="4" w:space="0"/>
                    <w:left w:val="single" w:color="auto" w:sz="4" w:space="0"/>
                    <w:bottom w:val="single" w:color="auto" w:sz="4" w:space="0"/>
                    <w:right w:val="single" w:color="auto" w:sz="4" w:space="0"/>
                  </w:tcBorders>
                  <w:vAlign w:val="center"/>
                </w:tcPr>
                <w:p>
                  <w:pPr>
                    <w:tabs>
                      <w:tab w:val="left" w:pos="4678"/>
                    </w:tabs>
                    <w:jc w:val="center"/>
                    <w:rPr>
                      <w:rFonts w:ascii="Times New Roman" w:hAnsi="Times New Roman"/>
                      <w:kern w:val="2"/>
                      <w:sz w:val="21"/>
                      <w:szCs w:val="21"/>
                    </w:rPr>
                  </w:pPr>
                  <w:r>
                    <w:rPr>
                      <w:rFonts w:ascii="Times New Roman" w:hAnsi="Times New Roman"/>
                      <w:kern w:val="2"/>
                      <w:sz w:val="21"/>
                      <w:szCs w:val="21"/>
                    </w:rPr>
                    <w:t>PM</w:t>
                  </w:r>
                  <w:r>
                    <w:rPr>
                      <w:rFonts w:ascii="Times New Roman" w:hAnsi="Times New Roman"/>
                      <w:kern w:val="2"/>
                      <w:sz w:val="21"/>
                      <w:szCs w:val="21"/>
                      <w:vertAlign w:val="subscript"/>
                    </w:rPr>
                    <w:t>2.5</w:t>
                  </w:r>
                </w:p>
              </w:tc>
              <w:tc>
                <w:tcPr>
                  <w:tcW w:w="800" w:type="dxa"/>
                  <w:tcBorders>
                    <w:top w:val="single" w:color="auto" w:sz="4" w:space="0"/>
                    <w:left w:val="single" w:color="auto" w:sz="4" w:space="0"/>
                    <w:bottom w:val="single" w:color="auto" w:sz="4" w:space="0"/>
                    <w:right w:val="single" w:color="auto" w:sz="4" w:space="0"/>
                  </w:tcBorders>
                  <w:vAlign w:val="center"/>
                </w:tcPr>
                <w:p>
                  <w:pPr>
                    <w:tabs>
                      <w:tab w:val="left" w:pos="4678"/>
                    </w:tabs>
                    <w:jc w:val="center"/>
                    <w:rPr>
                      <w:rFonts w:ascii="Times New Roman" w:hAnsi="Times New Roman"/>
                      <w:kern w:val="2"/>
                      <w:sz w:val="21"/>
                      <w:szCs w:val="21"/>
                    </w:rPr>
                  </w:pPr>
                  <w:r>
                    <w:rPr>
                      <w:rFonts w:ascii="Times New Roman" w:hAnsi="Times New Roman"/>
                      <w:kern w:val="2"/>
                      <w:sz w:val="21"/>
                      <w:szCs w:val="21"/>
                    </w:rPr>
                    <w:t>PM</w:t>
                  </w:r>
                  <w:r>
                    <w:rPr>
                      <w:rFonts w:ascii="Times New Roman" w:hAnsi="Times New Roman"/>
                      <w:kern w:val="2"/>
                      <w:sz w:val="21"/>
                      <w:szCs w:val="21"/>
                      <w:vertAlign w:val="subscript"/>
                    </w:rPr>
                    <w:t>10</w:t>
                  </w:r>
                </w:p>
              </w:tc>
              <w:tc>
                <w:tcPr>
                  <w:tcW w:w="1708" w:type="dxa"/>
                  <w:tcBorders>
                    <w:top w:val="single" w:color="auto" w:sz="4" w:space="0"/>
                    <w:left w:val="single" w:color="auto" w:sz="4" w:space="0"/>
                    <w:bottom w:val="single" w:color="auto" w:sz="4" w:space="0"/>
                    <w:right w:val="single" w:color="auto" w:sz="4" w:space="0"/>
                  </w:tcBorders>
                </w:tcPr>
                <w:p>
                  <w:pPr>
                    <w:jc w:val="center"/>
                    <w:textAlignment w:val="baseline"/>
                    <w:rPr>
                      <w:rFonts w:ascii="Times New Roman" w:hAnsi="Times New Roman"/>
                      <w:kern w:val="2"/>
                      <w:sz w:val="21"/>
                      <w:szCs w:val="21"/>
                    </w:rPr>
                  </w:pPr>
                  <w:r>
                    <w:rPr>
                      <w:rFonts w:hint="eastAsia" w:ascii="Times New Roman" w:hAnsi="Times New Roman"/>
                      <w:kern w:val="2"/>
                      <w:sz w:val="21"/>
                      <w:szCs w:val="21"/>
                    </w:rPr>
                    <w:t>C</w:t>
                  </w:r>
                  <w:r>
                    <w:rPr>
                      <w:rFonts w:ascii="Times New Roman" w:hAnsi="Times New Roman"/>
                      <w:kern w:val="2"/>
                      <w:sz w:val="21"/>
                      <w:szCs w:val="21"/>
                    </w:rPr>
                    <w:t>O</w:t>
                  </w:r>
                </w:p>
              </w:tc>
              <w:tc>
                <w:tcPr>
                  <w:tcW w:w="2945" w:type="dxa"/>
                  <w:tcBorders>
                    <w:top w:val="single" w:color="auto" w:sz="4" w:space="0"/>
                    <w:left w:val="single" w:color="auto" w:sz="4" w:space="0"/>
                    <w:bottom w:val="single" w:color="auto" w:sz="4" w:space="0"/>
                    <w:right w:val="single" w:color="auto" w:sz="4" w:space="0"/>
                  </w:tcBorders>
                </w:tcPr>
                <w:p>
                  <w:pPr>
                    <w:jc w:val="center"/>
                    <w:textAlignment w:val="baseline"/>
                    <w:rPr>
                      <w:rFonts w:ascii="Times New Roman" w:hAnsi="Times New Roman"/>
                      <w:kern w:val="2"/>
                      <w:sz w:val="21"/>
                      <w:szCs w:val="21"/>
                    </w:rPr>
                  </w:pPr>
                  <w:r>
                    <w:rPr>
                      <w:rFonts w:hint="eastAsia" w:ascii="Times New Roman" w:hAnsi="Times New Roman"/>
                      <w:kern w:val="2"/>
                      <w:sz w:val="21"/>
                      <w:szCs w:val="21"/>
                    </w:rPr>
                    <w:t>O</w:t>
                  </w:r>
                  <w:r>
                    <w:rPr>
                      <w:rFonts w:ascii="Times New Roman" w:hAnsi="Times New Roman"/>
                      <w:kern w:val="2"/>
                      <w:sz w:val="21"/>
                      <w:szCs w:val="21"/>
                      <w:vertAlign w:val="subscript"/>
                    </w:rPr>
                    <w:t>3</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189" w:hRule="atLeast"/>
                <w:jc w:val="center"/>
              </w:trPr>
              <w:tc>
                <w:tcPr>
                  <w:tcW w:w="1905" w:type="dxa"/>
                  <w:vMerge w:val="continue"/>
                  <w:tcBorders>
                    <w:top w:val="single" w:color="auto" w:sz="4" w:space="0"/>
                    <w:left w:val="single" w:color="auto" w:sz="4" w:space="0"/>
                    <w:bottom w:val="single" w:color="auto" w:sz="4" w:space="0"/>
                    <w:right w:val="single" w:color="auto" w:sz="4" w:space="0"/>
                    <w:tl2br w:val="single" w:color="auto" w:sz="8" w:space="0"/>
                  </w:tcBorders>
                  <w:vAlign w:val="center"/>
                </w:tcPr>
                <w:p>
                  <w:pPr>
                    <w:jc w:val="center"/>
                    <w:rPr>
                      <w:rFonts w:ascii="Times New Roman" w:hAnsi="Times New Roman"/>
                      <w:kern w:val="2"/>
                      <w:sz w:val="21"/>
                      <w:szCs w:val="21"/>
                    </w:rPr>
                  </w:pPr>
                </w:p>
              </w:tc>
              <w:tc>
                <w:tcPr>
                  <w:tcW w:w="800" w:type="dxa"/>
                  <w:tcBorders>
                    <w:top w:val="single" w:color="auto" w:sz="4" w:space="0"/>
                    <w:left w:val="single" w:color="auto" w:sz="4" w:space="0"/>
                    <w:bottom w:val="single" w:color="auto" w:sz="4" w:space="0"/>
                    <w:right w:val="single" w:color="auto" w:sz="4" w:space="0"/>
                  </w:tcBorders>
                  <w:vAlign w:val="center"/>
                </w:tcPr>
                <w:p>
                  <w:pPr>
                    <w:jc w:val="center"/>
                    <w:textAlignment w:val="baseline"/>
                    <w:rPr>
                      <w:rFonts w:ascii="Times New Roman" w:hAnsi="Times New Roman"/>
                      <w:kern w:val="2"/>
                      <w:sz w:val="21"/>
                      <w:szCs w:val="21"/>
                    </w:rPr>
                  </w:pPr>
                  <w:r>
                    <w:rPr>
                      <w:rFonts w:ascii="Times New Roman" w:hAnsi="Times New Roman"/>
                      <w:kern w:val="2"/>
                      <w:sz w:val="21"/>
                      <w:szCs w:val="21"/>
                    </w:rPr>
                    <w:t>年均值</w:t>
                  </w:r>
                </w:p>
              </w:tc>
              <w:tc>
                <w:tcPr>
                  <w:tcW w:w="800" w:type="dxa"/>
                  <w:tcBorders>
                    <w:top w:val="single" w:color="auto" w:sz="4" w:space="0"/>
                    <w:left w:val="single" w:color="auto" w:sz="4" w:space="0"/>
                    <w:bottom w:val="single" w:color="auto" w:sz="4" w:space="0"/>
                    <w:right w:val="single" w:color="auto" w:sz="4" w:space="0"/>
                  </w:tcBorders>
                  <w:vAlign w:val="center"/>
                </w:tcPr>
                <w:p>
                  <w:pPr>
                    <w:jc w:val="center"/>
                    <w:textAlignment w:val="baseline"/>
                    <w:rPr>
                      <w:rFonts w:ascii="Times New Roman" w:hAnsi="Times New Roman"/>
                      <w:kern w:val="2"/>
                      <w:sz w:val="21"/>
                      <w:szCs w:val="21"/>
                    </w:rPr>
                  </w:pPr>
                  <w:r>
                    <w:rPr>
                      <w:rFonts w:ascii="Times New Roman" w:hAnsi="Times New Roman"/>
                      <w:kern w:val="2"/>
                      <w:sz w:val="21"/>
                      <w:szCs w:val="21"/>
                    </w:rPr>
                    <w:t>年均值</w:t>
                  </w:r>
                </w:p>
              </w:tc>
              <w:tc>
                <w:tcPr>
                  <w:tcW w:w="801" w:type="dxa"/>
                  <w:tcBorders>
                    <w:top w:val="single" w:color="auto" w:sz="4" w:space="0"/>
                    <w:left w:val="single" w:color="auto" w:sz="4" w:space="0"/>
                    <w:bottom w:val="single" w:color="auto" w:sz="4" w:space="0"/>
                    <w:right w:val="single" w:color="auto" w:sz="4" w:space="0"/>
                  </w:tcBorders>
                  <w:vAlign w:val="center"/>
                </w:tcPr>
                <w:p>
                  <w:pPr>
                    <w:jc w:val="center"/>
                    <w:textAlignment w:val="baseline"/>
                    <w:rPr>
                      <w:rFonts w:ascii="Times New Roman" w:hAnsi="Times New Roman"/>
                      <w:kern w:val="2"/>
                      <w:sz w:val="21"/>
                      <w:szCs w:val="21"/>
                    </w:rPr>
                  </w:pPr>
                  <w:r>
                    <w:rPr>
                      <w:rFonts w:ascii="Times New Roman" w:hAnsi="Times New Roman"/>
                      <w:kern w:val="2"/>
                      <w:sz w:val="21"/>
                      <w:szCs w:val="21"/>
                    </w:rPr>
                    <w:t>年均值</w:t>
                  </w:r>
                </w:p>
              </w:tc>
              <w:tc>
                <w:tcPr>
                  <w:tcW w:w="800" w:type="dxa"/>
                  <w:tcBorders>
                    <w:top w:val="single" w:color="auto" w:sz="4" w:space="0"/>
                    <w:left w:val="single" w:color="auto" w:sz="4" w:space="0"/>
                    <w:bottom w:val="single" w:color="auto" w:sz="4" w:space="0"/>
                    <w:right w:val="single" w:color="auto" w:sz="4" w:space="0"/>
                  </w:tcBorders>
                  <w:vAlign w:val="center"/>
                </w:tcPr>
                <w:p>
                  <w:pPr>
                    <w:jc w:val="center"/>
                    <w:textAlignment w:val="baseline"/>
                    <w:rPr>
                      <w:rFonts w:ascii="Times New Roman" w:hAnsi="Times New Roman"/>
                      <w:kern w:val="2"/>
                      <w:sz w:val="21"/>
                      <w:szCs w:val="21"/>
                    </w:rPr>
                  </w:pPr>
                  <w:r>
                    <w:rPr>
                      <w:rFonts w:ascii="Times New Roman" w:hAnsi="Times New Roman"/>
                      <w:kern w:val="2"/>
                      <w:sz w:val="21"/>
                      <w:szCs w:val="21"/>
                    </w:rPr>
                    <w:t>年均值</w:t>
                  </w:r>
                </w:p>
              </w:tc>
              <w:tc>
                <w:tcPr>
                  <w:tcW w:w="1708" w:type="dxa"/>
                  <w:tcBorders>
                    <w:top w:val="single" w:color="auto" w:sz="4" w:space="0"/>
                    <w:left w:val="single" w:color="auto" w:sz="4" w:space="0"/>
                    <w:bottom w:val="single" w:color="auto" w:sz="4" w:space="0"/>
                    <w:right w:val="single" w:color="auto" w:sz="4" w:space="0"/>
                  </w:tcBorders>
                </w:tcPr>
                <w:p>
                  <w:pPr>
                    <w:jc w:val="center"/>
                    <w:textAlignment w:val="baseline"/>
                    <w:rPr>
                      <w:rFonts w:ascii="Times New Roman" w:hAnsi="Times New Roman"/>
                      <w:kern w:val="2"/>
                      <w:sz w:val="21"/>
                      <w:szCs w:val="21"/>
                    </w:rPr>
                  </w:pPr>
                  <w:r>
                    <w:rPr>
                      <w:rFonts w:ascii="Times New Roman" w:hAnsi="Times New Roman"/>
                      <w:kern w:val="2"/>
                      <w:sz w:val="21"/>
                      <w:szCs w:val="21"/>
                    </w:rPr>
                    <w:t>日平均第95百分位数</w:t>
                  </w:r>
                </w:p>
              </w:tc>
              <w:tc>
                <w:tcPr>
                  <w:tcW w:w="2945" w:type="dxa"/>
                  <w:tcBorders>
                    <w:top w:val="single" w:color="auto" w:sz="4" w:space="0"/>
                    <w:left w:val="single" w:color="auto" w:sz="4" w:space="0"/>
                    <w:bottom w:val="single" w:color="auto" w:sz="4" w:space="0"/>
                    <w:right w:val="single" w:color="auto" w:sz="4" w:space="0"/>
                  </w:tcBorders>
                </w:tcPr>
                <w:p>
                  <w:pPr>
                    <w:jc w:val="center"/>
                    <w:textAlignment w:val="baseline"/>
                    <w:rPr>
                      <w:rFonts w:ascii="Times New Roman" w:hAnsi="Times New Roman"/>
                      <w:kern w:val="2"/>
                      <w:sz w:val="21"/>
                      <w:szCs w:val="21"/>
                    </w:rPr>
                  </w:pPr>
                  <w:r>
                    <w:rPr>
                      <w:rFonts w:hint="eastAsia" w:ascii="Times New Roman" w:hAnsi="Times New Roman"/>
                      <w:kern w:val="2"/>
                      <w:sz w:val="21"/>
                      <w:szCs w:val="21"/>
                    </w:rPr>
                    <w:t>日最大8小时滑动平均值第90百分位数</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265" w:hRule="atLeast"/>
                <w:jc w:val="center"/>
              </w:trPr>
              <w:tc>
                <w:tcPr>
                  <w:tcW w:w="190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kern w:val="2"/>
                      <w:sz w:val="21"/>
                      <w:szCs w:val="21"/>
                    </w:rPr>
                  </w:pPr>
                  <w:r>
                    <w:rPr>
                      <w:rFonts w:hint="eastAsia" w:ascii="Times New Roman" w:hAnsi="Times New Roman"/>
                      <w:kern w:val="2"/>
                      <w:sz w:val="21"/>
                      <w:szCs w:val="21"/>
                    </w:rPr>
                    <w:t>数值</w:t>
                  </w:r>
                </w:p>
              </w:tc>
              <w:tc>
                <w:tcPr>
                  <w:tcW w:w="800" w:type="dxa"/>
                  <w:tcBorders>
                    <w:top w:val="single" w:color="auto" w:sz="4" w:space="0"/>
                    <w:left w:val="single" w:color="auto" w:sz="4" w:space="0"/>
                    <w:bottom w:val="single" w:color="auto" w:sz="4" w:space="0"/>
                    <w:right w:val="single" w:color="auto" w:sz="4" w:space="0"/>
                  </w:tcBorders>
                  <w:vAlign w:val="center"/>
                </w:tcPr>
                <w:p>
                  <w:pPr>
                    <w:adjustRightInd w:val="0"/>
                    <w:spacing w:line="0" w:lineRule="atLeast"/>
                    <w:jc w:val="center"/>
                    <w:textAlignment w:val="baseline"/>
                    <w:rPr>
                      <w:rFonts w:ascii="Times New Roman" w:hAnsi="Times New Roman"/>
                      <w:kern w:val="0"/>
                      <w:sz w:val="21"/>
                      <w:szCs w:val="21"/>
                    </w:rPr>
                  </w:pPr>
                  <w:r>
                    <w:rPr>
                      <w:rFonts w:ascii="Times New Roman" w:hAnsi="Times New Roman"/>
                      <w:kern w:val="0"/>
                      <w:sz w:val="21"/>
                      <w:szCs w:val="21"/>
                    </w:rPr>
                    <w:t>0.010</w:t>
                  </w:r>
                </w:p>
              </w:tc>
              <w:tc>
                <w:tcPr>
                  <w:tcW w:w="800" w:type="dxa"/>
                  <w:tcBorders>
                    <w:top w:val="single" w:color="auto" w:sz="4" w:space="0"/>
                    <w:left w:val="single" w:color="auto" w:sz="4" w:space="0"/>
                    <w:bottom w:val="single" w:color="auto" w:sz="4" w:space="0"/>
                    <w:right w:val="single" w:color="auto" w:sz="4" w:space="0"/>
                  </w:tcBorders>
                  <w:vAlign w:val="center"/>
                </w:tcPr>
                <w:p>
                  <w:pPr>
                    <w:adjustRightInd w:val="0"/>
                    <w:spacing w:line="0" w:lineRule="atLeast"/>
                    <w:jc w:val="center"/>
                    <w:textAlignment w:val="baseline"/>
                    <w:rPr>
                      <w:rFonts w:ascii="Times New Roman" w:hAnsi="Times New Roman"/>
                      <w:kern w:val="0"/>
                      <w:sz w:val="21"/>
                      <w:szCs w:val="21"/>
                    </w:rPr>
                  </w:pPr>
                  <w:r>
                    <w:rPr>
                      <w:rFonts w:ascii="Times New Roman" w:hAnsi="Times New Roman"/>
                      <w:kern w:val="0"/>
                      <w:sz w:val="21"/>
                      <w:szCs w:val="21"/>
                    </w:rPr>
                    <w:t>0.020</w:t>
                  </w:r>
                </w:p>
              </w:tc>
              <w:tc>
                <w:tcPr>
                  <w:tcW w:w="801" w:type="dxa"/>
                  <w:tcBorders>
                    <w:top w:val="single" w:color="auto" w:sz="4" w:space="0"/>
                    <w:left w:val="single" w:color="auto" w:sz="4" w:space="0"/>
                    <w:bottom w:val="single" w:color="auto" w:sz="4" w:space="0"/>
                    <w:right w:val="single" w:color="auto" w:sz="4" w:space="0"/>
                  </w:tcBorders>
                  <w:vAlign w:val="center"/>
                </w:tcPr>
                <w:p>
                  <w:pPr>
                    <w:adjustRightInd w:val="0"/>
                    <w:spacing w:line="0" w:lineRule="atLeast"/>
                    <w:jc w:val="center"/>
                    <w:textAlignment w:val="baseline"/>
                    <w:rPr>
                      <w:rFonts w:ascii="Times New Roman" w:hAnsi="Times New Roman"/>
                      <w:kern w:val="0"/>
                      <w:sz w:val="21"/>
                      <w:szCs w:val="21"/>
                    </w:rPr>
                  </w:pPr>
                  <w:r>
                    <w:rPr>
                      <w:rFonts w:ascii="Times New Roman" w:hAnsi="Times New Roman"/>
                      <w:kern w:val="0"/>
                      <w:sz w:val="21"/>
                      <w:szCs w:val="21"/>
                    </w:rPr>
                    <w:t>0.029</w:t>
                  </w:r>
                </w:p>
              </w:tc>
              <w:tc>
                <w:tcPr>
                  <w:tcW w:w="800" w:type="dxa"/>
                  <w:tcBorders>
                    <w:top w:val="single" w:color="auto" w:sz="4" w:space="0"/>
                    <w:left w:val="single" w:color="auto" w:sz="4" w:space="0"/>
                    <w:bottom w:val="single" w:color="auto" w:sz="4" w:space="0"/>
                    <w:right w:val="single" w:color="auto" w:sz="4" w:space="0"/>
                  </w:tcBorders>
                  <w:vAlign w:val="center"/>
                </w:tcPr>
                <w:p>
                  <w:pPr>
                    <w:adjustRightInd w:val="0"/>
                    <w:spacing w:line="0" w:lineRule="atLeast"/>
                    <w:jc w:val="center"/>
                    <w:textAlignment w:val="baseline"/>
                    <w:rPr>
                      <w:rFonts w:ascii="Times New Roman" w:hAnsi="Times New Roman"/>
                      <w:kern w:val="0"/>
                      <w:sz w:val="21"/>
                      <w:szCs w:val="21"/>
                    </w:rPr>
                  </w:pPr>
                  <w:r>
                    <w:rPr>
                      <w:rFonts w:ascii="Times New Roman" w:hAnsi="Times New Roman"/>
                      <w:kern w:val="0"/>
                      <w:sz w:val="21"/>
                      <w:szCs w:val="21"/>
                    </w:rPr>
                    <w:t>0.056</w:t>
                  </w:r>
                </w:p>
              </w:tc>
              <w:tc>
                <w:tcPr>
                  <w:tcW w:w="1708" w:type="dxa"/>
                  <w:tcBorders>
                    <w:top w:val="single" w:color="auto" w:sz="4" w:space="0"/>
                    <w:left w:val="single" w:color="auto" w:sz="4" w:space="0"/>
                    <w:bottom w:val="single" w:color="auto" w:sz="4" w:space="0"/>
                    <w:right w:val="single" w:color="auto" w:sz="4" w:space="0"/>
                  </w:tcBorders>
                </w:tcPr>
                <w:p>
                  <w:pPr>
                    <w:jc w:val="center"/>
                    <w:textAlignment w:val="baseline"/>
                    <w:rPr>
                      <w:rFonts w:ascii="Times New Roman" w:hAnsi="Times New Roman"/>
                      <w:kern w:val="2"/>
                      <w:sz w:val="21"/>
                      <w:szCs w:val="21"/>
                    </w:rPr>
                  </w:pPr>
                  <w:r>
                    <w:rPr>
                      <w:rFonts w:hint="eastAsia" w:ascii="Times New Roman" w:hAnsi="Times New Roman"/>
                      <w:kern w:val="2"/>
                      <w:sz w:val="21"/>
                      <w:szCs w:val="21"/>
                    </w:rPr>
                    <w:t>1</w:t>
                  </w:r>
                  <w:r>
                    <w:rPr>
                      <w:rFonts w:ascii="Times New Roman" w:hAnsi="Times New Roman"/>
                      <w:kern w:val="2"/>
                      <w:sz w:val="21"/>
                      <w:szCs w:val="21"/>
                    </w:rPr>
                    <w:t>.1</w:t>
                  </w:r>
                </w:p>
              </w:tc>
              <w:tc>
                <w:tcPr>
                  <w:tcW w:w="2945" w:type="dxa"/>
                  <w:tcBorders>
                    <w:top w:val="single" w:color="auto" w:sz="4" w:space="0"/>
                    <w:left w:val="single" w:color="auto" w:sz="4" w:space="0"/>
                    <w:bottom w:val="single" w:color="auto" w:sz="4" w:space="0"/>
                    <w:right w:val="single" w:color="auto" w:sz="4" w:space="0"/>
                  </w:tcBorders>
                </w:tcPr>
                <w:p>
                  <w:pPr>
                    <w:jc w:val="center"/>
                    <w:textAlignment w:val="baseline"/>
                    <w:rPr>
                      <w:rFonts w:ascii="Times New Roman" w:hAnsi="Times New Roman"/>
                      <w:kern w:val="2"/>
                      <w:sz w:val="21"/>
                      <w:szCs w:val="21"/>
                    </w:rPr>
                  </w:pPr>
                  <w:r>
                    <w:rPr>
                      <w:rFonts w:hint="eastAsia" w:ascii="Times New Roman" w:hAnsi="Times New Roman"/>
                      <w:kern w:val="2"/>
                      <w:sz w:val="21"/>
                      <w:szCs w:val="21"/>
                    </w:rPr>
                    <w:t>0</w:t>
                  </w:r>
                  <w:r>
                    <w:rPr>
                      <w:rFonts w:ascii="Times New Roman" w:hAnsi="Times New Roman"/>
                      <w:kern w:val="2"/>
                      <w:sz w:val="21"/>
                      <w:szCs w:val="21"/>
                    </w:rPr>
                    <w:t>.160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113" w:hRule="atLeast"/>
                <w:jc w:val="center"/>
              </w:trPr>
              <w:tc>
                <w:tcPr>
                  <w:tcW w:w="190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kern w:val="2"/>
                      <w:sz w:val="21"/>
                      <w:szCs w:val="21"/>
                    </w:rPr>
                  </w:pPr>
                  <w:r>
                    <w:rPr>
                      <w:rFonts w:ascii="Times New Roman" w:hAnsi="Times New Roman"/>
                      <w:kern w:val="2"/>
                      <w:sz w:val="21"/>
                      <w:szCs w:val="21"/>
                    </w:rPr>
                    <w:t>标准</w:t>
                  </w:r>
                </w:p>
              </w:tc>
              <w:tc>
                <w:tcPr>
                  <w:tcW w:w="800" w:type="dxa"/>
                  <w:tcBorders>
                    <w:top w:val="single" w:color="auto" w:sz="4" w:space="0"/>
                    <w:left w:val="single" w:color="auto" w:sz="4" w:space="0"/>
                    <w:bottom w:val="single" w:color="auto" w:sz="4" w:space="0"/>
                    <w:right w:val="single" w:color="auto" w:sz="4" w:space="0"/>
                  </w:tcBorders>
                  <w:vAlign w:val="center"/>
                </w:tcPr>
                <w:p>
                  <w:pPr>
                    <w:adjustRightInd w:val="0"/>
                    <w:spacing w:line="0" w:lineRule="atLeast"/>
                    <w:jc w:val="center"/>
                    <w:textAlignment w:val="baseline"/>
                    <w:rPr>
                      <w:rFonts w:ascii="Times New Roman" w:hAnsi="Times New Roman"/>
                      <w:kern w:val="0"/>
                      <w:sz w:val="21"/>
                      <w:szCs w:val="21"/>
                    </w:rPr>
                  </w:pPr>
                  <w:r>
                    <w:rPr>
                      <w:rFonts w:ascii="Times New Roman" w:hAnsi="Times New Roman"/>
                      <w:kern w:val="0"/>
                      <w:sz w:val="21"/>
                      <w:szCs w:val="21"/>
                    </w:rPr>
                    <w:t>0.060</w:t>
                  </w:r>
                </w:p>
              </w:tc>
              <w:tc>
                <w:tcPr>
                  <w:tcW w:w="800" w:type="dxa"/>
                  <w:tcBorders>
                    <w:top w:val="single" w:color="auto" w:sz="4" w:space="0"/>
                    <w:left w:val="single" w:color="auto" w:sz="4" w:space="0"/>
                    <w:bottom w:val="single" w:color="auto" w:sz="4" w:space="0"/>
                    <w:right w:val="single" w:color="auto" w:sz="4" w:space="0"/>
                  </w:tcBorders>
                  <w:vAlign w:val="center"/>
                </w:tcPr>
                <w:p>
                  <w:pPr>
                    <w:adjustRightInd w:val="0"/>
                    <w:spacing w:line="0" w:lineRule="atLeast"/>
                    <w:jc w:val="center"/>
                    <w:textAlignment w:val="baseline"/>
                    <w:rPr>
                      <w:rFonts w:ascii="Times New Roman" w:hAnsi="Times New Roman"/>
                      <w:kern w:val="0"/>
                      <w:sz w:val="21"/>
                      <w:szCs w:val="21"/>
                    </w:rPr>
                  </w:pPr>
                  <w:r>
                    <w:rPr>
                      <w:rFonts w:ascii="Times New Roman" w:hAnsi="Times New Roman"/>
                      <w:kern w:val="0"/>
                      <w:sz w:val="21"/>
                      <w:szCs w:val="21"/>
                    </w:rPr>
                    <w:t>0.040</w:t>
                  </w:r>
                </w:p>
              </w:tc>
              <w:tc>
                <w:tcPr>
                  <w:tcW w:w="801" w:type="dxa"/>
                  <w:tcBorders>
                    <w:top w:val="single" w:color="auto" w:sz="4" w:space="0"/>
                    <w:left w:val="single" w:color="auto" w:sz="4" w:space="0"/>
                    <w:bottom w:val="single" w:color="auto" w:sz="4" w:space="0"/>
                    <w:right w:val="single" w:color="auto" w:sz="4" w:space="0"/>
                  </w:tcBorders>
                  <w:vAlign w:val="center"/>
                </w:tcPr>
                <w:p>
                  <w:pPr>
                    <w:adjustRightInd w:val="0"/>
                    <w:spacing w:line="0" w:lineRule="atLeast"/>
                    <w:jc w:val="center"/>
                    <w:textAlignment w:val="baseline"/>
                    <w:rPr>
                      <w:rFonts w:ascii="Times New Roman" w:hAnsi="Times New Roman"/>
                      <w:kern w:val="0"/>
                      <w:sz w:val="21"/>
                      <w:szCs w:val="21"/>
                    </w:rPr>
                  </w:pPr>
                  <w:r>
                    <w:rPr>
                      <w:rFonts w:ascii="Times New Roman" w:hAnsi="Times New Roman"/>
                      <w:kern w:val="0"/>
                      <w:sz w:val="21"/>
                      <w:szCs w:val="21"/>
                    </w:rPr>
                    <w:t>0.035</w:t>
                  </w:r>
                </w:p>
              </w:tc>
              <w:tc>
                <w:tcPr>
                  <w:tcW w:w="800" w:type="dxa"/>
                  <w:tcBorders>
                    <w:top w:val="single" w:color="auto" w:sz="4" w:space="0"/>
                    <w:left w:val="single" w:color="auto" w:sz="4" w:space="0"/>
                    <w:bottom w:val="single" w:color="auto" w:sz="4" w:space="0"/>
                    <w:right w:val="single" w:color="auto" w:sz="4" w:space="0"/>
                  </w:tcBorders>
                  <w:vAlign w:val="center"/>
                </w:tcPr>
                <w:p>
                  <w:pPr>
                    <w:adjustRightInd w:val="0"/>
                    <w:spacing w:line="0" w:lineRule="atLeast"/>
                    <w:jc w:val="center"/>
                    <w:textAlignment w:val="baseline"/>
                    <w:rPr>
                      <w:rFonts w:ascii="Times New Roman" w:hAnsi="Times New Roman"/>
                      <w:kern w:val="0"/>
                      <w:sz w:val="21"/>
                      <w:szCs w:val="21"/>
                    </w:rPr>
                  </w:pPr>
                  <w:r>
                    <w:rPr>
                      <w:rFonts w:ascii="Times New Roman" w:hAnsi="Times New Roman"/>
                      <w:kern w:val="0"/>
                      <w:sz w:val="21"/>
                      <w:szCs w:val="21"/>
                    </w:rPr>
                    <w:t>0.070</w:t>
                  </w:r>
                </w:p>
              </w:tc>
              <w:tc>
                <w:tcPr>
                  <w:tcW w:w="1708" w:type="dxa"/>
                  <w:tcBorders>
                    <w:top w:val="single" w:color="auto" w:sz="4" w:space="0"/>
                    <w:left w:val="single" w:color="auto" w:sz="4" w:space="0"/>
                    <w:bottom w:val="single" w:color="auto" w:sz="4" w:space="0"/>
                    <w:right w:val="single" w:color="auto" w:sz="4" w:space="0"/>
                  </w:tcBorders>
                </w:tcPr>
                <w:p>
                  <w:pPr>
                    <w:jc w:val="center"/>
                    <w:textAlignment w:val="baseline"/>
                    <w:rPr>
                      <w:rFonts w:ascii="Times New Roman" w:hAnsi="Times New Roman"/>
                      <w:kern w:val="2"/>
                      <w:sz w:val="21"/>
                      <w:szCs w:val="21"/>
                    </w:rPr>
                  </w:pPr>
                  <w:r>
                    <w:rPr>
                      <w:rFonts w:ascii="Times New Roman" w:hAnsi="Times New Roman"/>
                      <w:kern w:val="2"/>
                      <w:sz w:val="21"/>
                      <w:szCs w:val="21"/>
                    </w:rPr>
                    <w:t>4.0</w:t>
                  </w:r>
                </w:p>
              </w:tc>
              <w:tc>
                <w:tcPr>
                  <w:tcW w:w="2945" w:type="dxa"/>
                  <w:tcBorders>
                    <w:top w:val="single" w:color="auto" w:sz="4" w:space="0"/>
                    <w:left w:val="single" w:color="auto" w:sz="4" w:space="0"/>
                    <w:bottom w:val="single" w:color="auto" w:sz="4" w:space="0"/>
                    <w:right w:val="single" w:color="auto" w:sz="4" w:space="0"/>
                  </w:tcBorders>
                </w:tcPr>
                <w:p>
                  <w:pPr>
                    <w:jc w:val="center"/>
                    <w:textAlignment w:val="baseline"/>
                    <w:rPr>
                      <w:rFonts w:ascii="Times New Roman" w:hAnsi="Times New Roman"/>
                      <w:kern w:val="2"/>
                      <w:sz w:val="21"/>
                      <w:szCs w:val="21"/>
                    </w:rPr>
                  </w:pPr>
                  <w:r>
                    <w:rPr>
                      <w:rFonts w:ascii="Times New Roman" w:hAnsi="Times New Roman"/>
                      <w:kern w:val="2"/>
                      <w:sz w:val="21"/>
                      <w:szCs w:val="21"/>
                    </w:rPr>
                    <w:t>0.</w:t>
                  </w:r>
                  <w:r>
                    <w:rPr>
                      <w:rFonts w:hint="eastAsia" w:ascii="Times New Roman" w:hAnsi="Times New Roman"/>
                      <w:kern w:val="2"/>
                      <w:sz w:val="21"/>
                      <w:szCs w:val="21"/>
                    </w:rPr>
                    <w:t>1</w:t>
                  </w:r>
                  <w:r>
                    <w:rPr>
                      <w:rFonts w:ascii="Times New Roman" w:hAnsi="Times New Roman"/>
                      <w:kern w:val="2"/>
                      <w:sz w:val="21"/>
                      <w:szCs w:val="21"/>
                    </w:rPr>
                    <w:t>60</w:t>
                  </w:r>
                </w:p>
              </w:tc>
            </w:tr>
          </w:tbl>
          <w:p>
            <w:pPr>
              <w:pStyle w:val="32"/>
              <w:ind w:firstLine="480"/>
            </w:pPr>
            <w:r>
              <w:rPr>
                <w:color w:val="auto"/>
              </w:rPr>
              <w:t>由监测结果可知，威海市区SO</w:t>
            </w:r>
            <w:r>
              <w:rPr>
                <w:color w:val="auto"/>
                <w:vertAlign w:val="subscript"/>
              </w:rPr>
              <w:t>2</w:t>
            </w:r>
            <w:r>
              <w:rPr>
                <w:color w:val="auto"/>
              </w:rPr>
              <w:t>、NO</w:t>
            </w:r>
            <w:r>
              <w:rPr>
                <w:color w:val="auto"/>
                <w:vertAlign w:val="subscript"/>
              </w:rPr>
              <w:t>2</w:t>
            </w:r>
            <w:r>
              <w:rPr>
                <w:color w:val="auto"/>
              </w:rPr>
              <w:t>、PM</w:t>
            </w:r>
            <w:r>
              <w:rPr>
                <w:color w:val="auto"/>
                <w:vertAlign w:val="subscript"/>
              </w:rPr>
              <w:t>10</w:t>
            </w:r>
            <w:r>
              <w:rPr>
                <w:color w:val="auto"/>
              </w:rPr>
              <w:t>、PM</w:t>
            </w:r>
            <w:r>
              <w:rPr>
                <w:color w:val="auto"/>
                <w:vertAlign w:val="subscript"/>
              </w:rPr>
              <w:t>2.5</w:t>
            </w:r>
            <w:r>
              <w:rPr>
                <w:color w:val="auto"/>
              </w:rPr>
              <w:t>、</w:t>
            </w:r>
            <w:r>
              <w:rPr>
                <w:rFonts w:hint="eastAsia"/>
                <w:color w:val="auto"/>
              </w:rPr>
              <w:t>C</w:t>
            </w:r>
            <w:r>
              <w:rPr>
                <w:color w:val="auto"/>
              </w:rPr>
              <w:t>O</w:t>
            </w:r>
            <w:r>
              <w:rPr>
                <w:rFonts w:hint="eastAsia"/>
                <w:color w:val="auto"/>
              </w:rPr>
              <w:t>及O</w:t>
            </w:r>
            <w:r>
              <w:rPr>
                <w:color w:val="auto"/>
                <w:vertAlign w:val="subscript"/>
              </w:rPr>
              <w:t>3</w:t>
            </w:r>
            <w:r>
              <w:rPr>
                <w:rFonts w:hint="eastAsia"/>
                <w:color w:val="auto"/>
              </w:rPr>
              <w:t>监测值均</w:t>
            </w:r>
            <w:r>
              <w:rPr>
                <w:color w:val="auto"/>
              </w:rPr>
              <w:t>达到了《环境空气质量标准》（GB3095-2012）及修改单中的二级标准。</w:t>
            </w:r>
            <w:r>
              <w:t xml:space="preserve"> </w:t>
            </w:r>
          </w:p>
          <w:p>
            <w:pPr>
              <w:spacing w:line="360" w:lineRule="auto"/>
              <w:ind w:firstLine="480" w:firstLineChars="200"/>
              <w:rPr>
                <w:rFonts w:ascii="Times New Roman" w:hAnsi="Times New Roman" w:eastAsia="黑体"/>
                <w:szCs w:val="22"/>
              </w:rPr>
            </w:pPr>
            <w:r>
              <w:rPr>
                <w:rFonts w:ascii="Times New Roman" w:hAnsi="Times New Roman" w:eastAsia="黑体"/>
                <w:szCs w:val="22"/>
              </w:rPr>
              <w:t>地表水环境</w:t>
            </w:r>
          </w:p>
          <w:p>
            <w:pPr>
              <w:spacing w:line="360" w:lineRule="auto"/>
              <w:ind w:firstLine="480" w:firstLineChars="200"/>
              <w:rPr>
                <w:rFonts w:ascii="Times New Roman" w:hAnsi="Times New Roman"/>
                <w:szCs w:val="24"/>
              </w:rPr>
            </w:pPr>
            <w:r>
              <w:rPr>
                <w:rFonts w:hint="eastAsia"/>
                <w:color w:val="000000"/>
                <w:szCs w:val="24"/>
              </w:rPr>
              <w:t>根据威海市</w:t>
            </w:r>
            <w:r>
              <w:rPr>
                <w:rFonts w:hint="eastAsia" w:ascii="Times New Roman" w:hAnsi="Times New Roman"/>
                <w:color w:val="000000"/>
                <w:szCs w:val="24"/>
              </w:rPr>
              <w:t>2019</w:t>
            </w:r>
            <w:r>
              <w:rPr>
                <w:rFonts w:hint="eastAsia"/>
                <w:color w:val="000000"/>
                <w:szCs w:val="24"/>
              </w:rPr>
              <w:t>年环境质量公报，</w:t>
            </w:r>
            <w:r>
              <w:rPr>
                <w:rFonts w:ascii="Times New Roman" w:hAnsi="Times New Roman" w:eastAsiaTheme="minorEastAsia"/>
                <w:color w:val="000000"/>
                <w:szCs w:val="24"/>
              </w:rPr>
              <w:t>全市13条主要河流共设13个市控以上考核监测断面。其中8个断面水质优于或达到国家《地表水环境质量标准》（GB 3838-2002)Ⅲ类标准，占61.5%；5个断面水质达到IV类标准，占38.5%</w:t>
            </w:r>
            <w:r>
              <w:rPr>
                <w:rFonts w:ascii="Times New Roman" w:hAnsi="Times New Roman"/>
                <w:szCs w:val="24"/>
              </w:rPr>
              <w:t>。</w:t>
            </w:r>
          </w:p>
          <w:p>
            <w:pPr>
              <w:spacing w:line="360" w:lineRule="auto"/>
              <w:ind w:firstLine="480" w:firstLineChars="200"/>
              <w:rPr>
                <w:rFonts w:ascii="Times New Roman" w:hAnsi="Times New Roman" w:eastAsia="黑体"/>
                <w:szCs w:val="22"/>
              </w:rPr>
            </w:pPr>
            <w:r>
              <w:rPr>
                <w:rFonts w:ascii="Times New Roman" w:hAnsi="Times New Roman" w:eastAsia="黑体"/>
                <w:szCs w:val="22"/>
              </w:rPr>
              <w:t>三、地下水环境</w:t>
            </w:r>
          </w:p>
          <w:p>
            <w:pPr>
              <w:pStyle w:val="67"/>
              <w:spacing w:line="360" w:lineRule="auto"/>
              <w:ind w:firstLine="480" w:firstLineChars="200"/>
              <w:rPr>
                <w:rFonts w:ascii="Times New Roman" w:cs="Times New Roman"/>
                <w:color w:val="auto"/>
              </w:rPr>
            </w:pPr>
            <w:r>
              <w:rPr>
                <w:rFonts w:hint="eastAsia" w:hAnsi="宋体"/>
              </w:rPr>
              <w:t>根据威海市</w:t>
            </w:r>
            <w:r>
              <w:rPr>
                <w:rFonts w:hint="eastAsia" w:ascii="Times New Roman"/>
              </w:rPr>
              <w:t>2019</w:t>
            </w:r>
            <w:r>
              <w:rPr>
                <w:rFonts w:hint="eastAsia" w:hAnsi="宋体"/>
              </w:rPr>
              <w:t>年威海市生态环境质量公报，</w:t>
            </w:r>
            <w:r>
              <w:rPr>
                <w:rFonts w:hint="eastAsia" w:ascii="Times New Roman"/>
                <w:color w:val="000000" w:themeColor="text1"/>
                <w:kern w:val="21"/>
                <w14:textFill>
                  <w14:solidFill>
                    <w14:schemeClr w14:val="tx1"/>
                  </w14:solidFill>
                </w14:textFill>
              </w:rPr>
              <w:t>全市地下水型“千吨万人”以上饮用水水源水质优于或达到国家《地下水质量标准》（GB/T 14848-2017)</w:t>
            </w:r>
            <w:r>
              <w:rPr>
                <w:rFonts w:hint="eastAsia" w:ascii="Times New Roman" w:cs="Arial Unicode MS"/>
                <w:color w:val="000000" w:themeColor="text1"/>
                <w:kern w:val="21"/>
                <w14:textFill>
                  <w14:solidFill>
                    <w14:schemeClr w14:val="tx1"/>
                  </w14:solidFill>
                </w14:textFill>
              </w:rPr>
              <w:t>Ⅲ</w:t>
            </w:r>
            <w:r>
              <w:rPr>
                <w:rFonts w:hint="eastAsia" w:ascii="Times New Roman"/>
                <w:color w:val="000000" w:themeColor="text1"/>
                <w:kern w:val="21"/>
                <w14:textFill>
                  <w14:solidFill>
                    <w14:schemeClr w14:val="tx1"/>
                  </w14:solidFill>
                </w14:textFill>
              </w:rPr>
              <w:t>类标准</w:t>
            </w:r>
            <w:r>
              <w:rPr>
                <w:rFonts w:ascii="Times New Roman" w:cs="Times New Roman"/>
                <w:color w:val="auto"/>
              </w:rPr>
              <w:t>。</w:t>
            </w:r>
          </w:p>
          <w:p>
            <w:pPr>
              <w:spacing w:line="360" w:lineRule="auto"/>
              <w:ind w:firstLine="480" w:firstLineChars="200"/>
              <w:rPr>
                <w:rFonts w:ascii="Times New Roman" w:hAnsi="Times New Roman" w:eastAsia="黑体"/>
                <w:szCs w:val="22"/>
              </w:rPr>
            </w:pPr>
            <w:r>
              <w:rPr>
                <w:rFonts w:ascii="Times New Roman" w:hAnsi="Times New Roman" w:eastAsia="黑体"/>
                <w:szCs w:val="22"/>
              </w:rPr>
              <w:t>四、声环境</w:t>
            </w:r>
          </w:p>
          <w:p>
            <w:pPr>
              <w:spacing w:line="360" w:lineRule="auto"/>
              <w:ind w:firstLine="480" w:firstLineChars="200"/>
              <w:rPr>
                <w:rFonts w:ascii="Times New Roman" w:hAnsi="Times New Roman"/>
                <w:szCs w:val="24"/>
              </w:rPr>
            </w:pPr>
            <w:r>
              <w:rPr>
                <w:szCs w:val="24"/>
              </w:rPr>
              <w:t>根据威海市声功能区划，项目所在区域声环境质量应执行《声环境质量标准》（GB3096-2008）</w:t>
            </w:r>
            <w:r>
              <w:rPr>
                <w:rFonts w:hint="eastAsia"/>
                <w:szCs w:val="24"/>
              </w:rPr>
              <w:t>3</w:t>
            </w:r>
            <w:r>
              <w:rPr>
                <w:szCs w:val="24"/>
              </w:rPr>
              <w:t>类标准。</w:t>
            </w:r>
            <w:r>
              <w:rPr>
                <w:rFonts w:hint="eastAsia"/>
                <w:color w:val="000000"/>
                <w:szCs w:val="24"/>
              </w:rPr>
              <w:t>根据威海市</w:t>
            </w:r>
            <w:r>
              <w:rPr>
                <w:rFonts w:hint="eastAsia" w:ascii="Times New Roman" w:hAnsi="Times New Roman"/>
                <w:color w:val="000000"/>
                <w:szCs w:val="24"/>
              </w:rPr>
              <w:t>201</w:t>
            </w:r>
            <w:r>
              <w:rPr>
                <w:rFonts w:hint="eastAsia" w:ascii="Times New Roman"/>
                <w:color w:val="000000"/>
                <w:szCs w:val="24"/>
              </w:rPr>
              <w:t>9</w:t>
            </w:r>
            <w:r>
              <w:rPr>
                <w:rFonts w:hint="eastAsia"/>
                <w:color w:val="000000"/>
                <w:szCs w:val="24"/>
              </w:rPr>
              <w:t>年威海市生态环境质量公报</w:t>
            </w:r>
            <w:r>
              <w:rPr>
                <w:szCs w:val="24"/>
              </w:rPr>
              <w:t>，</w:t>
            </w:r>
            <w:r>
              <w:rPr>
                <w:rFonts w:hint="eastAsia"/>
                <w:szCs w:val="24"/>
              </w:rPr>
              <w:t>全市0至4类功能区声环境质量昼、夜平均等效声级范围分别为46.7～38.7分贝、48.6～39.8分贝、52.3～41.3分贝、55.8～47.8分贝、58.5～52.2分贝，均达到声环境相应功能区标准</w:t>
            </w:r>
            <w:r>
              <w:rPr>
                <w:rFonts w:ascii="Times New Roman" w:hAnsi="Times New Roman"/>
                <w:szCs w:val="24"/>
              </w:rPr>
              <w:t>。</w:t>
            </w:r>
          </w:p>
          <w:p>
            <w:pPr>
              <w:spacing w:line="360" w:lineRule="auto"/>
              <w:ind w:firstLine="480" w:firstLineChars="200"/>
              <w:rPr>
                <w:rFonts w:ascii="Times New Roman" w:hAnsi="Times New Roman" w:eastAsia="黑体"/>
                <w:szCs w:val="22"/>
              </w:rPr>
            </w:pPr>
            <w:r>
              <w:rPr>
                <w:rFonts w:ascii="Times New Roman" w:hAnsi="Times New Roman" w:eastAsia="黑体"/>
                <w:szCs w:val="22"/>
              </w:rPr>
              <w:t>五、生态环境</w:t>
            </w:r>
          </w:p>
          <w:p>
            <w:pPr>
              <w:adjustRightInd w:val="0"/>
              <w:snapToGrid w:val="0"/>
              <w:spacing w:line="360" w:lineRule="auto"/>
              <w:ind w:firstLine="480" w:firstLineChars="200"/>
              <w:jc w:val="left"/>
              <w:rPr>
                <w:rFonts w:ascii="Times New Roman" w:hAnsi="Times New Roman" w:eastAsia="黑体"/>
                <w:kern w:val="2"/>
                <w:szCs w:val="22"/>
              </w:rPr>
            </w:pPr>
            <w:r>
              <w:rPr>
                <w:rFonts w:hint="eastAsia"/>
                <w:color w:val="000000"/>
                <w:szCs w:val="24"/>
              </w:rPr>
              <w:t>根据威海市</w:t>
            </w:r>
            <w:r>
              <w:rPr>
                <w:rFonts w:hint="eastAsia" w:ascii="Times New Roman" w:hAnsi="Times New Roman"/>
                <w:color w:val="000000"/>
                <w:szCs w:val="24"/>
              </w:rPr>
              <w:t>201</w:t>
            </w:r>
            <w:r>
              <w:rPr>
                <w:rFonts w:hint="eastAsia" w:ascii="Times New Roman"/>
                <w:color w:val="000000"/>
                <w:szCs w:val="24"/>
              </w:rPr>
              <w:t>9</w:t>
            </w:r>
            <w:r>
              <w:rPr>
                <w:rFonts w:hint="eastAsia"/>
                <w:color w:val="000000"/>
                <w:szCs w:val="24"/>
              </w:rPr>
              <w:t>年威海市生态环境质量公报，</w:t>
            </w:r>
            <w:r>
              <w:rPr>
                <w:rFonts w:hint="eastAsia"/>
                <w:szCs w:val="24"/>
              </w:rPr>
              <w:t>全市生态环境状况指数为65.79，全省最好，达到国家生态文明建设示范市指标要求（≥60）</w:t>
            </w:r>
            <w:r>
              <w:rPr>
                <w:szCs w:val="24"/>
              </w:rPr>
              <w:t>。</w:t>
            </w:r>
          </w:p>
          <w:p>
            <w:pPr>
              <w:widowControl/>
              <w:spacing w:line="360" w:lineRule="auto"/>
              <w:jc w:val="left"/>
              <w:rPr>
                <w:rFonts w:ascii="Times New Roman" w:hAnsi="Times New Roman"/>
                <w:kern w:val="0"/>
                <w:szCs w:val="24"/>
              </w:rPr>
            </w:pPr>
          </w:p>
          <w:p>
            <w:pPr>
              <w:widowControl/>
              <w:spacing w:line="360" w:lineRule="auto"/>
              <w:jc w:val="left"/>
              <w:rPr>
                <w:rFonts w:ascii="Times New Roman" w:hAnsi="Times New Roman"/>
                <w:kern w:val="0"/>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6" w:hRule="atLeast"/>
        </w:trPr>
        <w:tc>
          <w:tcPr>
            <w:tcW w:w="9985" w:type="dxa"/>
            <w:tcBorders>
              <w:top w:val="single" w:color="auto" w:sz="4" w:space="0"/>
              <w:bottom w:val="single" w:color="auto" w:sz="4" w:space="0"/>
            </w:tcBorders>
          </w:tcPr>
          <w:p>
            <w:pPr>
              <w:spacing w:line="360" w:lineRule="auto"/>
              <w:rPr>
                <w:rFonts w:ascii="Times New Roman" w:hAnsi="Times New Roman"/>
              </w:rPr>
            </w:pPr>
            <w:r>
              <w:rPr>
                <w:rFonts w:ascii="Times New Roman" w:hAnsi="Times New Roman"/>
              </w:rPr>
              <w:t>主要环境保护目标（列出名单及保护级别）：</w:t>
            </w:r>
          </w:p>
          <w:p>
            <w:pPr>
              <w:spacing w:line="360" w:lineRule="auto"/>
              <w:ind w:firstLine="480" w:firstLineChars="200"/>
            </w:pPr>
            <w:r>
              <w:t>1、环境空气主要保护目标为</w:t>
            </w:r>
            <w:r>
              <w:rPr>
                <w:rFonts w:hint="eastAsia"/>
              </w:rPr>
              <w:t>项目周围的环境空气质量</w:t>
            </w:r>
            <w:r>
              <w:t>，保护级别为《环境空气质量标准》(GB3095</w:t>
            </w:r>
            <w:r>
              <w:rPr>
                <w:rFonts w:hint="eastAsia"/>
              </w:rPr>
              <w:t>-2012</w:t>
            </w:r>
            <w:r>
              <w:t>)</w:t>
            </w:r>
            <w:r>
              <w:rPr>
                <w:rFonts w:hint="eastAsia"/>
              </w:rPr>
              <w:t>及其修改单</w:t>
            </w:r>
            <w:r>
              <w:t>二级</w:t>
            </w:r>
            <w:r>
              <w:rPr>
                <w:rFonts w:hint="eastAsia"/>
              </w:rPr>
              <w:t>标准</w:t>
            </w:r>
            <w:r>
              <w:t>；</w:t>
            </w:r>
          </w:p>
          <w:p>
            <w:pPr>
              <w:spacing w:line="360" w:lineRule="auto"/>
              <w:ind w:firstLine="480" w:firstLineChars="200"/>
            </w:pPr>
            <w:r>
              <w:t>2、</w:t>
            </w:r>
            <w:r>
              <w:rPr>
                <w:rFonts w:hint="eastAsia"/>
              </w:rPr>
              <w:t>地表水</w:t>
            </w:r>
            <w:r>
              <w:t>主要保护目标</w:t>
            </w:r>
            <w:r>
              <w:rPr>
                <w:rFonts w:hint="eastAsia"/>
              </w:rPr>
              <w:t>为项目东侧11</w:t>
            </w:r>
            <w:r>
              <w:t>45m</w:t>
            </w:r>
            <w:r>
              <w:rPr>
                <w:rFonts w:hint="eastAsia"/>
              </w:rPr>
              <w:t>石家河，</w:t>
            </w:r>
            <w:r>
              <w:t>保护级别为</w:t>
            </w:r>
            <w:r>
              <w:rPr>
                <w:rFonts w:hint="eastAsia"/>
              </w:rPr>
              <w:t>《地表水环境质量标准》（</w:t>
            </w:r>
            <w:r>
              <w:t>GB3838-2002）</w:t>
            </w:r>
            <w:r>
              <w:rPr>
                <w:rFonts w:ascii="Times New Roman" w:hAnsi="Times New Roman"/>
              </w:rPr>
              <w:t>Ⅲ</w:t>
            </w:r>
            <w:r>
              <w:t>类标准</w:t>
            </w:r>
            <w:r>
              <w:rPr>
                <w:rFonts w:hint="eastAsia"/>
              </w:rPr>
              <w:t>；</w:t>
            </w:r>
          </w:p>
          <w:p>
            <w:pPr>
              <w:spacing w:line="360" w:lineRule="auto"/>
              <w:ind w:firstLine="480" w:firstLineChars="200"/>
            </w:pPr>
            <w:r>
              <w:t>3</w:t>
            </w:r>
            <w:r>
              <w:rPr>
                <w:rFonts w:hint="eastAsia"/>
              </w:rPr>
              <w:t>、地下水</w:t>
            </w:r>
            <w:r>
              <w:t>主要保护目标</w:t>
            </w:r>
            <w:r>
              <w:rPr>
                <w:rFonts w:hint="eastAsia"/>
              </w:rPr>
              <w:t>为项目附近</w:t>
            </w:r>
            <w:r>
              <w:t>地下水，保护级别为《地下水质量标准》(GB/T14848-2017)Ⅲ</w:t>
            </w:r>
            <w:r>
              <w:rPr>
                <w:rFonts w:hint="eastAsia"/>
              </w:rPr>
              <w:t>类</w:t>
            </w:r>
            <w:r>
              <w:t>标准</w:t>
            </w:r>
            <w:r>
              <w:rPr>
                <w:rFonts w:hint="eastAsia"/>
              </w:rPr>
              <w:t>；</w:t>
            </w:r>
          </w:p>
          <w:p>
            <w:pPr>
              <w:spacing w:line="360" w:lineRule="auto"/>
              <w:ind w:firstLine="480" w:firstLineChars="200"/>
            </w:pPr>
            <w:r>
              <w:t>4、声环境保护目标为</w:t>
            </w:r>
            <w:r>
              <w:rPr>
                <w:rFonts w:hint="eastAsia"/>
              </w:rPr>
              <w:t>厂界外1m及</w:t>
            </w:r>
            <w:r>
              <w:t>向外延伸</w:t>
            </w:r>
            <w:r>
              <w:rPr>
                <w:rFonts w:hint="eastAsia"/>
              </w:rPr>
              <w:t>200m，</w:t>
            </w:r>
            <w:r>
              <w:t>保护级别为</w:t>
            </w:r>
            <w:r>
              <w:rPr>
                <w:rFonts w:hint="eastAsia"/>
              </w:rPr>
              <w:t>《声环境质量标准》（</w:t>
            </w:r>
            <w:r>
              <w:t>GB3096</w:t>
            </w:r>
            <w:r>
              <w:rPr>
                <w:rFonts w:hint="eastAsia"/>
              </w:rPr>
              <w:t>-</w:t>
            </w:r>
            <w:r>
              <w:t>2008）3</w:t>
            </w:r>
            <w:r>
              <w:rPr>
                <w:rFonts w:hint="eastAsia"/>
              </w:rPr>
              <w:t>类</w:t>
            </w:r>
            <w:r>
              <w:t>区</w:t>
            </w:r>
            <w:r>
              <w:rPr>
                <w:rFonts w:hint="eastAsia"/>
              </w:rPr>
              <w:t>标准；</w:t>
            </w:r>
          </w:p>
          <w:p>
            <w:pPr>
              <w:spacing w:line="360" w:lineRule="auto"/>
              <w:ind w:firstLine="480"/>
            </w:pPr>
            <w:r>
              <w:rPr>
                <w:rFonts w:hint="eastAsia"/>
              </w:rPr>
              <w:t>项目所在区域范围内无自然保护区、风景名胜区、国家重点保护文物或历史文化保护地，也无社会关注的具有历史、科学、民族、文化意义的保护地。项目主要环境保护目标与保护等级见</w:t>
            </w:r>
            <w:r>
              <w:rPr>
                <w:rFonts w:hint="eastAsia"/>
                <w:b/>
              </w:rPr>
              <w:t>表</w:t>
            </w:r>
            <w:r>
              <w:rPr>
                <w:b/>
              </w:rPr>
              <w:t>1</w:t>
            </w:r>
            <w:r>
              <w:rPr>
                <w:rFonts w:hint="eastAsia"/>
                <w:b/>
              </w:rPr>
              <w:t>1</w:t>
            </w:r>
            <w:r>
              <w:rPr>
                <w:rFonts w:hint="eastAsia"/>
              </w:rPr>
              <w:t>。</w:t>
            </w:r>
          </w:p>
          <w:p>
            <w:pPr>
              <w:spacing w:beforeLines="50" w:line="360" w:lineRule="auto"/>
              <w:ind w:firstLine="480" w:firstLineChars="200"/>
              <w:jc w:val="center"/>
              <w:rPr>
                <w:rFonts w:ascii="Times New Roman" w:hAnsi="Times New Roman" w:eastAsia="黑体"/>
                <w:bCs/>
              </w:rPr>
            </w:pPr>
            <w:r>
              <w:rPr>
                <w:rFonts w:ascii="Times New Roman" w:hAnsi="Times New Roman" w:eastAsia="黑体"/>
                <w:bCs/>
              </w:rPr>
              <w:t>表1</w:t>
            </w:r>
            <w:r>
              <w:rPr>
                <w:rFonts w:hint="eastAsia" w:ascii="Times New Roman" w:hAnsi="Times New Roman" w:eastAsia="黑体"/>
                <w:bCs/>
              </w:rPr>
              <w:t>1</w:t>
            </w:r>
            <w:r>
              <w:rPr>
                <w:rFonts w:ascii="Times New Roman" w:hAnsi="Times New Roman" w:eastAsia="黑体"/>
                <w:bCs/>
              </w:rPr>
              <w:t xml:space="preserve"> 项目附近主要环境保护目标及级别</w:t>
            </w:r>
          </w:p>
          <w:tbl>
            <w:tblPr>
              <w:tblStyle w:val="30"/>
              <w:tblW w:w="9624"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056"/>
              <w:gridCol w:w="1906"/>
              <w:gridCol w:w="709"/>
              <w:gridCol w:w="1276"/>
              <w:gridCol w:w="4677"/>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77" w:hRule="exact"/>
              </w:trPr>
              <w:tc>
                <w:tcPr>
                  <w:tcW w:w="1056" w:type="dxa"/>
                  <w:vAlign w:val="center"/>
                </w:tcPr>
                <w:p>
                  <w:pPr>
                    <w:tabs>
                      <w:tab w:val="center" w:pos="4153"/>
                      <w:tab w:val="right" w:pos="8306"/>
                    </w:tabs>
                    <w:snapToGrid w:val="0"/>
                    <w:spacing w:line="240" w:lineRule="atLeast"/>
                    <w:jc w:val="center"/>
                    <w:rPr>
                      <w:rFonts w:ascii="Times New Roman" w:hAnsi="Times New Roman"/>
                      <w:sz w:val="21"/>
                      <w:szCs w:val="21"/>
                    </w:rPr>
                  </w:pPr>
                  <w:r>
                    <w:rPr>
                      <w:rFonts w:ascii="Times New Roman"/>
                      <w:sz w:val="21"/>
                      <w:szCs w:val="21"/>
                    </w:rPr>
                    <w:t>保护类别</w:t>
                  </w:r>
                </w:p>
              </w:tc>
              <w:tc>
                <w:tcPr>
                  <w:tcW w:w="1906" w:type="dxa"/>
                  <w:vAlign w:val="center"/>
                </w:tcPr>
                <w:p>
                  <w:pPr>
                    <w:tabs>
                      <w:tab w:val="center" w:pos="4153"/>
                      <w:tab w:val="right" w:pos="8306"/>
                    </w:tabs>
                    <w:snapToGrid w:val="0"/>
                    <w:spacing w:line="240" w:lineRule="atLeast"/>
                    <w:jc w:val="center"/>
                    <w:rPr>
                      <w:rFonts w:ascii="Times New Roman" w:hAnsi="Times New Roman"/>
                      <w:sz w:val="21"/>
                      <w:szCs w:val="21"/>
                    </w:rPr>
                  </w:pPr>
                  <w:r>
                    <w:rPr>
                      <w:rFonts w:ascii="Times New Roman"/>
                      <w:sz w:val="21"/>
                      <w:szCs w:val="21"/>
                    </w:rPr>
                    <w:t>保护对象</w:t>
                  </w:r>
                </w:p>
              </w:tc>
              <w:tc>
                <w:tcPr>
                  <w:tcW w:w="709" w:type="dxa"/>
                  <w:vAlign w:val="center"/>
                </w:tcPr>
                <w:p>
                  <w:pPr>
                    <w:tabs>
                      <w:tab w:val="center" w:pos="4153"/>
                      <w:tab w:val="right" w:pos="8306"/>
                    </w:tabs>
                    <w:snapToGrid w:val="0"/>
                    <w:spacing w:line="240" w:lineRule="atLeast"/>
                    <w:jc w:val="center"/>
                    <w:rPr>
                      <w:rFonts w:ascii="Times New Roman" w:hAnsi="Times New Roman"/>
                      <w:sz w:val="21"/>
                      <w:szCs w:val="21"/>
                    </w:rPr>
                  </w:pPr>
                  <w:r>
                    <w:rPr>
                      <w:rFonts w:ascii="Times New Roman"/>
                      <w:sz w:val="21"/>
                      <w:szCs w:val="21"/>
                    </w:rPr>
                    <w:t>方位</w:t>
                  </w:r>
                </w:p>
              </w:tc>
              <w:tc>
                <w:tcPr>
                  <w:tcW w:w="1276" w:type="dxa"/>
                  <w:vAlign w:val="center"/>
                </w:tcPr>
                <w:p>
                  <w:pPr>
                    <w:tabs>
                      <w:tab w:val="center" w:pos="4153"/>
                      <w:tab w:val="right" w:pos="8306"/>
                    </w:tabs>
                    <w:snapToGrid w:val="0"/>
                    <w:spacing w:line="240" w:lineRule="atLeast"/>
                    <w:jc w:val="center"/>
                    <w:rPr>
                      <w:rFonts w:ascii="Times New Roman" w:hAnsi="Times New Roman"/>
                      <w:sz w:val="21"/>
                      <w:szCs w:val="21"/>
                    </w:rPr>
                  </w:pPr>
                  <w:r>
                    <w:rPr>
                      <w:rFonts w:ascii="Times New Roman"/>
                      <w:sz w:val="21"/>
                      <w:szCs w:val="21"/>
                    </w:rPr>
                    <w:t>距离</w:t>
                  </w:r>
                  <w:r>
                    <w:rPr>
                      <w:rFonts w:ascii="Times New Roman" w:hAnsi="Times New Roman"/>
                      <w:sz w:val="21"/>
                      <w:szCs w:val="21"/>
                    </w:rPr>
                    <w:t xml:space="preserve"> (m)</w:t>
                  </w:r>
                </w:p>
              </w:tc>
              <w:tc>
                <w:tcPr>
                  <w:tcW w:w="4677" w:type="dxa"/>
                  <w:vAlign w:val="center"/>
                </w:tcPr>
                <w:p>
                  <w:pPr>
                    <w:tabs>
                      <w:tab w:val="center" w:pos="4153"/>
                      <w:tab w:val="right" w:pos="8306"/>
                    </w:tabs>
                    <w:snapToGrid w:val="0"/>
                    <w:spacing w:line="240" w:lineRule="atLeast"/>
                    <w:jc w:val="center"/>
                    <w:rPr>
                      <w:rFonts w:ascii="Times New Roman" w:hAnsi="Times New Roman"/>
                      <w:sz w:val="21"/>
                      <w:szCs w:val="21"/>
                    </w:rPr>
                  </w:pPr>
                  <w:r>
                    <w:rPr>
                      <w:rFonts w:ascii="Times New Roman"/>
                      <w:sz w:val="21"/>
                      <w:szCs w:val="21"/>
                    </w:rPr>
                    <w:t>保护级别</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96" w:hRule="exact"/>
              </w:trPr>
              <w:tc>
                <w:tcPr>
                  <w:tcW w:w="1056" w:type="dxa"/>
                  <w:vMerge w:val="restart"/>
                  <w:vAlign w:val="center"/>
                </w:tcPr>
                <w:p>
                  <w:pPr>
                    <w:tabs>
                      <w:tab w:val="center" w:pos="4153"/>
                      <w:tab w:val="right" w:pos="8306"/>
                    </w:tabs>
                    <w:snapToGrid w:val="0"/>
                    <w:spacing w:line="240" w:lineRule="atLeast"/>
                    <w:jc w:val="center"/>
                    <w:rPr>
                      <w:rFonts w:ascii="Times New Roman" w:hAnsi="Times New Roman"/>
                      <w:sz w:val="21"/>
                      <w:szCs w:val="21"/>
                    </w:rPr>
                  </w:pPr>
                  <w:r>
                    <w:rPr>
                      <w:rFonts w:ascii="Times New Roman"/>
                      <w:sz w:val="21"/>
                      <w:szCs w:val="21"/>
                    </w:rPr>
                    <w:t>环境空气</w:t>
                  </w:r>
                </w:p>
              </w:tc>
              <w:tc>
                <w:tcPr>
                  <w:tcW w:w="1906" w:type="dxa"/>
                  <w:shd w:val="clear" w:color="auto" w:fill="auto"/>
                  <w:vAlign w:val="center"/>
                </w:tcPr>
                <w:p>
                  <w:pPr>
                    <w:widowControl/>
                    <w:jc w:val="center"/>
                    <w:rPr>
                      <w:rFonts w:cs="宋体"/>
                      <w:kern w:val="0"/>
                      <w:sz w:val="21"/>
                      <w:szCs w:val="21"/>
                    </w:rPr>
                  </w:pPr>
                  <w:r>
                    <w:rPr>
                      <w:rFonts w:hint="eastAsia" w:cs="宋体"/>
                      <w:kern w:val="0"/>
                      <w:sz w:val="21"/>
                      <w:szCs w:val="21"/>
                    </w:rPr>
                    <w:t>柴李村</w:t>
                  </w:r>
                </w:p>
              </w:tc>
              <w:tc>
                <w:tcPr>
                  <w:tcW w:w="709" w:type="dxa"/>
                  <w:shd w:val="clear" w:color="auto" w:fill="auto"/>
                  <w:vAlign w:val="center"/>
                </w:tcPr>
                <w:p>
                  <w:pPr>
                    <w:widowControl/>
                    <w:jc w:val="center"/>
                    <w:rPr>
                      <w:rFonts w:ascii="Times New Roman" w:hAnsi="Times New Roman"/>
                      <w:kern w:val="0"/>
                      <w:sz w:val="21"/>
                      <w:szCs w:val="21"/>
                    </w:rPr>
                  </w:pPr>
                  <w:r>
                    <w:rPr>
                      <w:rFonts w:ascii="Times New Roman" w:hAnsi="Times New Roman"/>
                      <w:kern w:val="0"/>
                      <w:sz w:val="21"/>
                      <w:szCs w:val="21"/>
                    </w:rPr>
                    <w:t>NE</w:t>
                  </w:r>
                </w:p>
              </w:tc>
              <w:tc>
                <w:tcPr>
                  <w:tcW w:w="1276" w:type="dxa"/>
                  <w:shd w:val="clear" w:color="auto" w:fill="auto"/>
                  <w:vAlign w:val="center"/>
                </w:tcPr>
                <w:p>
                  <w:pPr>
                    <w:widowControl/>
                    <w:jc w:val="center"/>
                    <w:rPr>
                      <w:rFonts w:ascii="Times New Roman" w:hAnsi="Times New Roman"/>
                      <w:kern w:val="0"/>
                      <w:sz w:val="21"/>
                      <w:szCs w:val="21"/>
                    </w:rPr>
                  </w:pPr>
                  <w:r>
                    <w:rPr>
                      <w:rFonts w:hint="eastAsia" w:ascii="Times New Roman" w:hAnsi="Times New Roman"/>
                      <w:kern w:val="0"/>
                      <w:sz w:val="21"/>
                      <w:szCs w:val="21"/>
                    </w:rPr>
                    <w:t>31</w:t>
                  </w:r>
                  <w:r>
                    <w:rPr>
                      <w:rFonts w:ascii="Times New Roman" w:hAnsi="Times New Roman"/>
                      <w:kern w:val="0"/>
                      <w:sz w:val="21"/>
                      <w:szCs w:val="21"/>
                    </w:rPr>
                    <w:t>0</w:t>
                  </w:r>
                </w:p>
              </w:tc>
              <w:tc>
                <w:tcPr>
                  <w:tcW w:w="4677" w:type="dxa"/>
                  <w:vMerge w:val="restart"/>
                  <w:vAlign w:val="center"/>
                </w:tcPr>
                <w:p>
                  <w:pPr>
                    <w:tabs>
                      <w:tab w:val="center" w:pos="4153"/>
                      <w:tab w:val="right" w:pos="8306"/>
                    </w:tabs>
                    <w:snapToGrid w:val="0"/>
                    <w:spacing w:line="240" w:lineRule="atLeast"/>
                    <w:jc w:val="center"/>
                    <w:rPr>
                      <w:rFonts w:ascii="Times New Roman" w:hAnsi="Times New Roman"/>
                      <w:sz w:val="21"/>
                      <w:szCs w:val="21"/>
                    </w:rPr>
                  </w:pPr>
                  <w:r>
                    <w:rPr>
                      <w:rFonts w:hint="eastAsia" w:ascii="Times New Roman" w:hAnsi="Times New Roman"/>
                      <w:sz w:val="21"/>
                      <w:szCs w:val="21"/>
                    </w:rPr>
                    <w:t>《环境空气质量标准》（</w:t>
                  </w:r>
                  <w:r>
                    <w:rPr>
                      <w:rFonts w:ascii="Times New Roman" w:hAnsi="Times New Roman"/>
                      <w:sz w:val="21"/>
                      <w:szCs w:val="21"/>
                    </w:rPr>
                    <w:t>GB3095-2012）</w:t>
                  </w:r>
                </w:p>
                <w:p>
                  <w:pPr>
                    <w:tabs>
                      <w:tab w:val="center" w:pos="4153"/>
                      <w:tab w:val="right" w:pos="8306"/>
                    </w:tabs>
                    <w:snapToGrid w:val="0"/>
                    <w:spacing w:line="240" w:lineRule="atLeast"/>
                    <w:jc w:val="center"/>
                    <w:rPr>
                      <w:rFonts w:ascii="Times New Roman" w:hAnsi="Times New Roman"/>
                      <w:sz w:val="21"/>
                      <w:szCs w:val="21"/>
                    </w:rPr>
                  </w:pPr>
                  <w:r>
                    <w:rPr>
                      <w:rFonts w:hint="eastAsia" w:ascii="Times New Roman" w:hAnsi="Times New Roman"/>
                      <w:sz w:val="21"/>
                      <w:szCs w:val="21"/>
                    </w:rPr>
                    <w:t>及其修改单</w:t>
                  </w:r>
                  <w:r>
                    <w:rPr>
                      <w:rFonts w:ascii="Times New Roman" w:hAnsi="Times New Roman"/>
                      <w:sz w:val="21"/>
                      <w:szCs w:val="21"/>
                    </w:rPr>
                    <w:t>二级标准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88" w:hRule="exact"/>
              </w:trPr>
              <w:tc>
                <w:tcPr>
                  <w:tcW w:w="1056" w:type="dxa"/>
                  <w:vMerge w:val="continue"/>
                  <w:vAlign w:val="center"/>
                </w:tcPr>
                <w:p>
                  <w:pPr>
                    <w:tabs>
                      <w:tab w:val="center" w:pos="4153"/>
                      <w:tab w:val="right" w:pos="8306"/>
                    </w:tabs>
                    <w:snapToGrid w:val="0"/>
                    <w:spacing w:line="240" w:lineRule="atLeast"/>
                    <w:jc w:val="center"/>
                    <w:rPr>
                      <w:rFonts w:ascii="Times New Roman"/>
                      <w:sz w:val="21"/>
                      <w:szCs w:val="21"/>
                    </w:rPr>
                  </w:pPr>
                </w:p>
              </w:tc>
              <w:tc>
                <w:tcPr>
                  <w:tcW w:w="1906" w:type="dxa"/>
                  <w:shd w:val="clear" w:color="auto" w:fill="auto"/>
                  <w:vAlign w:val="center"/>
                </w:tcPr>
                <w:p>
                  <w:pPr>
                    <w:widowControl/>
                    <w:jc w:val="center"/>
                    <w:rPr>
                      <w:rFonts w:cs="宋体"/>
                      <w:kern w:val="0"/>
                      <w:sz w:val="21"/>
                      <w:szCs w:val="21"/>
                    </w:rPr>
                  </w:pPr>
                  <w:r>
                    <w:rPr>
                      <w:rFonts w:hint="eastAsia" w:cs="宋体"/>
                      <w:kern w:val="0"/>
                      <w:sz w:val="21"/>
                      <w:szCs w:val="21"/>
                    </w:rPr>
                    <w:t>黑石村</w:t>
                  </w:r>
                </w:p>
              </w:tc>
              <w:tc>
                <w:tcPr>
                  <w:tcW w:w="709" w:type="dxa"/>
                  <w:shd w:val="clear" w:color="auto" w:fill="auto"/>
                  <w:vAlign w:val="center"/>
                </w:tcPr>
                <w:p>
                  <w:pPr>
                    <w:widowControl/>
                    <w:jc w:val="center"/>
                    <w:rPr>
                      <w:rFonts w:ascii="Times New Roman" w:hAnsi="Times New Roman"/>
                      <w:kern w:val="0"/>
                      <w:sz w:val="21"/>
                      <w:szCs w:val="21"/>
                    </w:rPr>
                  </w:pPr>
                  <w:r>
                    <w:rPr>
                      <w:rFonts w:hint="eastAsia" w:ascii="Times New Roman" w:hAnsi="Times New Roman"/>
                      <w:kern w:val="0"/>
                      <w:sz w:val="21"/>
                      <w:szCs w:val="21"/>
                    </w:rPr>
                    <w:t>W</w:t>
                  </w:r>
                </w:p>
              </w:tc>
              <w:tc>
                <w:tcPr>
                  <w:tcW w:w="1276" w:type="dxa"/>
                  <w:shd w:val="clear" w:color="auto" w:fill="auto"/>
                  <w:vAlign w:val="center"/>
                </w:tcPr>
                <w:p>
                  <w:pPr>
                    <w:widowControl/>
                    <w:jc w:val="center"/>
                    <w:rPr>
                      <w:rFonts w:ascii="Times New Roman" w:hAnsi="Times New Roman"/>
                      <w:kern w:val="0"/>
                      <w:sz w:val="21"/>
                      <w:szCs w:val="21"/>
                    </w:rPr>
                  </w:pPr>
                  <w:r>
                    <w:rPr>
                      <w:rFonts w:hint="eastAsia" w:ascii="Times New Roman" w:hAnsi="Times New Roman"/>
                      <w:kern w:val="0"/>
                      <w:sz w:val="21"/>
                      <w:szCs w:val="21"/>
                    </w:rPr>
                    <w:t>97</w:t>
                  </w:r>
                  <w:r>
                    <w:rPr>
                      <w:rFonts w:ascii="Times New Roman" w:hAnsi="Times New Roman"/>
                      <w:kern w:val="0"/>
                      <w:sz w:val="21"/>
                      <w:szCs w:val="21"/>
                    </w:rPr>
                    <w:t>0</w:t>
                  </w:r>
                </w:p>
              </w:tc>
              <w:tc>
                <w:tcPr>
                  <w:tcW w:w="4677" w:type="dxa"/>
                  <w:vMerge w:val="continue"/>
                  <w:vAlign w:val="center"/>
                </w:tcPr>
                <w:p>
                  <w:pPr>
                    <w:tabs>
                      <w:tab w:val="center" w:pos="4153"/>
                      <w:tab w:val="right" w:pos="8306"/>
                    </w:tabs>
                    <w:snapToGrid w:val="0"/>
                    <w:spacing w:line="240" w:lineRule="atLeast"/>
                    <w:jc w:val="center"/>
                    <w:rPr>
                      <w:rFonts w:ascii="Times New Roman" w:hAnsi="Times New Roman"/>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19" w:hRule="exact"/>
              </w:trPr>
              <w:tc>
                <w:tcPr>
                  <w:tcW w:w="1056" w:type="dxa"/>
                  <w:vAlign w:val="center"/>
                </w:tcPr>
                <w:p>
                  <w:pPr>
                    <w:tabs>
                      <w:tab w:val="center" w:pos="4153"/>
                      <w:tab w:val="right" w:pos="8306"/>
                    </w:tabs>
                    <w:snapToGrid w:val="0"/>
                    <w:spacing w:line="240" w:lineRule="atLeast"/>
                    <w:jc w:val="center"/>
                    <w:rPr>
                      <w:rFonts w:ascii="Times New Roman" w:hAnsi="Times New Roman"/>
                      <w:sz w:val="21"/>
                      <w:szCs w:val="21"/>
                    </w:rPr>
                  </w:pPr>
                  <w:r>
                    <w:rPr>
                      <w:rFonts w:ascii="Times New Roman"/>
                      <w:sz w:val="21"/>
                      <w:szCs w:val="21"/>
                    </w:rPr>
                    <w:t>地下水</w:t>
                  </w:r>
                </w:p>
              </w:tc>
              <w:tc>
                <w:tcPr>
                  <w:tcW w:w="3891" w:type="dxa"/>
                  <w:gridSpan w:val="3"/>
                  <w:vAlign w:val="center"/>
                </w:tcPr>
                <w:p>
                  <w:pPr>
                    <w:tabs>
                      <w:tab w:val="center" w:pos="4153"/>
                      <w:tab w:val="right" w:pos="8306"/>
                    </w:tabs>
                    <w:snapToGrid w:val="0"/>
                    <w:spacing w:line="240" w:lineRule="atLeast"/>
                    <w:jc w:val="center"/>
                    <w:rPr>
                      <w:rFonts w:ascii="Times New Roman" w:hAnsi="Times New Roman"/>
                      <w:sz w:val="21"/>
                      <w:szCs w:val="21"/>
                    </w:rPr>
                  </w:pPr>
                  <w:r>
                    <w:rPr>
                      <w:rFonts w:ascii="Times New Roman"/>
                      <w:sz w:val="21"/>
                      <w:szCs w:val="21"/>
                    </w:rPr>
                    <w:t>项目附近地下水</w:t>
                  </w:r>
                </w:p>
              </w:tc>
              <w:tc>
                <w:tcPr>
                  <w:tcW w:w="4677" w:type="dxa"/>
                  <w:vAlign w:val="center"/>
                </w:tcPr>
                <w:p>
                  <w:pPr>
                    <w:tabs>
                      <w:tab w:val="center" w:pos="4153"/>
                      <w:tab w:val="right" w:pos="8306"/>
                    </w:tabs>
                    <w:snapToGrid w:val="0"/>
                    <w:spacing w:line="240" w:lineRule="atLeast"/>
                    <w:jc w:val="center"/>
                    <w:rPr>
                      <w:rFonts w:ascii="Times New Roman" w:hAnsi="Times New Roman"/>
                      <w:sz w:val="21"/>
                      <w:szCs w:val="21"/>
                    </w:rPr>
                  </w:pPr>
                  <w:r>
                    <w:rPr>
                      <w:rFonts w:hint="eastAsia" w:ascii="Times New Roman"/>
                      <w:sz w:val="21"/>
                      <w:szCs w:val="21"/>
                    </w:rPr>
                    <w:t>《地下水质量标准》（</w:t>
                  </w:r>
                  <w:r>
                    <w:rPr>
                      <w:rFonts w:ascii="Times New Roman"/>
                      <w:sz w:val="21"/>
                      <w:szCs w:val="21"/>
                    </w:rPr>
                    <w:t>GB/T14848-2017）Ⅲ类</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13" w:hRule="exact"/>
              </w:trPr>
              <w:tc>
                <w:tcPr>
                  <w:tcW w:w="1056" w:type="dxa"/>
                  <w:vAlign w:val="center"/>
                </w:tcPr>
                <w:p>
                  <w:pPr>
                    <w:tabs>
                      <w:tab w:val="center" w:pos="4153"/>
                      <w:tab w:val="right" w:pos="8306"/>
                    </w:tabs>
                    <w:snapToGrid w:val="0"/>
                    <w:spacing w:line="240" w:lineRule="atLeast"/>
                    <w:jc w:val="center"/>
                    <w:rPr>
                      <w:rFonts w:ascii="Times New Roman"/>
                      <w:sz w:val="21"/>
                      <w:szCs w:val="21"/>
                    </w:rPr>
                  </w:pPr>
                  <w:r>
                    <w:rPr>
                      <w:rFonts w:hint="eastAsia" w:ascii="Times New Roman"/>
                      <w:sz w:val="21"/>
                      <w:szCs w:val="21"/>
                    </w:rPr>
                    <w:t>地表水</w:t>
                  </w:r>
                </w:p>
              </w:tc>
              <w:tc>
                <w:tcPr>
                  <w:tcW w:w="3891" w:type="dxa"/>
                  <w:gridSpan w:val="3"/>
                  <w:vAlign w:val="center"/>
                </w:tcPr>
                <w:p>
                  <w:pPr>
                    <w:tabs>
                      <w:tab w:val="center" w:pos="4153"/>
                      <w:tab w:val="right" w:pos="8306"/>
                    </w:tabs>
                    <w:snapToGrid w:val="0"/>
                    <w:spacing w:line="240" w:lineRule="atLeast"/>
                    <w:jc w:val="center"/>
                    <w:rPr>
                      <w:rFonts w:ascii="Times New Roman"/>
                      <w:sz w:val="21"/>
                      <w:szCs w:val="21"/>
                    </w:rPr>
                  </w:pPr>
                  <w:r>
                    <w:rPr>
                      <w:rFonts w:hint="eastAsia" w:ascii="Times New Roman"/>
                      <w:sz w:val="21"/>
                      <w:szCs w:val="21"/>
                    </w:rPr>
                    <w:t>项目东侧1145m石家河</w:t>
                  </w:r>
                </w:p>
              </w:tc>
              <w:tc>
                <w:tcPr>
                  <w:tcW w:w="4677" w:type="dxa"/>
                  <w:vAlign w:val="center"/>
                </w:tcPr>
                <w:p>
                  <w:pPr>
                    <w:tabs>
                      <w:tab w:val="center" w:pos="4153"/>
                      <w:tab w:val="right" w:pos="8306"/>
                    </w:tabs>
                    <w:snapToGrid w:val="0"/>
                    <w:spacing w:line="240" w:lineRule="atLeast"/>
                    <w:jc w:val="center"/>
                    <w:rPr>
                      <w:rFonts w:ascii="Times New Roman"/>
                      <w:sz w:val="21"/>
                      <w:szCs w:val="21"/>
                    </w:rPr>
                  </w:pPr>
                  <w:r>
                    <w:rPr>
                      <w:rFonts w:ascii="Times New Roman"/>
                      <w:sz w:val="21"/>
                      <w:szCs w:val="21"/>
                    </w:rPr>
                    <w:t>《地表水环境质量标准》(GB3838-2002)中</w:t>
                  </w:r>
                  <w:r>
                    <w:rPr>
                      <w:rFonts w:ascii="Times New Roman" w:hAnsi="Times New Roman"/>
                      <w:sz w:val="21"/>
                      <w:szCs w:val="21"/>
                    </w:rPr>
                    <w:t>Ⅲ</w:t>
                  </w:r>
                  <w:r>
                    <w:rPr>
                      <w:rFonts w:ascii="Times New Roman"/>
                      <w:sz w:val="21"/>
                      <w:szCs w:val="21"/>
                    </w:rPr>
                    <w:t>类标准要求</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13" w:hRule="exact"/>
              </w:trPr>
              <w:tc>
                <w:tcPr>
                  <w:tcW w:w="1056" w:type="dxa"/>
                  <w:vAlign w:val="center"/>
                </w:tcPr>
                <w:p>
                  <w:pPr>
                    <w:tabs>
                      <w:tab w:val="center" w:pos="4153"/>
                      <w:tab w:val="right" w:pos="8306"/>
                    </w:tabs>
                    <w:snapToGrid w:val="0"/>
                    <w:spacing w:line="240" w:lineRule="atLeast"/>
                    <w:jc w:val="center"/>
                    <w:rPr>
                      <w:rFonts w:ascii="Times New Roman" w:hAnsi="Times New Roman"/>
                      <w:sz w:val="21"/>
                      <w:szCs w:val="21"/>
                    </w:rPr>
                  </w:pPr>
                  <w:r>
                    <w:rPr>
                      <w:rFonts w:ascii="Times New Roman"/>
                      <w:sz w:val="21"/>
                      <w:szCs w:val="21"/>
                    </w:rPr>
                    <w:t>声环境</w:t>
                  </w:r>
                </w:p>
              </w:tc>
              <w:tc>
                <w:tcPr>
                  <w:tcW w:w="3891" w:type="dxa"/>
                  <w:gridSpan w:val="3"/>
                  <w:vAlign w:val="center"/>
                </w:tcPr>
                <w:p>
                  <w:pPr>
                    <w:tabs>
                      <w:tab w:val="center" w:pos="4153"/>
                      <w:tab w:val="right" w:pos="8306"/>
                    </w:tabs>
                    <w:snapToGrid w:val="0"/>
                    <w:spacing w:line="240" w:lineRule="atLeast"/>
                    <w:jc w:val="center"/>
                    <w:rPr>
                      <w:rFonts w:ascii="Times New Roman" w:hAnsi="Times New Roman"/>
                      <w:sz w:val="21"/>
                      <w:szCs w:val="21"/>
                    </w:rPr>
                  </w:pPr>
                  <w:r>
                    <w:rPr>
                      <w:rFonts w:ascii="Times New Roman"/>
                      <w:sz w:val="21"/>
                      <w:szCs w:val="21"/>
                    </w:rPr>
                    <w:t>项目厂界</w:t>
                  </w:r>
                  <w:r>
                    <w:rPr>
                      <w:rFonts w:hint="eastAsia" w:ascii="Times New Roman"/>
                      <w:sz w:val="21"/>
                      <w:szCs w:val="21"/>
                    </w:rPr>
                    <w:t>外1</w:t>
                  </w:r>
                  <w:r>
                    <w:rPr>
                      <w:rFonts w:ascii="Times New Roman"/>
                      <w:sz w:val="21"/>
                      <w:szCs w:val="21"/>
                    </w:rPr>
                    <w:t>m</w:t>
                  </w:r>
                  <w:r>
                    <w:rPr>
                      <w:rFonts w:hint="eastAsia" w:ascii="Times New Roman"/>
                      <w:sz w:val="21"/>
                      <w:szCs w:val="21"/>
                    </w:rPr>
                    <w:t>及向外扩展</w:t>
                  </w:r>
                  <w:r>
                    <w:rPr>
                      <w:rFonts w:hint="eastAsia" w:ascii="Times New Roman" w:hAnsi="Times New Roman"/>
                      <w:sz w:val="21"/>
                      <w:szCs w:val="21"/>
                    </w:rPr>
                    <w:t>200</w:t>
                  </w:r>
                  <w:r>
                    <w:rPr>
                      <w:rFonts w:ascii="Times New Roman" w:hAnsi="Times New Roman"/>
                      <w:sz w:val="21"/>
                      <w:szCs w:val="21"/>
                    </w:rPr>
                    <w:t>m</w:t>
                  </w:r>
                </w:p>
              </w:tc>
              <w:tc>
                <w:tcPr>
                  <w:tcW w:w="4677" w:type="dxa"/>
                  <w:vAlign w:val="center"/>
                </w:tcPr>
                <w:p>
                  <w:pPr>
                    <w:tabs>
                      <w:tab w:val="center" w:pos="4153"/>
                      <w:tab w:val="right" w:pos="8306"/>
                    </w:tabs>
                    <w:snapToGrid w:val="0"/>
                    <w:spacing w:line="240" w:lineRule="atLeast"/>
                    <w:jc w:val="center"/>
                    <w:rPr>
                      <w:rFonts w:ascii="Times New Roman" w:hAnsi="Times New Roman"/>
                      <w:sz w:val="21"/>
                      <w:szCs w:val="21"/>
                    </w:rPr>
                  </w:pPr>
                  <w:r>
                    <w:rPr>
                      <w:rFonts w:hint="eastAsia" w:ascii="Times New Roman" w:hAnsi="Times New Roman"/>
                      <w:sz w:val="21"/>
                      <w:szCs w:val="21"/>
                    </w:rPr>
                    <w:t>《声环境质量标准》（</w:t>
                  </w:r>
                  <w:r>
                    <w:rPr>
                      <w:rFonts w:ascii="Times New Roman" w:hAnsi="Times New Roman"/>
                      <w:sz w:val="21"/>
                      <w:szCs w:val="21"/>
                    </w:rPr>
                    <w:t>GB3096-2008）3类</w:t>
                  </w:r>
                </w:p>
              </w:tc>
            </w:tr>
          </w:tbl>
          <w:p>
            <w:pPr>
              <w:spacing w:line="360" w:lineRule="auto"/>
              <w:ind w:firstLine="480" w:firstLineChars="200"/>
              <w:textAlignment w:val="baseline"/>
              <w:rPr>
                <w:rFonts w:ascii="Times New Roman" w:hAnsi="Times New Roman"/>
              </w:rPr>
            </w:pPr>
          </w:p>
          <w:p>
            <w:pPr>
              <w:pStyle w:val="67"/>
              <w:rPr>
                <w:rFonts w:ascii="Times New Roman"/>
              </w:rPr>
            </w:pPr>
          </w:p>
          <w:p>
            <w:pPr>
              <w:pStyle w:val="67"/>
              <w:rPr>
                <w:rFonts w:ascii="Times New Roman"/>
              </w:rPr>
            </w:pPr>
          </w:p>
          <w:p>
            <w:pPr>
              <w:pStyle w:val="67"/>
              <w:rPr>
                <w:rFonts w:ascii="Times New Roman"/>
              </w:rPr>
            </w:pPr>
          </w:p>
          <w:p>
            <w:pPr>
              <w:pStyle w:val="67"/>
              <w:rPr>
                <w:rFonts w:ascii="Times New Roman"/>
              </w:rPr>
            </w:pPr>
          </w:p>
          <w:p>
            <w:pPr>
              <w:pStyle w:val="67"/>
              <w:rPr>
                <w:rFonts w:ascii="Times New Roman"/>
              </w:rPr>
            </w:pPr>
          </w:p>
          <w:p>
            <w:pPr>
              <w:pStyle w:val="67"/>
              <w:rPr>
                <w:rFonts w:ascii="Times New Roman"/>
              </w:rPr>
            </w:pPr>
          </w:p>
          <w:p>
            <w:pPr>
              <w:pStyle w:val="67"/>
              <w:rPr>
                <w:rFonts w:ascii="Times New Roman"/>
              </w:rPr>
            </w:pPr>
          </w:p>
          <w:p>
            <w:pPr>
              <w:pStyle w:val="67"/>
              <w:rPr>
                <w:rFonts w:ascii="Times New Roman"/>
              </w:rPr>
            </w:pPr>
          </w:p>
          <w:p>
            <w:pPr>
              <w:pStyle w:val="67"/>
              <w:rPr>
                <w:rFonts w:ascii="Times New Roman"/>
              </w:rPr>
            </w:pPr>
          </w:p>
          <w:p>
            <w:pPr>
              <w:pStyle w:val="67"/>
              <w:rPr>
                <w:rFonts w:ascii="Times New Roman"/>
              </w:rPr>
            </w:pPr>
          </w:p>
          <w:p>
            <w:pPr>
              <w:pStyle w:val="67"/>
              <w:rPr>
                <w:rFonts w:ascii="Times New Roman"/>
              </w:rPr>
            </w:pPr>
          </w:p>
          <w:p>
            <w:pPr>
              <w:spacing w:line="360" w:lineRule="auto"/>
              <w:ind w:firstLine="480" w:firstLineChars="200"/>
              <w:textAlignment w:val="baseline"/>
              <w:rPr>
                <w:rFonts w:ascii="Times New Roman" w:hAnsi="Times New Roman"/>
              </w:rPr>
            </w:pPr>
          </w:p>
        </w:tc>
      </w:tr>
    </w:tbl>
    <w:p>
      <w:pPr>
        <w:spacing w:line="340" w:lineRule="exact"/>
        <w:jc w:val="center"/>
        <w:rPr>
          <w:rFonts w:ascii="Times New Roman" w:hAnsi="Times New Roman"/>
          <w:spacing w:val="20"/>
        </w:rPr>
        <w:sectPr>
          <w:pgSz w:w="11906" w:h="16838"/>
          <w:pgMar w:top="1440" w:right="964" w:bottom="1440" w:left="964" w:header="851" w:footer="992" w:gutter="397"/>
          <w:cols w:space="720" w:num="1"/>
          <w:docGrid w:linePitch="312" w:charSpace="0"/>
        </w:sectPr>
      </w:pPr>
    </w:p>
    <w:p>
      <w:pPr>
        <w:pStyle w:val="3"/>
        <w:spacing w:before="0" w:after="0" w:line="360" w:lineRule="auto"/>
        <w:rPr>
          <w:rFonts w:ascii="Times New Roman" w:hAnsi="Times New Roman" w:eastAsia="黑体"/>
          <w:b w:val="0"/>
          <w:sz w:val="28"/>
          <w:szCs w:val="28"/>
        </w:rPr>
      </w:pPr>
      <w:r>
        <w:rPr>
          <w:rFonts w:ascii="Times New Roman" w:hAnsi="Times New Roman" w:eastAsia="黑体"/>
          <w:b w:val="0"/>
          <w:sz w:val="28"/>
          <w:szCs w:val="28"/>
        </w:rPr>
        <w:t>评价适用标准</w:t>
      </w:r>
    </w:p>
    <w:tbl>
      <w:tblPr>
        <w:tblStyle w:val="30"/>
        <w:tblW w:w="9689"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6"/>
        <w:gridCol w:w="88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624" w:hRule="atLeast"/>
        </w:trPr>
        <w:tc>
          <w:tcPr>
            <w:tcW w:w="836" w:type="dxa"/>
            <w:vAlign w:val="center"/>
          </w:tcPr>
          <w:p>
            <w:pPr>
              <w:spacing w:line="360" w:lineRule="auto"/>
              <w:jc w:val="center"/>
              <w:rPr>
                <w:rFonts w:ascii="Times New Roman" w:hAnsi="Times New Roman"/>
                <w:kern w:val="2"/>
                <w:sz w:val="28"/>
                <w:szCs w:val="24"/>
              </w:rPr>
            </w:pPr>
            <w:r>
              <w:rPr>
                <w:rFonts w:hint="eastAsia" w:ascii="Times New Roman" w:hAnsi="Times New Roman"/>
                <w:kern w:val="2"/>
                <w:sz w:val="28"/>
                <w:szCs w:val="24"/>
              </w:rPr>
              <w:t>环</w:t>
            </w:r>
          </w:p>
          <w:p>
            <w:pPr>
              <w:spacing w:line="360" w:lineRule="auto"/>
              <w:jc w:val="center"/>
              <w:rPr>
                <w:rFonts w:ascii="Times New Roman" w:hAnsi="Times New Roman"/>
                <w:kern w:val="2"/>
                <w:sz w:val="28"/>
                <w:szCs w:val="24"/>
              </w:rPr>
            </w:pPr>
            <w:r>
              <w:rPr>
                <w:rFonts w:hint="eastAsia" w:ascii="Times New Roman" w:hAnsi="Times New Roman"/>
                <w:kern w:val="2"/>
                <w:sz w:val="28"/>
                <w:szCs w:val="24"/>
              </w:rPr>
              <w:t>境</w:t>
            </w:r>
          </w:p>
          <w:p>
            <w:pPr>
              <w:spacing w:line="360" w:lineRule="auto"/>
              <w:jc w:val="center"/>
              <w:rPr>
                <w:rFonts w:ascii="Times New Roman" w:hAnsi="Times New Roman"/>
                <w:kern w:val="2"/>
                <w:sz w:val="28"/>
                <w:szCs w:val="24"/>
              </w:rPr>
            </w:pPr>
            <w:r>
              <w:rPr>
                <w:rFonts w:hint="eastAsia" w:ascii="Times New Roman" w:hAnsi="Times New Roman"/>
                <w:kern w:val="2"/>
                <w:sz w:val="28"/>
                <w:szCs w:val="24"/>
              </w:rPr>
              <w:t>质</w:t>
            </w:r>
          </w:p>
          <w:p>
            <w:pPr>
              <w:spacing w:line="360" w:lineRule="auto"/>
              <w:jc w:val="center"/>
              <w:rPr>
                <w:rFonts w:ascii="Times New Roman" w:hAnsi="Times New Roman"/>
                <w:kern w:val="2"/>
                <w:sz w:val="28"/>
                <w:szCs w:val="24"/>
              </w:rPr>
            </w:pPr>
            <w:r>
              <w:rPr>
                <w:rFonts w:hint="eastAsia" w:ascii="Times New Roman" w:hAnsi="Times New Roman"/>
                <w:kern w:val="2"/>
                <w:sz w:val="28"/>
                <w:szCs w:val="24"/>
              </w:rPr>
              <w:t>量</w:t>
            </w:r>
          </w:p>
          <w:p>
            <w:pPr>
              <w:spacing w:line="360" w:lineRule="auto"/>
              <w:jc w:val="center"/>
              <w:rPr>
                <w:rFonts w:ascii="Times New Roman" w:hAnsi="Times New Roman"/>
                <w:kern w:val="2"/>
                <w:sz w:val="28"/>
                <w:szCs w:val="24"/>
              </w:rPr>
            </w:pPr>
            <w:r>
              <w:rPr>
                <w:rFonts w:hint="eastAsia" w:ascii="Times New Roman" w:hAnsi="Times New Roman"/>
                <w:kern w:val="2"/>
                <w:sz w:val="28"/>
                <w:szCs w:val="24"/>
              </w:rPr>
              <w:t>标</w:t>
            </w:r>
          </w:p>
          <w:p>
            <w:pPr>
              <w:spacing w:line="360" w:lineRule="auto"/>
              <w:jc w:val="center"/>
              <w:rPr>
                <w:rFonts w:ascii="Times New Roman" w:hAnsi="Times New Roman"/>
                <w:kern w:val="2"/>
                <w:sz w:val="28"/>
                <w:szCs w:val="24"/>
              </w:rPr>
            </w:pPr>
            <w:r>
              <w:rPr>
                <w:rFonts w:hint="eastAsia" w:ascii="Times New Roman" w:hAnsi="Times New Roman"/>
                <w:kern w:val="2"/>
                <w:sz w:val="28"/>
                <w:szCs w:val="24"/>
              </w:rPr>
              <w:t>准</w:t>
            </w:r>
          </w:p>
          <w:p>
            <w:pPr>
              <w:spacing w:line="240" w:lineRule="exact"/>
              <w:jc w:val="center"/>
              <w:rPr>
                <w:rFonts w:ascii="Times New Roman" w:hAnsi="Times New Roman"/>
                <w:spacing w:val="20"/>
              </w:rPr>
            </w:pPr>
          </w:p>
        </w:tc>
        <w:tc>
          <w:tcPr>
            <w:tcW w:w="8853" w:type="dxa"/>
            <w:vAlign w:val="center"/>
          </w:tcPr>
          <w:p>
            <w:pPr>
              <w:spacing w:line="360" w:lineRule="auto"/>
              <w:jc w:val="left"/>
              <w:rPr>
                <w:rFonts w:ascii="Times New Roman" w:hAnsi="Times New Roman"/>
                <w:kern w:val="2"/>
                <w:szCs w:val="24"/>
              </w:rPr>
            </w:pPr>
            <w:r>
              <w:rPr>
                <w:rFonts w:hint="eastAsia" w:ascii="Times New Roman" w:hAnsi="Times New Roman"/>
              </w:rPr>
              <w:t xml:space="preserve"> </w:t>
            </w:r>
            <w:r>
              <w:rPr>
                <w:rFonts w:ascii="Times New Roman" w:hAnsi="Times New Roman"/>
                <w:kern w:val="2"/>
                <w:szCs w:val="24"/>
              </w:rPr>
              <w:t>1</w:t>
            </w:r>
            <w:r>
              <w:rPr>
                <w:rFonts w:hint="eastAsia" w:ascii="Times New Roman" w:hAnsi="Times New Roman"/>
                <w:kern w:val="2"/>
                <w:szCs w:val="24"/>
              </w:rPr>
              <w:t>、《环境空气质量标准》（GB3095-</w:t>
            </w:r>
            <w:r>
              <w:rPr>
                <w:rFonts w:ascii="Times New Roman" w:hAnsi="Times New Roman"/>
                <w:kern w:val="2"/>
                <w:szCs w:val="24"/>
              </w:rPr>
              <w:t>2012</w:t>
            </w:r>
            <w:r>
              <w:rPr>
                <w:rFonts w:hint="eastAsia" w:ascii="Times New Roman" w:hAnsi="Times New Roman"/>
                <w:kern w:val="2"/>
                <w:szCs w:val="24"/>
              </w:rPr>
              <w:t>）及其修改单二级标准；</w:t>
            </w:r>
          </w:p>
          <w:p>
            <w:pPr>
              <w:widowControl/>
              <w:spacing w:line="360" w:lineRule="auto"/>
              <w:jc w:val="center"/>
              <w:rPr>
                <w:rFonts w:ascii="黑体" w:hAnsi="黑体" w:eastAsia="黑体"/>
              </w:rPr>
            </w:pPr>
            <w:r>
              <w:rPr>
                <w:rFonts w:hint="eastAsia" w:ascii="黑体" w:hAnsi="黑体" w:eastAsia="黑体"/>
              </w:rPr>
              <w:t>表</w:t>
            </w:r>
            <w:r>
              <w:rPr>
                <w:rFonts w:ascii="黑体" w:hAnsi="黑体" w:eastAsia="黑体"/>
              </w:rPr>
              <w:t>1</w:t>
            </w:r>
            <w:r>
              <w:rPr>
                <w:rFonts w:hint="eastAsia" w:ascii="黑体" w:hAnsi="黑体" w:eastAsia="黑体"/>
              </w:rPr>
              <w:t>2</w:t>
            </w:r>
            <w:r>
              <w:rPr>
                <w:rFonts w:ascii="黑体" w:hAnsi="黑体" w:eastAsia="黑体"/>
              </w:rPr>
              <w:t xml:space="preserve"> </w:t>
            </w:r>
            <w:r>
              <w:rPr>
                <w:rFonts w:hint="eastAsia" w:ascii="黑体" w:hAnsi="黑体" w:eastAsia="黑体"/>
              </w:rPr>
              <w:t>环境空气质量二级标准（摘录）（单位：mg/m</w:t>
            </w:r>
            <w:r>
              <w:rPr>
                <w:rFonts w:hint="eastAsia" w:ascii="黑体" w:hAnsi="黑体" w:eastAsia="黑体"/>
                <w:vertAlign w:val="superscript"/>
              </w:rPr>
              <w:t>3</w:t>
            </w:r>
            <w:r>
              <w:rPr>
                <w:rFonts w:hint="eastAsia" w:ascii="黑体" w:hAnsi="黑体" w:eastAsia="黑体"/>
              </w:rPr>
              <w:t>）</w:t>
            </w:r>
          </w:p>
          <w:tbl>
            <w:tblPr>
              <w:tblStyle w:val="30"/>
              <w:tblW w:w="862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6"/>
              <w:gridCol w:w="1339"/>
              <w:gridCol w:w="2153"/>
              <w:gridCol w:w="2352"/>
              <w:gridCol w:w="18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53" w:hRule="atLeast"/>
              </w:trPr>
              <w:tc>
                <w:tcPr>
                  <w:tcW w:w="956" w:type="dxa"/>
                  <w:vMerge w:val="restart"/>
                  <w:tcBorders>
                    <w:top w:val="single" w:color="auto" w:sz="4" w:space="0"/>
                    <w:left w:val="single" w:color="auto" w:sz="4" w:space="0"/>
                    <w:bottom w:val="single" w:color="auto" w:sz="4" w:space="0"/>
                    <w:right w:val="single" w:color="auto" w:sz="4" w:space="0"/>
                  </w:tcBorders>
                </w:tcPr>
                <w:p>
                  <w:pPr>
                    <w:jc w:val="center"/>
                    <w:rPr>
                      <w:rFonts w:ascii="Times New Roman" w:hAnsi="Times New Roman"/>
                      <w:sz w:val="21"/>
                      <w:szCs w:val="21"/>
                    </w:rPr>
                  </w:pPr>
                  <w:r>
                    <w:rPr>
                      <w:rFonts w:ascii="Times New Roman" w:hAnsi="Times New Roman"/>
                      <w:sz w:val="21"/>
                      <w:szCs w:val="21"/>
                    </w:rPr>
                    <w:t>序号</w:t>
                  </w:r>
                </w:p>
              </w:tc>
              <w:tc>
                <w:tcPr>
                  <w:tcW w:w="1339" w:type="dxa"/>
                  <w:vMerge w:val="restart"/>
                  <w:tcBorders>
                    <w:top w:val="single" w:color="auto" w:sz="4" w:space="0"/>
                    <w:left w:val="single" w:color="auto" w:sz="4" w:space="0"/>
                    <w:bottom w:val="single" w:color="auto" w:sz="4" w:space="0"/>
                    <w:right w:val="single" w:color="auto" w:sz="4" w:space="0"/>
                  </w:tcBorders>
                </w:tcPr>
                <w:p>
                  <w:pPr>
                    <w:jc w:val="center"/>
                    <w:rPr>
                      <w:rFonts w:ascii="Times New Roman" w:hAnsi="Times New Roman"/>
                      <w:sz w:val="21"/>
                      <w:szCs w:val="21"/>
                    </w:rPr>
                  </w:pPr>
                  <w:r>
                    <w:rPr>
                      <w:rFonts w:ascii="Times New Roman" w:hAnsi="Times New Roman"/>
                      <w:sz w:val="21"/>
                      <w:szCs w:val="21"/>
                    </w:rPr>
                    <w:t>污染物</w:t>
                  </w:r>
                </w:p>
              </w:tc>
              <w:tc>
                <w:tcPr>
                  <w:tcW w:w="6332" w:type="dxa"/>
                  <w:gridSpan w:val="3"/>
                  <w:tcBorders>
                    <w:top w:val="single" w:color="auto" w:sz="4" w:space="0"/>
                    <w:left w:val="single" w:color="auto" w:sz="4" w:space="0"/>
                    <w:bottom w:val="single" w:color="auto" w:sz="4" w:space="0"/>
                    <w:right w:val="single" w:color="auto" w:sz="4" w:space="0"/>
                  </w:tcBorders>
                </w:tcPr>
                <w:p>
                  <w:pPr>
                    <w:jc w:val="center"/>
                    <w:rPr>
                      <w:rFonts w:ascii="Times New Roman" w:hAnsi="Times New Roman"/>
                      <w:sz w:val="21"/>
                      <w:szCs w:val="21"/>
                    </w:rPr>
                  </w:pPr>
                  <w:r>
                    <w:rPr>
                      <w:rFonts w:ascii="Times New Roman" w:hAnsi="Times New Roman"/>
                      <w:sz w:val="21"/>
                      <w:szCs w:val="21"/>
                    </w:rPr>
                    <w:t>浓度限值（mg/m</w:t>
                  </w:r>
                  <w:r>
                    <w:rPr>
                      <w:rFonts w:ascii="Times New Roman" w:hAnsi="Times New Roman"/>
                      <w:sz w:val="21"/>
                      <w:szCs w:val="21"/>
                      <w:vertAlign w:val="superscript"/>
                    </w:rPr>
                    <w:t>3</w:t>
                  </w:r>
                  <w:r>
                    <w:rPr>
                      <w:rFonts w:ascii="Times New Roman" w:hAnsi="Times New Roman"/>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0" w:hRule="atLeast"/>
              </w:trPr>
              <w:tc>
                <w:tcPr>
                  <w:tcW w:w="95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sz w:val="21"/>
                      <w:szCs w:val="21"/>
                    </w:rPr>
                  </w:pPr>
                </w:p>
              </w:tc>
              <w:tc>
                <w:tcPr>
                  <w:tcW w:w="1339"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Times New Roman" w:hAnsi="Times New Roman"/>
                      <w:sz w:val="21"/>
                      <w:szCs w:val="21"/>
                    </w:rPr>
                  </w:pPr>
                </w:p>
              </w:tc>
              <w:tc>
                <w:tcPr>
                  <w:tcW w:w="2153"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sz w:val="21"/>
                      <w:szCs w:val="21"/>
                    </w:rPr>
                  </w:pPr>
                  <w:r>
                    <w:rPr>
                      <w:rFonts w:ascii="Times New Roman" w:hAnsi="Times New Roman"/>
                      <w:sz w:val="21"/>
                      <w:szCs w:val="21"/>
                    </w:rPr>
                    <w:t>1小时平均</w:t>
                  </w:r>
                </w:p>
              </w:tc>
              <w:tc>
                <w:tcPr>
                  <w:tcW w:w="2352"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sz w:val="21"/>
                      <w:szCs w:val="21"/>
                    </w:rPr>
                  </w:pPr>
                  <w:r>
                    <w:rPr>
                      <w:rFonts w:ascii="Times New Roman" w:hAnsi="Times New Roman"/>
                      <w:sz w:val="21"/>
                      <w:szCs w:val="21"/>
                    </w:rPr>
                    <w:t>日平均</w:t>
                  </w:r>
                </w:p>
              </w:tc>
              <w:tc>
                <w:tcPr>
                  <w:tcW w:w="1827"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sz w:val="21"/>
                      <w:szCs w:val="21"/>
                    </w:rPr>
                  </w:pPr>
                  <w:r>
                    <w:rPr>
                      <w:rFonts w:ascii="Times New Roman" w:hAnsi="Times New Roman"/>
                      <w:sz w:val="21"/>
                      <w:szCs w:val="21"/>
                    </w:rPr>
                    <w:t>年平均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0" w:hRule="atLeast"/>
              </w:trPr>
              <w:tc>
                <w:tcPr>
                  <w:tcW w:w="956"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sz w:val="21"/>
                      <w:szCs w:val="21"/>
                    </w:rPr>
                  </w:pPr>
                  <w:r>
                    <w:rPr>
                      <w:rFonts w:ascii="Times New Roman" w:hAnsi="Times New Roman"/>
                      <w:sz w:val="21"/>
                      <w:szCs w:val="21"/>
                    </w:rPr>
                    <w:t>1</w:t>
                  </w:r>
                </w:p>
              </w:tc>
              <w:tc>
                <w:tcPr>
                  <w:tcW w:w="1339"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sz w:val="21"/>
                      <w:szCs w:val="21"/>
                    </w:rPr>
                  </w:pPr>
                  <w:r>
                    <w:rPr>
                      <w:rFonts w:ascii="Times New Roman" w:hAnsi="Times New Roman"/>
                      <w:sz w:val="21"/>
                      <w:szCs w:val="21"/>
                    </w:rPr>
                    <w:t>SO</w:t>
                  </w:r>
                  <w:r>
                    <w:rPr>
                      <w:rFonts w:ascii="Times New Roman" w:hAnsi="Times New Roman"/>
                      <w:sz w:val="21"/>
                      <w:szCs w:val="21"/>
                      <w:vertAlign w:val="subscript"/>
                    </w:rPr>
                    <w:t>2</w:t>
                  </w:r>
                </w:p>
              </w:tc>
              <w:tc>
                <w:tcPr>
                  <w:tcW w:w="2153"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sz w:val="21"/>
                      <w:szCs w:val="21"/>
                    </w:rPr>
                  </w:pPr>
                  <w:r>
                    <w:rPr>
                      <w:rFonts w:ascii="Times New Roman" w:hAnsi="Times New Roman"/>
                      <w:sz w:val="21"/>
                      <w:szCs w:val="21"/>
                    </w:rPr>
                    <w:t>0.5</w:t>
                  </w:r>
                </w:p>
              </w:tc>
              <w:tc>
                <w:tcPr>
                  <w:tcW w:w="2352"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sz w:val="21"/>
                      <w:szCs w:val="21"/>
                    </w:rPr>
                  </w:pPr>
                  <w:r>
                    <w:rPr>
                      <w:rFonts w:ascii="Times New Roman" w:hAnsi="Times New Roman"/>
                      <w:sz w:val="21"/>
                      <w:szCs w:val="21"/>
                    </w:rPr>
                    <w:t>0.15</w:t>
                  </w:r>
                </w:p>
              </w:tc>
              <w:tc>
                <w:tcPr>
                  <w:tcW w:w="1827"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sz w:val="21"/>
                      <w:szCs w:val="21"/>
                    </w:rPr>
                  </w:pPr>
                  <w:r>
                    <w:rPr>
                      <w:rFonts w:ascii="Times New Roman" w:hAnsi="Times New Roman"/>
                      <w:sz w:val="21"/>
                      <w:szCs w:val="21"/>
                    </w:rPr>
                    <w:t>0.06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0" w:hRule="atLeast"/>
              </w:trPr>
              <w:tc>
                <w:tcPr>
                  <w:tcW w:w="956"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sz w:val="21"/>
                      <w:szCs w:val="21"/>
                    </w:rPr>
                  </w:pPr>
                  <w:r>
                    <w:rPr>
                      <w:rFonts w:ascii="Times New Roman" w:hAnsi="Times New Roman"/>
                      <w:sz w:val="21"/>
                      <w:szCs w:val="21"/>
                    </w:rPr>
                    <w:t>2</w:t>
                  </w:r>
                </w:p>
              </w:tc>
              <w:tc>
                <w:tcPr>
                  <w:tcW w:w="1339"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sz w:val="21"/>
                      <w:szCs w:val="21"/>
                    </w:rPr>
                  </w:pPr>
                  <w:r>
                    <w:rPr>
                      <w:rFonts w:ascii="Times New Roman" w:hAnsi="Times New Roman"/>
                      <w:sz w:val="21"/>
                      <w:szCs w:val="21"/>
                    </w:rPr>
                    <w:t>NO</w:t>
                  </w:r>
                  <w:r>
                    <w:rPr>
                      <w:rFonts w:ascii="Times New Roman" w:hAnsi="Times New Roman"/>
                      <w:sz w:val="21"/>
                      <w:szCs w:val="21"/>
                      <w:vertAlign w:val="subscript"/>
                    </w:rPr>
                    <w:t>2</w:t>
                  </w:r>
                </w:p>
              </w:tc>
              <w:tc>
                <w:tcPr>
                  <w:tcW w:w="2153"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sz w:val="21"/>
                      <w:szCs w:val="21"/>
                    </w:rPr>
                  </w:pPr>
                  <w:r>
                    <w:rPr>
                      <w:rFonts w:ascii="Times New Roman" w:hAnsi="Times New Roman"/>
                      <w:sz w:val="21"/>
                      <w:szCs w:val="21"/>
                    </w:rPr>
                    <w:t>0.2</w:t>
                  </w:r>
                </w:p>
              </w:tc>
              <w:tc>
                <w:tcPr>
                  <w:tcW w:w="2352"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sz w:val="21"/>
                      <w:szCs w:val="21"/>
                    </w:rPr>
                  </w:pPr>
                  <w:r>
                    <w:rPr>
                      <w:rFonts w:ascii="Times New Roman" w:hAnsi="Times New Roman"/>
                      <w:sz w:val="21"/>
                      <w:szCs w:val="21"/>
                    </w:rPr>
                    <w:t>0.08</w:t>
                  </w:r>
                </w:p>
              </w:tc>
              <w:tc>
                <w:tcPr>
                  <w:tcW w:w="1827"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sz w:val="21"/>
                      <w:szCs w:val="21"/>
                    </w:rPr>
                  </w:pPr>
                  <w:r>
                    <w:rPr>
                      <w:rFonts w:ascii="Times New Roman" w:hAnsi="Times New Roman"/>
                      <w:sz w:val="21"/>
                      <w:szCs w:val="21"/>
                    </w:rPr>
                    <w:t>0.04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0" w:hRule="atLeast"/>
              </w:trPr>
              <w:tc>
                <w:tcPr>
                  <w:tcW w:w="956"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sz w:val="21"/>
                      <w:szCs w:val="21"/>
                    </w:rPr>
                  </w:pPr>
                  <w:r>
                    <w:rPr>
                      <w:rFonts w:ascii="Times New Roman" w:hAnsi="Times New Roman"/>
                      <w:sz w:val="21"/>
                      <w:szCs w:val="21"/>
                    </w:rPr>
                    <w:t>3</w:t>
                  </w:r>
                </w:p>
              </w:tc>
              <w:tc>
                <w:tcPr>
                  <w:tcW w:w="1339"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sz w:val="21"/>
                      <w:szCs w:val="21"/>
                      <w:vertAlign w:val="subscript"/>
                    </w:rPr>
                  </w:pPr>
                  <w:r>
                    <w:rPr>
                      <w:rFonts w:ascii="Times New Roman" w:hAnsi="Times New Roman"/>
                      <w:sz w:val="21"/>
                      <w:szCs w:val="21"/>
                    </w:rPr>
                    <w:t>PM</w:t>
                  </w:r>
                  <w:r>
                    <w:rPr>
                      <w:rFonts w:ascii="Times New Roman" w:hAnsi="Times New Roman"/>
                      <w:sz w:val="21"/>
                      <w:szCs w:val="21"/>
                      <w:vertAlign w:val="subscript"/>
                    </w:rPr>
                    <w:t>10</w:t>
                  </w:r>
                </w:p>
              </w:tc>
              <w:tc>
                <w:tcPr>
                  <w:tcW w:w="2153"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sz w:val="21"/>
                      <w:szCs w:val="21"/>
                    </w:rPr>
                  </w:pPr>
                  <w:r>
                    <w:rPr>
                      <w:rFonts w:ascii="Times New Roman" w:hAnsi="Times New Roman"/>
                      <w:sz w:val="21"/>
                      <w:szCs w:val="21"/>
                    </w:rPr>
                    <w:t>/</w:t>
                  </w:r>
                </w:p>
              </w:tc>
              <w:tc>
                <w:tcPr>
                  <w:tcW w:w="2352"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sz w:val="21"/>
                      <w:szCs w:val="21"/>
                    </w:rPr>
                  </w:pPr>
                  <w:r>
                    <w:rPr>
                      <w:rFonts w:ascii="Times New Roman" w:hAnsi="Times New Roman"/>
                      <w:sz w:val="21"/>
                      <w:szCs w:val="21"/>
                    </w:rPr>
                    <w:t>0.15</w:t>
                  </w:r>
                </w:p>
              </w:tc>
              <w:tc>
                <w:tcPr>
                  <w:tcW w:w="1827"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sz w:val="21"/>
                      <w:szCs w:val="21"/>
                    </w:rPr>
                  </w:pPr>
                  <w:r>
                    <w:rPr>
                      <w:rFonts w:ascii="Times New Roman" w:hAnsi="Times New Roman"/>
                      <w:sz w:val="21"/>
                      <w:szCs w:val="21"/>
                    </w:rPr>
                    <w:t>0.07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0" w:hRule="atLeast"/>
              </w:trPr>
              <w:tc>
                <w:tcPr>
                  <w:tcW w:w="956"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sz w:val="21"/>
                      <w:szCs w:val="21"/>
                    </w:rPr>
                  </w:pPr>
                  <w:r>
                    <w:rPr>
                      <w:rFonts w:ascii="Times New Roman" w:hAnsi="Times New Roman"/>
                      <w:sz w:val="21"/>
                      <w:szCs w:val="21"/>
                    </w:rPr>
                    <w:t>4</w:t>
                  </w:r>
                </w:p>
              </w:tc>
              <w:tc>
                <w:tcPr>
                  <w:tcW w:w="1339"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sz w:val="21"/>
                      <w:szCs w:val="21"/>
                    </w:rPr>
                  </w:pPr>
                  <w:r>
                    <w:rPr>
                      <w:rFonts w:ascii="Times New Roman" w:hAnsi="Times New Roman"/>
                      <w:sz w:val="21"/>
                      <w:szCs w:val="21"/>
                    </w:rPr>
                    <w:t>PM</w:t>
                  </w:r>
                  <w:r>
                    <w:rPr>
                      <w:rFonts w:ascii="Times New Roman" w:hAnsi="Times New Roman"/>
                      <w:sz w:val="21"/>
                      <w:szCs w:val="21"/>
                      <w:vertAlign w:val="subscript"/>
                    </w:rPr>
                    <w:t>2.5</w:t>
                  </w:r>
                </w:p>
              </w:tc>
              <w:tc>
                <w:tcPr>
                  <w:tcW w:w="2153"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sz w:val="21"/>
                      <w:szCs w:val="21"/>
                    </w:rPr>
                  </w:pPr>
                  <w:r>
                    <w:rPr>
                      <w:rFonts w:ascii="Times New Roman" w:hAnsi="Times New Roman"/>
                      <w:sz w:val="21"/>
                      <w:szCs w:val="21"/>
                    </w:rPr>
                    <w:t>/</w:t>
                  </w:r>
                </w:p>
              </w:tc>
              <w:tc>
                <w:tcPr>
                  <w:tcW w:w="2352"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sz w:val="21"/>
                      <w:szCs w:val="21"/>
                    </w:rPr>
                  </w:pPr>
                  <w:r>
                    <w:rPr>
                      <w:rFonts w:ascii="Times New Roman" w:hAnsi="Times New Roman"/>
                      <w:sz w:val="21"/>
                      <w:szCs w:val="21"/>
                    </w:rPr>
                    <w:t>0.075</w:t>
                  </w:r>
                </w:p>
              </w:tc>
              <w:tc>
                <w:tcPr>
                  <w:tcW w:w="1827"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sz w:val="21"/>
                      <w:szCs w:val="21"/>
                    </w:rPr>
                  </w:pPr>
                  <w:r>
                    <w:rPr>
                      <w:rFonts w:ascii="Times New Roman" w:hAnsi="Times New Roman"/>
                      <w:sz w:val="21"/>
                      <w:szCs w:val="21"/>
                    </w:rPr>
                    <w:t>0.035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0" w:hRule="atLeast"/>
              </w:trPr>
              <w:tc>
                <w:tcPr>
                  <w:tcW w:w="956" w:type="dxa"/>
                </w:tcPr>
                <w:p>
                  <w:pPr>
                    <w:jc w:val="center"/>
                    <w:rPr>
                      <w:rFonts w:ascii="Times New Roman" w:hAnsi="Times New Roman"/>
                      <w:sz w:val="21"/>
                      <w:szCs w:val="21"/>
                    </w:rPr>
                  </w:pPr>
                  <w:r>
                    <w:rPr>
                      <w:rFonts w:ascii="Times New Roman" w:hAnsi="Times New Roman"/>
                      <w:sz w:val="21"/>
                      <w:szCs w:val="21"/>
                    </w:rPr>
                    <w:t>5</w:t>
                  </w:r>
                </w:p>
              </w:tc>
              <w:tc>
                <w:tcPr>
                  <w:tcW w:w="1339" w:type="dxa"/>
                </w:tcPr>
                <w:p>
                  <w:pPr>
                    <w:jc w:val="center"/>
                    <w:rPr>
                      <w:rFonts w:ascii="Times New Roman" w:hAnsi="Times New Roman"/>
                      <w:sz w:val="21"/>
                      <w:szCs w:val="21"/>
                    </w:rPr>
                  </w:pPr>
                  <w:r>
                    <w:rPr>
                      <w:rFonts w:ascii="Times New Roman" w:hAnsi="Times New Roman"/>
                      <w:sz w:val="21"/>
                      <w:szCs w:val="21"/>
                    </w:rPr>
                    <w:t>CO</w:t>
                  </w:r>
                </w:p>
              </w:tc>
              <w:tc>
                <w:tcPr>
                  <w:tcW w:w="2153" w:type="dxa"/>
                </w:tcPr>
                <w:p>
                  <w:pPr>
                    <w:jc w:val="center"/>
                    <w:rPr>
                      <w:rFonts w:ascii="Times New Roman" w:hAnsi="Times New Roman"/>
                      <w:sz w:val="21"/>
                      <w:szCs w:val="21"/>
                    </w:rPr>
                  </w:pPr>
                  <w:r>
                    <w:rPr>
                      <w:rFonts w:ascii="Times New Roman" w:hAnsi="Times New Roman"/>
                      <w:sz w:val="21"/>
                      <w:szCs w:val="21"/>
                    </w:rPr>
                    <w:t>10</w:t>
                  </w:r>
                </w:p>
              </w:tc>
              <w:tc>
                <w:tcPr>
                  <w:tcW w:w="2352" w:type="dxa"/>
                </w:tcPr>
                <w:p>
                  <w:pPr>
                    <w:jc w:val="center"/>
                    <w:rPr>
                      <w:rFonts w:ascii="Times New Roman" w:hAnsi="Times New Roman"/>
                      <w:sz w:val="21"/>
                      <w:szCs w:val="21"/>
                    </w:rPr>
                  </w:pPr>
                  <w:r>
                    <w:rPr>
                      <w:rFonts w:ascii="Times New Roman" w:hAnsi="Times New Roman"/>
                      <w:sz w:val="21"/>
                      <w:szCs w:val="21"/>
                    </w:rPr>
                    <w:t>4(日最大8小时平均)</w:t>
                  </w:r>
                </w:p>
              </w:tc>
              <w:tc>
                <w:tcPr>
                  <w:tcW w:w="1827" w:type="dxa"/>
                </w:tcPr>
                <w:p>
                  <w:pPr>
                    <w:jc w:val="center"/>
                    <w:rPr>
                      <w:rFonts w:ascii="Times New Roman" w:hAnsi="Times New Roman"/>
                      <w:sz w:val="21"/>
                      <w:szCs w:val="21"/>
                    </w:rPr>
                  </w:pPr>
                  <w:r>
                    <w:rPr>
                      <w:rFonts w:ascii="Times New Roman" w:hAnsi="Times New Roman"/>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0" w:hRule="atLeast"/>
              </w:trPr>
              <w:tc>
                <w:tcPr>
                  <w:tcW w:w="956" w:type="dxa"/>
                </w:tcPr>
                <w:p>
                  <w:pPr>
                    <w:jc w:val="center"/>
                    <w:rPr>
                      <w:rFonts w:ascii="Times New Roman" w:hAnsi="Times New Roman"/>
                      <w:sz w:val="21"/>
                      <w:szCs w:val="21"/>
                    </w:rPr>
                  </w:pPr>
                  <w:r>
                    <w:rPr>
                      <w:rFonts w:ascii="Times New Roman" w:hAnsi="Times New Roman"/>
                      <w:sz w:val="21"/>
                      <w:szCs w:val="21"/>
                    </w:rPr>
                    <w:t>6</w:t>
                  </w:r>
                </w:p>
              </w:tc>
              <w:tc>
                <w:tcPr>
                  <w:tcW w:w="1339" w:type="dxa"/>
                </w:tcPr>
                <w:p>
                  <w:pPr>
                    <w:jc w:val="center"/>
                    <w:rPr>
                      <w:rFonts w:ascii="Times New Roman" w:hAnsi="Times New Roman"/>
                      <w:sz w:val="21"/>
                      <w:szCs w:val="21"/>
                    </w:rPr>
                  </w:pPr>
                  <w:r>
                    <w:rPr>
                      <w:rFonts w:ascii="Times New Roman" w:hAnsi="Times New Roman"/>
                      <w:sz w:val="21"/>
                      <w:szCs w:val="21"/>
                    </w:rPr>
                    <w:t>O</w:t>
                  </w:r>
                  <w:r>
                    <w:rPr>
                      <w:rFonts w:ascii="Times New Roman" w:hAnsi="Times New Roman"/>
                      <w:sz w:val="21"/>
                      <w:szCs w:val="21"/>
                      <w:vertAlign w:val="subscript"/>
                    </w:rPr>
                    <w:t>3</w:t>
                  </w:r>
                </w:p>
              </w:tc>
              <w:tc>
                <w:tcPr>
                  <w:tcW w:w="2153" w:type="dxa"/>
                </w:tcPr>
                <w:p>
                  <w:pPr>
                    <w:jc w:val="center"/>
                    <w:rPr>
                      <w:rFonts w:ascii="Times New Roman" w:hAnsi="Times New Roman"/>
                      <w:sz w:val="21"/>
                      <w:szCs w:val="21"/>
                    </w:rPr>
                  </w:pPr>
                  <w:r>
                    <w:rPr>
                      <w:rFonts w:ascii="Times New Roman" w:hAnsi="Times New Roman"/>
                      <w:sz w:val="21"/>
                      <w:szCs w:val="21"/>
                    </w:rPr>
                    <w:t>0.20</w:t>
                  </w:r>
                </w:p>
              </w:tc>
              <w:tc>
                <w:tcPr>
                  <w:tcW w:w="2352" w:type="dxa"/>
                </w:tcPr>
                <w:p>
                  <w:pPr>
                    <w:jc w:val="center"/>
                    <w:rPr>
                      <w:rFonts w:ascii="Times New Roman" w:hAnsi="Times New Roman"/>
                      <w:sz w:val="21"/>
                      <w:szCs w:val="21"/>
                    </w:rPr>
                  </w:pPr>
                  <w:r>
                    <w:rPr>
                      <w:rFonts w:ascii="Times New Roman" w:hAnsi="Times New Roman"/>
                      <w:sz w:val="21"/>
                      <w:szCs w:val="21"/>
                    </w:rPr>
                    <w:t>0.16</w:t>
                  </w:r>
                </w:p>
              </w:tc>
              <w:tc>
                <w:tcPr>
                  <w:tcW w:w="1827" w:type="dxa"/>
                </w:tcPr>
                <w:p>
                  <w:pPr>
                    <w:jc w:val="center"/>
                    <w:rPr>
                      <w:rFonts w:ascii="Times New Roman" w:hAnsi="Times New Roman"/>
                      <w:sz w:val="21"/>
                      <w:szCs w:val="21"/>
                    </w:rPr>
                  </w:pPr>
                  <w:r>
                    <w:rPr>
                      <w:rFonts w:ascii="Times New Roman" w:hAnsi="Times New Roman"/>
                      <w:sz w:val="21"/>
                      <w:szCs w:val="21"/>
                    </w:rPr>
                    <w:t>/</w:t>
                  </w:r>
                </w:p>
              </w:tc>
            </w:tr>
          </w:tbl>
          <w:p>
            <w:pPr>
              <w:spacing w:line="360" w:lineRule="auto"/>
              <w:jc w:val="left"/>
              <w:rPr>
                <w:rFonts w:ascii="Times New Roman" w:hAnsi="Times New Roman"/>
                <w:kern w:val="2"/>
                <w:szCs w:val="24"/>
              </w:rPr>
            </w:pPr>
            <w:r>
              <w:rPr>
                <w:rFonts w:hint="eastAsia" w:ascii="Times New Roman" w:hAnsi="Times New Roman"/>
                <w:kern w:val="2"/>
                <w:szCs w:val="24"/>
              </w:rPr>
              <w:t>2、《声环境质量标准》（GB3096-2008）中的</w:t>
            </w:r>
            <w:r>
              <w:rPr>
                <w:rFonts w:ascii="Times New Roman" w:hAnsi="Times New Roman"/>
                <w:kern w:val="2"/>
                <w:szCs w:val="24"/>
              </w:rPr>
              <w:t>3</w:t>
            </w:r>
            <w:r>
              <w:rPr>
                <w:rFonts w:hint="eastAsia" w:ascii="Times New Roman" w:hAnsi="Times New Roman"/>
                <w:kern w:val="2"/>
                <w:szCs w:val="24"/>
              </w:rPr>
              <w:t>类标准；</w:t>
            </w:r>
          </w:p>
          <w:p>
            <w:pPr>
              <w:jc w:val="center"/>
              <w:textAlignment w:val="baseline"/>
              <w:rPr>
                <w:rFonts w:ascii="黑体" w:hAnsi="黑体" w:eastAsia="黑体"/>
              </w:rPr>
            </w:pPr>
            <w:r>
              <w:rPr>
                <w:rFonts w:hint="eastAsia" w:ascii="黑体" w:hAnsi="黑体" w:eastAsia="黑体"/>
              </w:rPr>
              <w:t>表</w:t>
            </w:r>
            <w:r>
              <w:rPr>
                <w:rFonts w:ascii="黑体" w:hAnsi="黑体" w:eastAsia="黑体"/>
              </w:rPr>
              <w:t>1</w:t>
            </w:r>
            <w:r>
              <w:rPr>
                <w:rFonts w:hint="eastAsia" w:ascii="黑体" w:hAnsi="黑体" w:eastAsia="黑体"/>
              </w:rPr>
              <w:t>3</w:t>
            </w:r>
            <w:r>
              <w:rPr>
                <w:rFonts w:ascii="黑体" w:hAnsi="黑体" w:eastAsia="黑体"/>
              </w:rPr>
              <w:t xml:space="preserve"> </w:t>
            </w:r>
            <w:r>
              <w:rPr>
                <w:rFonts w:hint="eastAsia" w:ascii="黑体" w:hAnsi="黑体" w:eastAsia="黑体"/>
              </w:rPr>
              <w:t>环境质量</w:t>
            </w:r>
            <w:r>
              <w:rPr>
                <w:rFonts w:ascii="黑体" w:hAnsi="黑体" w:eastAsia="黑体"/>
              </w:rPr>
              <w:t>3</w:t>
            </w:r>
            <w:r>
              <w:rPr>
                <w:rFonts w:hint="eastAsia" w:ascii="黑体" w:hAnsi="黑体" w:eastAsia="黑体"/>
              </w:rPr>
              <w:t>类标准       （单位:</w:t>
            </w:r>
            <w:r>
              <w:rPr>
                <w:rFonts w:ascii="黑体" w:hAnsi="黑体" w:eastAsia="黑体"/>
              </w:rPr>
              <w:t>dB</w:t>
            </w:r>
            <w:r>
              <w:rPr>
                <w:rFonts w:hint="eastAsia" w:ascii="黑体" w:hAnsi="黑体" w:eastAsia="黑体"/>
              </w:rPr>
              <w:t>(</w:t>
            </w:r>
            <w:r>
              <w:rPr>
                <w:rFonts w:ascii="黑体" w:hAnsi="黑体" w:eastAsia="黑体"/>
              </w:rPr>
              <w:t>A)</w:t>
            </w:r>
            <w:r>
              <w:rPr>
                <w:rFonts w:hint="eastAsia" w:ascii="黑体" w:hAnsi="黑体" w:eastAsia="黑体"/>
              </w:rPr>
              <w:t>）</w:t>
            </w:r>
          </w:p>
          <w:tbl>
            <w:tblPr>
              <w:tblStyle w:val="30"/>
              <w:tblW w:w="862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03"/>
              <w:gridCol w:w="3120"/>
              <w:gridCol w:w="27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803" w:type="dxa"/>
                  <w:shd w:val="clear" w:color="auto" w:fill="auto"/>
                </w:tcPr>
                <w:p>
                  <w:pPr>
                    <w:widowControl/>
                    <w:jc w:val="center"/>
                    <w:rPr>
                      <w:szCs w:val="24"/>
                    </w:rPr>
                  </w:pPr>
                  <w:r>
                    <w:rPr>
                      <w:szCs w:val="24"/>
                    </w:rPr>
                    <w:t>执行标准</w:t>
                  </w:r>
                </w:p>
              </w:tc>
              <w:tc>
                <w:tcPr>
                  <w:tcW w:w="3120" w:type="dxa"/>
                  <w:shd w:val="clear" w:color="auto" w:fill="auto"/>
                </w:tcPr>
                <w:p>
                  <w:pPr>
                    <w:widowControl/>
                    <w:jc w:val="center"/>
                    <w:rPr>
                      <w:szCs w:val="24"/>
                    </w:rPr>
                  </w:pPr>
                  <w:r>
                    <w:rPr>
                      <w:szCs w:val="24"/>
                    </w:rPr>
                    <w:t>昼间</w:t>
                  </w:r>
                </w:p>
              </w:tc>
              <w:tc>
                <w:tcPr>
                  <w:tcW w:w="2704" w:type="dxa"/>
                  <w:shd w:val="clear" w:color="auto" w:fill="auto"/>
                </w:tcPr>
                <w:p>
                  <w:pPr>
                    <w:widowControl/>
                    <w:jc w:val="center"/>
                    <w:rPr>
                      <w:szCs w:val="24"/>
                    </w:rPr>
                  </w:pPr>
                  <w:r>
                    <w:rPr>
                      <w:szCs w:val="24"/>
                    </w:rPr>
                    <w:t>夜间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803" w:type="dxa"/>
                  <w:shd w:val="clear" w:color="auto" w:fill="auto"/>
                </w:tcPr>
                <w:p>
                  <w:pPr>
                    <w:widowControl/>
                    <w:jc w:val="center"/>
                    <w:rPr>
                      <w:szCs w:val="24"/>
                    </w:rPr>
                  </w:pPr>
                  <w:r>
                    <w:rPr>
                      <w:szCs w:val="24"/>
                    </w:rPr>
                    <w:t>3类标准</w:t>
                  </w:r>
                </w:p>
              </w:tc>
              <w:tc>
                <w:tcPr>
                  <w:tcW w:w="3120" w:type="dxa"/>
                  <w:shd w:val="clear" w:color="auto" w:fill="auto"/>
                </w:tcPr>
                <w:p>
                  <w:pPr>
                    <w:widowControl/>
                    <w:jc w:val="center"/>
                    <w:rPr>
                      <w:szCs w:val="24"/>
                    </w:rPr>
                  </w:pPr>
                  <w:r>
                    <w:rPr>
                      <w:szCs w:val="24"/>
                    </w:rPr>
                    <w:t>65</w:t>
                  </w:r>
                </w:p>
              </w:tc>
              <w:tc>
                <w:tcPr>
                  <w:tcW w:w="2704" w:type="dxa"/>
                  <w:shd w:val="clear" w:color="auto" w:fill="auto"/>
                </w:tcPr>
                <w:p>
                  <w:pPr>
                    <w:widowControl/>
                    <w:jc w:val="center"/>
                    <w:rPr>
                      <w:szCs w:val="24"/>
                    </w:rPr>
                  </w:pPr>
                  <w:r>
                    <w:rPr>
                      <w:szCs w:val="24"/>
                    </w:rPr>
                    <w:t>55</w:t>
                  </w:r>
                </w:p>
              </w:tc>
            </w:tr>
          </w:tbl>
          <w:p>
            <w:pPr>
              <w:spacing w:line="360" w:lineRule="auto"/>
              <w:jc w:val="left"/>
              <w:rPr>
                <w:rFonts w:ascii="Times New Roman" w:hAnsi="Times New Roman"/>
                <w:kern w:val="2"/>
                <w:szCs w:val="24"/>
              </w:rPr>
            </w:pPr>
            <w:r>
              <w:rPr>
                <w:rFonts w:ascii="Times New Roman" w:hAnsi="Times New Roman"/>
                <w:kern w:val="2"/>
                <w:szCs w:val="24"/>
              </w:rPr>
              <w:t>3</w:t>
            </w:r>
            <w:r>
              <w:rPr>
                <w:rFonts w:hint="eastAsia" w:ascii="Times New Roman" w:hAnsi="Times New Roman"/>
                <w:kern w:val="2"/>
                <w:szCs w:val="24"/>
              </w:rPr>
              <w:t>、《地表水环境质量标准》（GB3838-2002）中的</w:t>
            </w:r>
            <w:r>
              <w:rPr>
                <w:rFonts w:ascii="Times New Roman" w:hAnsi="Times New Roman"/>
                <w:kern w:val="2"/>
                <w:szCs w:val="24"/>
              </w:rPr>
              <w:t>Ⅲ</w:t>
            </w:r>
            <w:r>
              <w:rPr>
                <w:rFonts w:hint="eastAsia" w:ascii="Times New Roman" w:hAnsi="Times New Roman"/>
                <w:kern w:val="2"/>
                <w:szCs w:val="24"/>
              </w:rPr>
              <w:t>类标准；</w:t>
            </w:r>
          </w:p>
          <w:p>
            <w:pPr>
              <w:tabs>
                <w:tab w:val="left" w:pos="360"/>
              </w:tabs>
              <w:spacing w:line="360" w:lineRule="auto"/>
              <w:jc w:val="center"/>
              <w:rPr>
                <w:rFonts w:ascii="黑体" w:hAnsi="黑体" w:eastAsia="黑体"/>
              </w:rPr>
            </w:pPr>
            <w:r>
              <w:rPr>
                <w:rFonts w:ascii="黑体" w:hAnsi="黑体" w:eastAsia="黑体"/>
              </w:rPr>
              <w:t>表1</w:t>
            </w:r>
            <w:r>
              <w:rPr>
                <w:rFonts w:hint="eastAsia" w:ascii="黑体" w:hAnsi="黑体" w:eastAsia="黑体"/>
              </w:rPr>
              <w:t>4</w:t>
            </w:r>
            <w:r>
              <w:rPr>
                <w:rFonts w:ascii="黑体" w:hAnsi="黑体" w:eastAsia="黑体"/>
              </w:rPr>
              <w:t xml:space="preserve"> </w:t>
            </w:r>
            <w:r>
              <w:rPr>
                <w:rFonts w:hint="eastAsia" w:ascii="黑体" w:hAnsi="黑体" w:eastAsia="黑体"/>
              </w:rPr>
              <w:t>地表</w:t>
            </w:r>
            <w:r>
              <w:rPr>
                <w:rFonts w:ascii="黑体" w:hAnsi="黑体" w:eastAsia="黑体"/>
              </w:rPr>
              <w:t>水环境质量标准     (单位：mg/L</w:t>
            </w:r>
            <w:r>
              <w:rPr>
                <w:rFonts w:hint="eastAsia" w:ascii="黑体" w:hAnsi="黑体" w:eastAsia="黑体"/>
              </w:rPr>
              <w:t>、</w:t>
            </w:r>
            <w:r>
              <w:rPr>
                <w:rFonts w:ascii="黑体" w:hAnsi="黑体" w:eastAsia="黑体"/>
              </w:rPr>
              <w:t>pH除外)</w:t>
            </w:r>
          </w:p>
          <w:tbl>
            <w:tblPr>
              <w:tblStyle w:val="30"/>
              <w:tblW w:w="8607" w:type="dxa"/>
              <w:tblInd w:w="1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377"/>
              <w:gridCol w:w="881"/>
              <w:gridCol w:w="1024"/>
              <w:gridCol w:w="959"/>
              <w:gridCol w:w="959"/>
              <w:gridCol w:w="799"/>
              <w:gridCol w:w="1331"/>
              <w:gridCol w:w="1277"/>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410" w:hRule="atLeast"/>
              </w:trPr>
              <w:tc>
                <w:tcPr>
                  <w:tcW w:w="1377" w:type="dxa"/>
                  <w:vAlign w:val="center"/>
                </w:tcPr>
                <w:p>
                  <w:pPr>
                    <w:snapToGrid w:val="0"/>
                    <w:jc w:val="center"/>
                    <w:rPr>
                      <w:snapToGrid w:val="0"/>
                      <w:color w:val="000000" w:themeColor="text1"/>
                      <w:sz w:val="21"/>
                      <w:szCs w:val="18"/>
                      <w14:textFill>
                        <w14:solidFill>
                          <w14:schemeClr w14:val="tx1"/>
                        </w14:solidFill>
                      </w14:textFill>
                    </w:rPr>
                  </w:pPr>
                  <w:r>
                    <w:rPr>
                      <w:snapToGrid w:val="0"/>
                      <w:color w:val="000000" w:themeColor="text1"/>
                      <w:sz w:val="21"/>
                      <w:szCs w:val="18"/>
                      <w14:textFill>
                        <w14:solidFill>
                          <w14:schemeClr w14:val="tx1"/>
                        </w14:solidFill>
                      </w14:textFill>
                    </w:rPr>
                    <w:t>项目</w:t>
                  </w:r>
                </w:p>
              </w:tc>
              <w:tc>
                <w:tcPr>
                  <w:tcW w:w="881" w:type="dxa"/>
                  <w:vAlign w:val="center"/>
                </w:tcPr>
                <w:p>
                  <w:pPr>
                    <w:snapToGrid w:val="0"/>
                    <w:jc w:val="center"/>
                    <w:rPr>
                      <w:snapToGrid w:val="0"/>
                      <w:color w:val="000000" w:themeColor="text1"/>
                      <w:sz w:val="21"/>
                      <w:szCs w:val="18"/>
                      <w14:textFill>
                        <w14:solidFill>
                          <w14:schemeClr w14:val="tx1"/>
                        </w14:solidFill>
                      </w14:textFill>
                    </w:rPr>
                  </w:pPr>
                  <w:r>
                    <w:rPr>
                      <w:snapToGrid w:val="0"/>
                      <w:color w:val="000000" w:themeColor="text1"/>
                      <w:sz w:val="21"/>
                      <w:szCs w:val="18"/>
                      <w14:textFill>
                        <w14:solidFill>
                          <w14:schemeClr w14:val="tx1"/>
                        </w14:solidFill>
                      </w14:textFill>
                    </w:rPr>
                    <w:t>pH</w:t>
                  </w:r>
                </w:p>
              </w:tc>
              <w:tc>
                <w:tcPr>
                  <w:tcW w:w="1024" w:type="dxa"/>
                  <w:vAlign w:val="center"/>
                </w:tcPr>
                <w:p>
                  <w:pPr>
                    <w:snapToGrid w:val="0"/>
                    <w:jc w:val="center"/>
                    <w:rPr>
                      <w:snapToGrid w:val="0"/>
                      <w:color w:val="000000" w:themeColor="text1"/>
                      <w:sz w:val="21"/>
                      <w:szCs w:val="18"/>
                      <w14:textFill>
                        <w14:solidFill>
                          <w14:schemeClr w14:val="tx1"/>
                        </w14:solidFill>
                      </w14:textFill>
                    </w:rPr>
                  </w:pPr>
                  <w:r>
                    <w:rPr>
                      <w:snapToGrid w:val="0"/>
                      <w:color w:val="000000" w:themeColor="text1"/>
                      <w:sz w:val="21"/>
                      <w:szCs w:val="18"/>
                      <w14:textFill>
                        <w14:solidFill>
                          <w14:schemeClr w14:val="tx1"/>
                        </w14:solidFill>
                      </w14:textFill>
                    </w:rPr>
                    <w:t>高锰酸盐指数</w:t>
                  </w:r>
                </w:p>
              </w:tc>
              <w:tc>
                <w:tcPr>
                  <w:tcW w:w="959" w:type="dxa"/>
                  <w:tcBorders>
                    <w:right w:val="single" w:color="auto" w:sz="4" w:space="0"/>
                  </w:tcBorders>
                  <w:vAlign w:val="center"/>
                </w:tcPr>
                <w:p>
                  <w:pPr>
                    <w:snapToGrid w:val="0"/>
                    <w:jc w:val="center"/>
                    <w:rPr>
                      <w:snapToGrid w:val="0"/>
                      <w:color w:val="000000" w:themeColor="text1"/>
                      <w:sz w:val="21"/>
                      <w:szCs w:val="18"/>
                      <w14:textFill>
                        <w14:solidFill>
                          <w14:schemeClr w14:val="tx1"/>
                        </w14:solidFill>
                      </w14:textFill>
                    </w:rPr>
                  </w:pPr>
                  <w:r>
                    <w:rPr>
                      <w:snapToGrid w:val="0"/>
                      <w:color w:val="000000" w:themeColor="text1"/>
                      <w:sz w:val="21"/>
                      <w:szCs w:val="18"/>
                      <w14:textFill>
                        <w14:solidFill>
                          <w14:schemeClr w14:val="tx1"/>
                        </w14:solidFill>
                      </w14:textFill>
                    </w:rPr>
                    <w:t>COD</w:t>
                  </w:r>
                </w:p>
              </w:tc>
              <w:tc>
                <w:tcPr>
                  <w:tcW w:w="959" w:type="dxa"/>
                  <w:tcBorders>
                    <w:left w:val="single" w:color="auto" w:sz="4" w:space="0"/>
                  </w:tcBorders>
                  <w:vAlign w:val="center"/>
                </w:tcPr>
                <w:p>
                  <w:pPr>
                    <w:snapToGrid w:val="0"/>
                    <w:jc w:val="center"/>
                    <w:rPr>
                      <w:snapToGrid w:val="0"/>
                      <w:color w:val="000000" w:themeColor="text1"/>
                      <w:sz w:val="21"/>
                      <w:szCs w:val="18"/>
                      <w14:textFill>
                        <w14:solidFill>
                          <w14:schemeClr w14:val="tx1"/>
                        </w14:solidFill>
                      </w14:textFill>
                    </w:rPr>
                  </w:pPr>
                  <w:r>
                    <w:rPr>
                      <w:snapToGrid w:val="0"/>
                      <w:color w:val="000000" w:themeColor="text1"/>
                      <w:sz w:val="21"/>
                      <w:szCs w:val="18"/>
                      <w14:textFill>
                        <w14:solidFill>
                          <w14:schemeClr w14:val="tx1"/>
                        </w14:solidFill>
                      </w14:textFill>
                    </w:rPr>
                    <w:t>BOD</w:t>
                  </w:r>
                  <w:r>
                    <w:rPr>
                      <w:snapToGrid w:val="0"/>
                      <w:color w:val="000000" w:themeColor="text1"/>
                      <w:sz w:val="21"/>
                      <w:szCs w:val="18"/>
                      <w:vertAlign w:val="subscript"/>
                      <w14:textFill>
                        <w14:solidFill>
                          <w14:schemeClr w14:val="tx1"/>
                        </w14:solidFill>
                      </w14:textFill>
                    </w:rPr>
                    <w:t>5</w:t>
                  </w:r>
                </w:p>
              </w:tc>
              <w:tc>
                <w:tcPr>
                  <w:tcW w:w="799" w:type="dxa"/>
                  <w:vAlign w:val="center"/>
                </w:tcPr>
                <w:p>
                  <w:pPr>
                    <w:snapToGrid w:val="0"/>
                    <w:jc w:val="center"/>
                    <w:rPr>
                      <w:snapToGrid w:val="0"/>
                      <w:color w:val="000000" w:themeColor="text1"/>
                      <w:sz w:val="21"/>
                      <w:szCs w:val="18"/>
                      <w14:textFill>
                        <w14:solidFill>
                          <w14:schemeClr w14:val="tx1"/>
                        </w14:solidFill>
                      </w14:textFill>
                    </w:rPr>
                  </w:pPr>
                  <w:r>
                    <w:rPr>
                      <w:snapToGrid w:val="0"/>
                      <w:color w:val="000000" w:themeColor="text1"/>
                      <w:sz w:val="21"/>
                      <w:szCs w:val="18"/>
                      <w14:textFill>
                        <w14:solidFill>
                          <w14:schemeClr w14:val="tx1"/>
                        </w14:solidFill>
                      </w14:textFill>
                    </w:rPr>
                    <w:t>DO</w:t>
                  </w:r>
                </w:p>
              </w:tc>
              <w:tc>
                <w:tcPr>
                  <w:tcW w:w="1331" w:type="dxa"/>
                  <w:vAlign w:val="center"/>
                </w:tcPr>
                <w:p>
                  <w:pPr>
                    <w:snapToGrid w:val="0"/>
                    <w:jc w:val="center"/>
                    <w:rPr>
                      <w:snapToGrid w:val="0"/>
                      <w:color w:val="000000" w:themeColor="text1"/>
                      <w:sz w:val="21"/>
                      <w:szCs w:val="18"/>
                      <w14:textFill>
                        <w14:solidFill>
                          <w14:schemeClr w14:val="tx1"/>
                        </w14:solidFill>
                      </w14:textFill>
                    </w:rPr>
                  </w:pPr>
                  <w:r>
                    <w:rPr>
                      <w:snapToGrid w:val="0"/>
                      <w:color w:val="000000" w:themeColor="text1"/>
                      <w:sz w:val="21"/>
                      <w:szCs w:val="18"/>
                      <w14:textFill>
                        <w14:solidFill>
                          <w14:schemeClr w14:val="tx1"/>
                        </w14:solidFill>
                      </w14:textFill>
                    </w:rPr>
                    <w:t>挥发酚</w:t>
                  </w:r>
                </w:p>
              </w:tc>
              <w:tc>
                <w:tcPr>
                  <w:tcW w:w="1277" w:type="dxa"/>
                </w:tcPr>
                <w:p>
                  <w:pPr>
                    <w:snapToGrid w:val="0"/>
                    <w:ind w:firstLine="210" w:firstLineChars="100"/>
                    <w:rPr>
                      <w:snapToGrid w:val="0"/>
                      <w:color w:val="000000" w:themeColor="text1"/>
                      <w:sz w:val="21"/>
                      <w:szCs w:val="18"/>
                      <w14:textFill>
                        <w14:solidFill>
                          <w14:schemeClr w14:val="tx1"/>
                        </w14:solidFill>
                      </w14:textFill>
                    </w:rPr>
                  </w:pPr>
                  <w:r>
                    <w:rPr>
                      <w:snapToGrid w:val="0"/>
                      <w:color w:val="000000" w:themeColor="text1"/>
                      <w:sz w:val="21"/>
                      <w:szCs w:val="18"/>
                      <w14:textFill>
                        <w14:solidFill>
                          <w14:schemeClr w14:val="tx1"/>
                        </w14:solidFill>
                      </w14:textFill>
                    </w:rPr>
                    <w:t>六价铬</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410" w:hRule="atLeast"/>
              </w:trPr>
              <w:tc>
                <w:tcPr>
                  <w:tcW w:w="1377" w:type="dxa"/>
                  <w:vAlign w:val="center"/>
                </w:tcPr>
                <w:p>
                  <w:pPr>
                    <w:snapToGrid w:val="0"/>
                    <w:jc w:val="center"/>
                    <w:rPr>
                      <w:snapToGrid w:val="0"/>
                      <w:color w:val="000000" w:themeColor="text1"/>
                      <w:sz w:val="21"/>
                      <w:szCs w:val="18"/>
                      <w14:textFill>
                        <w14:solidFill>
                          <w14:schemeClr w14:val="tx1"/>
                        </w14:solidFill>
                      </w14:textFill>
                    </w:rPr>
                  </w:pPr>
                  <w:r>
                    <w:rPr>
                      <w:snapToGrid w:val="0"/>
                      <w:color w:val="000000" w:themeColor="text1"/>
                      <w:sz w:val="21"/>
                      <w:szCs w:val="18"/>
                      <w14:textFill>
                        <w14:solidFill>
                          <w14:schemeClr w14:val="tx1"/>
                        </w14:solidFill>
                      </w14:textFill>
                    </w:rPr>
                    <w:t>评价标准</w:t>
                  </w:r>
                </w:p>
              </w:tc>
              <w:tc>
                <w:tcPr>
                  <w:tcW w:w="881" w:type="dxa"/>
                  <w:vAlign w:val="center"/>
                </w:tcPr>
                <w:p>
                  <w:pPr>
                    <w:snapToGrid w:val="0"/>
                    <w:jc w:val="center"/>
                    <w:rPr>
                      <w:snapToGrid w:val="0"/>
                      <w:color w:val="000000" w:themeColor="text1"/>
                      <w:sz w:val="21"/>
                      <w:szCs w:val="18"/>
                      <w14:textFill>
                        <w14:solidFill>
                          <w14:schemeClr w14:val="tx1"/>
                        </w14:solidFill>
                      </w14:textFill>
                    </w:rPr>
                  </w:pPr>
                  <w:r>
                    <w:rPr>
                      <w:snapToGrid w:val="0"/>
                      <w:color w:val="000000" w:themeColor="text1"/>
                      <w:sz w:val="21"/>
                      <w:szCs w:val="18"/>
                      <w14:textFill>
                        <w14:solidFill>
                          <w14:schemeClr w14:val="tx1"/>
                        </w14:solidFill>
                      </w14:textFill>
                    </w:rPr>
                    <w:t>6-9</w:t>
                  </w:r>
                </w:p>
              </w:tc>
              <w:tc>
                <w:tcPr>
                  <w:tcW w:w="1024" w:type="dxa"/>
                  <w:vAlign w:val="center"/>
                </w:tcPr>
                <w:p>
                  <w:pPr>
                    <w:snapToGrid w:val="0"/>
                    <w:jc w:val="center"/>
                    <w:rPr>
                      <w:snapToGrid w:val="0"/>
                      <w:color w:val="000000" w:themeColor="text1"/>
                      <w:sz w:val="21"/>
                      <w:szCs w:val="18"/>
                      <w14:textFill>
                        <w14:solidFill>
                          <w14:schemeClr w14:val="tx1"/>
                        </w14:solidFill>
                      </w14:textFill>
                    </w:rPr>
                  </w:pPr>
                  <w:r>
                    <w:rPr>
                      <w:snapToGrid w:val="0"/>
                      <w:color w:val="000000" w:themeColor="text1"/>
                      <w:sz w:val="21"/>
                      <w:szCs w:val="18"/>
                      <w14:textFill>
                        <w14:solidFill>
                          <w14:schemeClr w14:val="tx1"/>
                        </w14:solidFill>
                      </w14:textFill>
                    </w:rPr>
                    <w:t>≤6</w:t>
                  </w:r>
                </w:p>
              </w:tc>
              <w:tc>
                <w:tcPr>
                  <w:tcW w:w="959" w:type="dxa"/>
                  <w:tcBorders>
                    <w:right w:val="single" w:color="auto" w:sz="4" w:space="0"/>
                  </w:tcBorders>
                  <w:vAlign w:val="center"/>
                </w:tcPr>
                <w:p>
                  <w:pPr>
                    <w:snapToGrid w:val="0"/>
                    <w:jc w:val="center"/>
                    <w:rPr>
                      <w:snapToGrid w:val="0"/>
                      <w:color w:val="000000" w:themeColor="text1"/>
                      <w:sz w:val="21"/>
                      <w:szCs w:val="18"/>
                      <w14:textFill>
                        <w14:solidFill>
                          <w14:schemeClr w14:val="tx1"/>
                        </w14:solidFill>
                      </w14:textFill>
                    </w:rPr>
                  </w:pPr>
                  <w:r>
                    <w:rPr>
                      <w:snapToGrid w:val="0"/>
                      <w:color w:val="000000" w:themeColor="text1"/>
                      <w:sz w:val="21"/>
                      <w:szCs w:val="18"/>
                      <w14:textFill>
                        <w14:solidFill>
                          <w14:schemeClr w14:val="tx1"/>
                        </w14:solidFill>
                      </w14:textFill>
                    </w:rPr>
                    <w:t>≤20</w:t>
                  </w:r>
                </w:p>
              </w:tc>
              <w:tc>
                <w:tcPr>
                  <w:tcW w:w="959" w:type="dxa"/>
                  <w:tcBorders>
                    <w:left w:val="single" w:color="auto" w:sz="4" w:space="0"/>
                  </w:tcBorders>
                  <w:vAlign w:val="center"/>
                </w:tcPr>
                <w:p>
                  <w:pPr>
                    <w:snapToGrid w:val="0"/>
                    <w:jc w:val="center"/>
                    <w:rPr>
                      <w:snapToGrid w:val="0"/>
                      <w:color w:val="000000" w:themeColor="text1"/>
                      <w:sz w:val="21"/>
                      <w:szCs w:val="18"/>
                      <w14:textFill>
                        <w14:solidFill>
                          <w14:schemeClr w14:val="tx1"/>
                        </w14:solidFill>
                      </w14:textFill>
                    </w:rPr>
                  </w:pPr>
                  <w:r>
                    <w:rPr>
                      <w:snapToGrid w:val="0"/>
                      <w:color w:val="000000" w:themeColor="text1"/>
                      <w:sz w:val="21"/>
                      <w:szCs w:val="18"/>
                      <w14:textFill>
                        <w14:solidFill>
                          <w14:schemeClr w14:val="tx1"/>
                        </w14:solidFill>
                      </w14:textFill>
                    </w:rPr>
                    <w:t>≤4</w:t>
                  </w:r>
                </w:p>
              </w:tc>
              <w:tc>
                <w:tcPr>
                  <w:tcW w:w="799" w:type="dxa"/>
                  <w:vAlign w:val="center"/>
                </w:tcPr>
                <w:p>
                  <w:pPr>
                    <w:snapToGrid w:val="0"/>
                    <w:jc w:val="center"/>
                    <w:rPr>
                      <w:snapToGrid w:val="0"/>
                      <w:color w:val="000000" w:themeColor="text1"/>
                      <w:sz w:val="21"/>
                      <w:szCs w:val="18"/>
                      <w14:textFill>
                        <w14:solidFill>
                          <w14:schemeClr w14:val="tx1"/>
                        </w14:solidFill>
                      </w14:textFill>
                    </w:rPr>
                  </w:pPr>
                  <w:r>
                    <w:rPr>
                      <w:snapToGrid w:val="0"/>
                      <w:color w:val="000000" w:themeColor="text1"/>
                      <w:sz w:val="21"/>
                      <w:szCs w:val="18"/>
                      <w14:textFill>
                        <w14:solidFill>
                          <w14:schemeClr w14:val="tx1"/>
                        </w14:solidFill>
                      </w14:textFill>
                    </w:rPr>
                    <w:t>≥5</w:t>
                  </w:r>
                </w:p>
              </w:tc>
              <w:tc>
                <w:tcPr>
                  <w:tcW w:w="1331" w:type="dxa"/>
                  <w:vAlign w:val="center"/>
                </w:tcPr>
                <w:p>
                  <w:pPr>
                    <w:snapToGrid w:val="0"/>
                    <w:jc w:val="center"/>
                    <w:rPr>
                      <w:snapToGrid w:val="0"/>
                      <w:color w:val="000000" w:themeColor="text1"/>
                      <w:sz w:val="21"/>
                      <w:szCs w:val="18"/>
                      <w14:textFill>
                        <w14:solidFill>
                          <w14:schemeClr w14:val="tx1"/>
                        </w14:solidFill>
                      </w14:textFill>
                    </w:rPr>
                  </w:pPr>
                  <w:r>
                    <w:rPr>
                      <w:snapToGrid w:val="0"/>
                      <w:color w:val="000000" w:themeColor="text1"/>
                      <w:sz w:val="21"/>
                      <w:szCs w:val="18"/>
                      <w14:textFill>
                        <w14:solidFill>
                          <w14:schemeClr w14:val="tx1"/>
                        </w14:solidFill>
                      </w14:textFill>
                    </w:rPr>
                    <w:t>≤0.005</w:t>
                  </w:r>
                </w:p>
              </w:tc>
              <w:tc>
                <w:tcPr>
                  <w:tcW w:w="1277" w:type="dxa"/>
                </w:tcPr>
                <w:p>
                  <w:pPr>
                    <w:snapToGrid w:val="0"/>
                    <w:jc w:val="center"/>
                    <w:rPr>
                      <w:snapToGrid w:val="0"/>
                      <w:color w:val="000000" w:themeColor="text1"/>
                      <w:sz w:val="21"/>
                      <w:szCs w:val="18"/>
                      <w14:textFill>
                        <w14:solidFill>
                          <w14:schemeClr w14:val="tx1"/>
                        </w14:solidFill>
                      </w14:textFill>
                    </w:rPr>
                  </w:pPr>
                  <w:r>
                    <w:rPr>
                      <w:snapToGrid w:val="0"/>
                      <w:color w:val="000000" w:themeColor="text1"/>
                      <w:sz w:val="21"/>
                      <w:szCs w:val="18"/>
                      <w14:textFill>
                        <w14:solidFill>
                          <w14:schemeClr w14:val="tx1"/>
                        </w14:solidFill>
                      </w14:textFill>
                    </w:rPr>
                    <w:t>≤0.05</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410" w:hRule="atLeast"/>
              </w:trPr>
              <w:tc>
                <w:tcPr>
                  <w:tcW w:w="1377" w:type="dxa"/>
                  <w:vAlign w:val="center"/>
                </w:tcPr>
                <w:p>
                  <w:pPr>
                    <w:snapToGrid w:val="0"/>
                    <w:jc w:val="center"/>
                    <w:rPr>
                      <w:snapToGrid w:val="0"/>
                      <w:color w:val="000000" w:themeColor="text1"/>
                      <w:sz w:val="21"/>
                      <w:szCs w:val="18"/>
                      <w14:textFill>
                        <w14:solidFill>
                          <w14:schemeClr w14:val="tx1"/>
                        </w14:solidFill>
                      </w14:textFill>
                    </w:rPr>
                  </w:pPr>
                  <w:r>
                    <w:rPr>
                      <w:snapToGrid w:val="0"/>
                      <w:color w:val="000000" w:themeColor="text1"/>
                      <w:sz w:val="21"/>
                      <w:szCs w:val="18"/>
                      <w14:textFill>
                        <w14:solidFill>
                          <w14:schemeClr w14:val="tx1"/>
                        </w14:solidFill>
                      </w14:textFill>
                    </w:rPr>
                    <w:t>项目</w:t>
                  </w:r>
                </w:p>
              </w:tc>
              <w:tc>
                <w:tcPr>
                  <w:tcW w:w="881" w:type="dxa"/>
                  <w:vAlign w:val="center"/>
                </w:tcPr>
                <w:p>
                  <w:pPr>
                    <w:snapToGrid w:val="0"/>
                    <w:jc w:val="center"/>
                    <w:rPr>
                      <w:snapToGrid w:val="0"/>
                      <w:color w:val="000000" w:themeColor="text1"/>
                      <w:sz w:val="21"/>
                      <w:szCs w:val="18"/>
                      <w14:textFill>
                        <w14:solidFill>
                          <w14:schemeClr w14:val="tx1"/>
                        </w14:solidFill>
                      </w14:textFill>
                    </w:rPr>
                  </w:pPr>
                  <w:r>
                    <w:rPr>
                      <w:snapToGrid w:val="0"/>
                      <w:color w:val="000000" w:themeColor="text1"/>
                      <w:sz w:val="21"/>
                      <w:szCs w:val="18"/>
                      <w14:textFill>
                        <w14:solidFill>
                          <w14:schemeClr w14:val="tx1"/>
                        </w14:solidFill>
                      </w14:textFill>
                    </w:rPr>
                    <w:t>石油类</w:t>
                  </w:r>
                </w:p>
              </w:tc>
              <w:tc>
                <w:tcPr>
                  <w:tcW w:w="1024" w:type="dxa"/>
                  <w:vAlign w:val="center"/>
                </w:tcPr>
                <w:p>
                  <w:pPr>
                    <w:snapToGrid w:val="0"/>
                    <w:jc w:val="center"/>
                    <w:rPr>
                      <w:snapToGrid w:val="0"/>
                      <w:color w:val="000000" w:themeColor="text1"/>
                      <w:sz w:val="21"/>
                      <w:szCs w:val="18"/>
                      <w14:textFill>
                        <w14:solidFill>
                          <w14:schemeClr w14:val="tx1"/>
                        </w14:solidFill>
                      </w14:textFill>
                    </w:rPr>
                  </w:pPr>
                  <w:r>
                    <w:rPr>
                      <w:snapToGrid w:val="0"/>
                      <w:color w:val="000000" w:themeColor="text1"/>
                      <w:sz w:val="21"/>
                      <w:szCs w:val="18"/>
                      <w14:textFill>
                        <w14:solidFill>
                          <w14:schemeClr w14:val="tx1"/>
                        </w14:solidFill>
                      </w14:textFill>
                    </w:rPr>
                    <w:t>氟化物</w:t>
                  </w:r>
                </w:p>
              </w:tc>
              <w:tc>
                <w:tcPr>
                  <w:tcW w:w="959" w:type="dxa"/>
                  <w:tcBorders>
                    <w:right w:val="single" w:color="auto" w:sz="4" w:space="0"/>
                  </w:tcBorders>
                  <w:vAlign w:val="center"/>
                </w:tcPr>
                <w:p>
                  <w:pPr>
                    <w:snapToGrid w:val="0"/>
                    <w:jc w:val="center"/>
                    <w:rPr>
                      <w:snapToGrid w:val="0"/>
                      <w:color w:val="000000" w:themeColor="text1"/>
                      <w:sz w:val="21"/>
                      <w:szCs w:val="18"/>
                      <w14:textFill>
                        <w14:solidFill>
                          <w14:schemeClr w14:val="tx1"/>
                        </w14:solidFill>
                      </w14:textFill>
                    </w:rPr>
                  </w:pPr>
                  <w:r>
                    <w:rPr>
                      <w:snapToGrid w:val="0"/>
                      <w:color w:val="000000" w:themeColor="text1"/>
                      <w:sz w:val="21"/>
                      <w:szCs w:val="18"/>
                      <w14:textFill>
                        <w14:solidFill>
                          <w14:schemeClr w14:val="tx1"/>
                        </w14:solidFill>
                      </w14:textFill>
                    </w:rPr>
                    <w:t>氰化物</w:t>
                  </w:r>
                </w:p>
              </w:tc>
              <w:tc>
                <w:tcPr>
                  <w:tcW w:w="959" w:type="dxa"/>
                  <w:tcBorders>
                    <w:right w:val="single" w:color="auto" w:sz="4" w:space="0"/>
                  </w:tcBorders>
                  <w:vAlign w:val="center"/>
                </w:tcPr>
                <w:p>
                  <w:pPr>
                    <w:snapToGrid w:val="0"/>
                    <w:jc w:val="center"/>
                    <w:rPr>
                      <w:snapToGrid w:val="0"/>
                      <w:color w:val="000000" w:themeColor="text1"/>
                      <w:sz w:val="21"/>
                      <w:szCs w:val="18"/>
                      <w14:textFill>
                        <w14:solidFill>
                          <w14:schemeClr w14:val="tx1"/>
                        </w14:solidFill>
                      </w14:textFill>
                    </w:rPr>
                  </w:pPr>
                  <w:r>
                    <w:rPr>
                      <w:snapToGrid w:val="0"/>
                      <w:color w:val="000000" w:themeColor="text1"/>
                      <w:sz w:val="21"/>
                      <w:szCs w:val="18"/>
                      <w14:textFill>
                        <w14:solidFill>
                          <w14:schemeClr w14:val="tx1"/>
                        </w14:solidFill>
                      </w14:textFill>
                    </w:rPr>
                    <w:t>硫化物</w:t>
                  </w:r>
                </w:p>
              </w:tc>
              <w:tc>
                <w:tcPr>
                  <w:tcW w:w="799" w:type="dxa"/>
                  <w:tcBorders>
                    <w:left w:val="single" w:color="auto" w:sz="4" w:space="0"/>
                  </w:tcBorders>
                  <w:vAlign w:val="center"/>
                </w:tcPr>
                <w:p>
                  <w:pPr>
                    <w:snapToGrid w:val="0"/>
                    <w:jc w:val="center"/>
                    <w:rPr>
                      <w:snapToGrid w:val="0"/>
                      <w:color w:val="000000" w:themeColor="text1"/>
                      <w:sz w:val="21"/>
                      <w:szCs w:val="18"/>
                      <w14:textFill>
                        <w14:solidFill>
                          <w14:schemeClr w14:val="tx1"/>
                        </w14:solidFill>
                      </w14:textFill>
                    </w:rPr>
                  </w:pPr>
                  <w:r>
                    <w:rPr>
                      <w:snapToGrid w:val="0"/>
                      <w:color w:val="000000" w:themeColor="text1"/>
                      <w:sz w:val="21"/>
                      <w:szCs w:val="18"/>
                      <w14:textFill>
                        <w14:solidFill>
                          <w14:schemeClr w14:val="tx1"/>
                        </w14:solidFill>
                      </w14:textFill>
                    </w:rPr>
                    <w:t>氨氮</w:t>
                  </w:r>
                </w:p>
              </w:tc>
              <w:tc>
                <w:tcPr>
                  <w:tcW w:w="1331" w:type="dxa"/>
                  <w:vAlign w:val="center"/>
                </w:tcPr>
                <w:p>
                  <w:pPr>
                    <w:snapToGrid w:val="0"/>
                    <w:jc w:val="center"/>
                    <w:rPr>
                      <w:snapToGrid w:val="0"/>
                      <w:color w:val="000000" w:themeColor="text1"/>
                      <w:sz w:val="21"/>
                      <w:szCs w:val="18"/>
                      <w14:textFill>
                        <w14:solidFill>
                          <w14:schemeClr w14:val="tx1"/>
                        </w14:solidFill>
                      </w14:textFill>
                    </w:rPr>
                  </w:pPr>
                  <w:r>
                    <w:rPr>
                      <w:snapToGrid w:val="0"/>
                      <w:color w:val="000000" w:themeColor="text1"/>
                      <w:sz w:val="21"/>
                      <w:szCs w:val="18"/>
                      <w14:textFill>
                        <w14:solidFill>
                          <w14:schemeClr w14:val="tx1"/>
                        </w14:solidFill>
                      </w14:textFill>
                    </w:rPr>
                    <w:t>阴离子表面活性剂</w:t>
                  </w:r>
                </w:p>
              </w:tc>
              <w:tc>
                <w:tcPr>
                  <w:tcW w:w="1277" w:type="dxa"/>
                  <w:vAlign w:val="center"/>
                </w:tcPr>
                <w:p>
                  <w:pPr>
                    <w:snapToGrid w:val="0"/>
                    <w:ind w:firstLine="420" w:firstLineChars="200"/>
                    <w:rPr>
                      <w:snapToGrid w:val="0"/>
                      <w:color w:val="000000" w:themeColor="text1"/>
                      <w:sz w:val="21"/>
                      <w:szCs w:val="18"/>
                      <w14:textFill>
                        <w14:solidFill>
                          <w14:schemeClr w14:val="tx1"/>
                        </w14:solidFill>
                      </w14:textFill>
                    </w:rPr>
                  </w:pPr>
                  <w:r>
                    <w:rPr>
                      <w:snapToGrid w:val="0"/>
                      <w:color w:val="000000" w:themeColor="text1"/>
                      <w:sz w:val="21"/>
                      <w:szCs w:val="18"/>
                      <w14:textFill>
                        <w14:solidFill>
                          <w14:schemeClr w14:val="tx1"/>
                        </w14:solidFill>
                      </w14:textFill>
                    </w:rPr>
                    <w:t>锌</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Ex>
              <w:trPr>
                <w:trHeight w:val="410" w:hRule="atLeast"/>
              </w:trPr>
              <w:tc>
                <w:tcPr>
                  <w:tcW w:w="1377" w:type="dxa"/>
                  <w:vAlign w:val="center"/>
                </w:tcPr>
                <w:p>
                  <w:pPr>
                    <w:snapToGrid w:val="0"/>
                    <w:jc w:val="center"/>
                    <w:rPr>
                      <w:snapToGrid w:val="0"/>
                      <w:color w:val="000000" w:themeColor="text1"/>
                      <w:sz w:val="21"/>
                      <w:szCs w:val="18"/>
                      <w14:textFill>
                        <w14:solidFill>
                          <w14:schemeClr w14:val="tx1"/>
                        </w14:solidFill>
                      </w14:textFill>
                    </w:rPr>
                  </w:pPr>
                  <w:r>
                    <w:rPr>
                      <w:snapToGrid w:val="0"/>
                      <w:color w:val="000000" w:themeColor="text1"/>
                      <w:sz w:val="21"/>
                      <w:szCs w:val="18"/>
                      <w14:textFill>
                        <w14:solidFill>
                          <w14:schemeClr w14:val="tx1"/>
                        </w14:solidFill>
                      </w14:textFill>
                    </w:rPr>
                    <w:t>评价标准</w:t>
                  </w:r>
                </w:p>
              </w:tc>
              <w:tc>
                <w:tcPr>
                  <w:tcW w:w="881" w:type="dxa"/>
                  <w:vAlign w:val="center"/>
                </w:tcPr>
                <w:p>
                  <w:pPr>
                    <w:snapToGrid w:val="0"/>
                    <w:jc w:val="center"/>
                    <w:rPr>
                      <w:snapToGrid w:val="0"/>
                      <w:color w:val="000000" w:themeColor="text1"/>
                      <w:sz w:val="21"/>
                      <w:szCs w:val="18"/>
                      <w14:textFill>
                        <w14:solidFill>
                          <w14:schemeClr w14:val="tx1"/>
                        </w14:solidFill>
                      </w14:textFill>
                    </w:rPr>
                  </w:pPr>
                  <w:r>
                    <w:rPr>
                      <w:snapToGrid w:val="0"/>
                      <w:color w:val="000000" w:themeColor="text1"/>
                      <w:sz w:val="21"/>
                      <w:szCs w:val="18"/>
                      <w14:textFill>
                        <w14:solidFill>
                          <w14:schemeClr w14:val="tx1"/>
                        </w14:solidFill>
                      </w14:textFill>
                    </w:rPr>
                    <w:t>≤0.05</w:t>
                  </w:r>
                </w:p>
              </w:tc>
              <w:tc>
                <w:tcPr>
                  <w:tcW w:w="1024" w:type="dxa"/>
                  <w:vAlign w:val="center"/>
                </w:tcPr>
                <w:p>
                  <w:pPr>
                    <w:snapToGrid w:val="0"/>
                    <w:jc w:val="center"/>
                    <w:rPr>
                      <w:snapToGrid w:val="0"/>
                      <w:color w:val="000000" w:themeColor="text1"/>
                      <w:sz w:val="21"/>
                      <w:szCs w:val="18"/>
                      <w14:textFill>
                        <w14:solidFill>
                          <w14:schemeClr w14:val="tx1"/>
                        </w14:solidFill>
                      </w14:textFill>
                    </w:rPr>
                  </w:pPr>
                  <w:r>
                    <w:rPr>
                      <w:snapToGrid w:val="0"/>
                      <w:color w:val="000000" w:themeColor="text1"/>
                      <w:sz w:val="21"/>
                      <w:szCs w:val="18"/>
                      <w14:textFill>
                        <w14:solidFill>
                          <w14:schemeClr w14:val="tx1"/>
                        </w14:solidFill>
                      </w14:textFill>
                    </w:rPr>
                    <w:t>≤1.0</w:t>
                  </w:r>
                </w:p>
              </w:tc>
              <w:tc>
                <w:tcPr>
                  <w:tcW w:w="959" w:type="dxa"/>
                  <w:tcBorders>
                    <w:right w:val="single" w:color="auto" w:sz="4" w:space="0"/>
                  </w:tcBorders>
                  <w:vAlign w:val="center"/>
                </w:tcPr>
                <w:p>
                  <w:pPr>
                    <w:snapToGrid w:val="0"/>
                    <w:jc w:val="center"/>
                    <w:rPr>
                      <w:snapToGrid w:val="0"/>
                      <w:color w:val="000000" w:themeColor="text1"/>
                      <w:sz w:val="21"/>
                      <w:szCs w:val="18"/>
                      <w14:textFill>
                        <w14:solidFill>
                          <w14:schemeClr w14:val="tx1"/>
                        </w14:solidFill>
                      </w14:textFill>
                    </w:rPr>
                  </w:pPr>
                  <w:r>
                    <w:rPr>
                      <w:snapToGrid w:val="0"/>
                      <w:color w:val="000000" w:themeColor="text1"/>
                      <w:sz w:val="21"/>
                      <w:szCs w:val="18"/>
                      <w14:textFill>
                        <w14:solidFill>
                          <w14:schemeClr w14:val="tx1"/>
                        </w14:solidFill>
                      </w14:textFill>
                    </w:rPr>
                    <w:t>≤0.2</w:t>
                  </w:r>
                </w:p>
              </w:tc>
              <w:tc>
                <w:tcPr>
                  <w:tcW w:w="959" w:type="dxa"/>
                  <w:tcBorders>
                    <w:right w:val="single" w:color="auto" w:sz="4" w:space="0"/>
                  </w:tcBorders>
                  <w:vAlign w:val="center"/>
                </w:tcPr>
                <w:p>
                  <w:pPr>
                    <w:snapToGrid w:val="0"/>
                    <w:jc w:val="center"/>
                    <w:rPr>
                      <w:snapToGrid w:val="0"/>
                      <w:color w:val="000000" w:themeColor="text1"/>
                      <w:sz w:val="21"/>
                      <w:szCs w:val="18"/>
                      <w14:textFill>
                        <w14:solidFill>
                          <w14:schemeClr w14:val="tx1"/>
                        </w14:solidFill>
                      </w14:textFill>
                    </w:rPr>
                  </w:pPr>
                  <w:r>
                    <w:rPr>
                      <w:snapToGrid w:val="0"/>
                      <w:color w:val="000000" w:themeColor="text1"/>
                      <w:sz w:val="21"/>
                      <w:szCs w:val="18"/>
                      <w14:textFill>
                        <w14:solidFill>
                          <w14:schemeClr w14:val="tx1"/>
                        </w14:solidFill>
                      </w14:textFill>
                    </w:rPr>
                    <w:t>≤0.2</w:t>
                  </w:r>
                </w:p>
              </w:tc>
              <w:tc>
                <w:tcPr>
                  <w:tcW w:w="799" w:type="dxa"/>
                  <w:tcBorders>
                    <w:left w:val="single" w:color="auto" w:sz="4" w:space="0"/>
                  </w:tcBorders>
                  <w:vAlign w:val="center"/>
                </w:tcPr>
                <w:p>
                  <w:pPr>
                    <w:snapToGrid w:val="0"/>
                    <w:jc w:val="center"/>
                    <w:rPr>
                      <w:snapToGrid w:val="0"/>
                      <w:color w:val="000000" w:themeColor="text1"/>
                      <w:sz w:val="21"/>
                      <w:szCs w:val="18"/>
                      <w14:textFill>
                        <w14:solidFill>
                          <w14:schemeClr w14:val="tx1"/>
                        </w14:solidFill>
                      </w14:textFill>
                    </w:rPr>
                  </w:pPr>
                  <w:r>
                    <w:rPr>
                      <w:snapToGrid w:val="0"/>
                      <w:color w:val="000000" w:themeColor="text1"/>
                      <w:sz w:val="21"/>
                      <w:szCs w:val="18"/>
                      <w14:textFill>
                        <w14:solidFill>
                          <w14:schemeClr w14:val="tx1"/>
                        </w14:solidFill>
                      </w14:textFill>
                    </w:rPr>
                    <w:t>≤1.0</w:t>
                  </w:r>
                </w:p>
              </w:tc>
              <w:tc>
                <w:tcPr>
                  <w:tcW w:w="1331" w:type="dxa"/>
                  <w:vAlign w:val="center"/>
                </w:tcPr>
                <w:p>
                  <w:pPr>
                    <w:snapToGrid w:val="0"/>
                    <w:jc w:val="center"/>
                    <w:rPr>
                      <w:snapToGrid w:val="0"/>
                      <w:color w:val="000000" w:themeColor="text1"/>
                      <w:sz w:val="21"/>
                      <w:szCs w:val="18"/>
                      <w14:textFill>
                        <w14:solidFill>
                          <w14:schemeClr w14:val="tx1"/>
                        </w14:solidFill>
                      </w14:textFill>
                    </w:rPr>
                  </w:pPr>
                  <w:r>
                    <w:rPr>
                      <w:snapToGrid w:val="0"/>
                      <w:color w:val="000000" w:themeColor="text1"/>
                      <w:sz w:val="21"/>
                      <w:szCs w:val="18"/>
                      <w14:textFill>
                        <w14:solidFill>
                          <w14:schemeClr w14:val="tx1"/>
                        </w14:solidFill>
                      </w14:textFill>
                    </w:rPr>
                    <w:t>≤0.2</w:t>
                  </w:r>
                </w:p>
              </w:tc>
              <w:tc>
                <w:tcPr>
                  <w:tcW w:w="1277" w:type="dxa"/>
                  <w:vAlign w:val="center"/>
                </w:tcPr>
                <w:p>
                  <w:pPr>
                    <w:snapToGrid w:val="0"/>
                    <w:jc w:val="center"/>
                    <w:rPr>
                      <w:snapToGrid w:val="0"/>
                      <w:color w:val="000000" w:themeColor="text1"/>
                      <w:sz w:val="21"/>
                      <w:szCs w:val="18"/>
                      <w14:textFill>
                        <w14:solidFill>
                          <w14:schemeClr w14:val="tx1"/>
                        </w14:solidFill>
                      </w14:textFill>
                    </w:rPr>
                  </w:pPr>
                  <w:r>
                    <w:rPr>
                      <w:snapToGrid w:val="0"/>
                      <w:color w:val="000000" w:themeColor="text1"/>
                      <w:sz w:val="21"/>
                      <w:szCs w:val="18"/>
                      <w14:textFill>
                        <w14:solidFill>
                          <w14:schemeClr w14:val="tx1"/>
                        </w14:solidFill>
                      </w14:textFill>
                    </w:rPr>
                    <w:t>≤1.0</w:t>
                  </w:r>
                </w:p>
              </w:tc>
            </w:tr>
          </w:tbl>
          <w:p>
            <w:pPr>
              <w:spacing w:line="360" w:lineRule="auto"/>
              <w:jc w:val="left"/>
              <w:rPr>
                <w:rFonts w:ascii="Times New Roman" w:hAnsi="Times New Roman"/>
                <w:kern w:val="2"/>
                <w:szCs w:val="24"/>
              </w:rPr>
            </w:pPr>
            <w:r>
              <w:rPr>
                <w:rFonts w:hint="eastAsia" w:ascii="Times New Roman" w:hAnsi="Times New Roman"/>
                <w:kern w:val="2"/>
                <w:szCs w:val="24"/>
              </w:rPr>
              <w:t>4、</w:t>
            </w:r>
            <w:r>
              <w:rPr>
                <w:rFonts w:ascii="Times New Roman" w:hAnsi="Times New Roman"/>
                <w:kern w:val="2"/>
                <w:szCs w:val="24"/>
              </w:rPr>
              <w:t>《地</w:t>
            </w:r>
            <w:r>
              <w:rPr>
                <w:rFonts w:hint="eastAsia" w:ascii="Times New Roman" w:hAnsi="Times New Roman"/>
                <w:kern w:val="2"/>
                <w:szCs w:val="24"/>
              </w:rPr>
              <w:t>下</w:t>
            </w:r>
            <w:r>
              <w:rPr>
                <w:rFonts w:ascii="Times New Roman" w:hAnsi="Times New Roman"/>
                <w:kern w:val="2"/>
                <w:szCs w:val="24"/>
              </w:rPr>
              <w:t>水质量标准》（GB</w:t>
            </w:r>
            <w:r>
              <w:rPr>
                <w:rFonts w:hint="eastAsia" w:ascii="Times New Roman" w:hAnsi="Times New Roman"/>
                <w:kern w:val="2"/>
                <w:szCs w:val="24"/>
              </w:rPr>
              <w:t>/T1484</w:t>
            </w:r>
            <w:r>
              <w:rPr>
                <w:rFonts w:ascii="Times New Roman" w:hAnsi="Times New Roman"/>
                <w:kern w:val="2"/>
                <w:szCs w:val="24"/>
              </w:rPr>
              <w:t>8-2017）</w:t>
            </w:r>
            <w:r>
              <w:rPr>
                <w:rFonts w:hint="eastAsia" w:ascii="Times New Roman" w:hAnsi="Times New Roman"/>
                <w:kern w:val="2"/>
                <w:szCs w:val="24"/>
              </w:rPr>
              <w:t>Ⅲ</w:t>
            </w:r>
            <w:r>
              <w:rPr>
                <w:rFonts w:ascii="Times New Roman" w:hAnsi="Times New Roman"/>
                <w:kern w:val="2"/>
                <w:szCs w:val="24"/>
              </w:rPr>
              <w:t>类标准</w:t>
            </w:r>
            <w:r>
              <w:rPr>
                <w:rFonts w:hint="eastAsia" w:ascii="Times New Roman" w:hAnsi="Times New Roman"/>
                <w:kern w:val="2"/>
                <w:szCs w:val="24"/>
              </w:rPr>
              <w:t>；</w:t>
            </w:r>
          </w:p>
          <w:p>
            <w:pPr>
              <w:keepNext/>
              <w:spacing w:line="360" w:lineRule="auto"/>
              <w:jc w:val="center"/>
              <w:rPr>
                <w:rFonts w:ascii="Times New Roman" w:hAnsi="Times New Roman" w:eastAsia="黑体"/>
                <w:kern w:val="2"/>
                <w:sz w:val="20"/>
              </w:rPr>
            </w:pPr>
            <w:bookmarkStart w:id="6" w:name="_Ref214182929"/>
            <w:r>
              <w:rPr>
                <w:rFonts w:ascii="Times New Roman" w:hAnsi="Times New Roman" w:eastAsia="黑体"/>
                <w:kern w:val="2"/>
              </w:rPr>
              <w:t>表</w:t>
            </w:r>
            <w:bookmarkEnd w:id="6"/>
            <w:r>
              <w:rPr>
                <w:rFonts w:ascii="Times New Roman" w:hAnsi="Times New Roman" w:eastAsia="黑体"/>
                <w:kern w:val="2"/>
              </w:rPr>
              <w:t>1</w:t>
            </w:r>
            <w:r>
              <w:rPr>
                <w:rFonts w:hint="eastAsia" w:ascii="Times New Roman" w:hAnsi="Times New Roman" w:eastAsia="黑体"/>
                <w:kern w:val="2"/>
              </w:rPr>
              <w:t>5</w:t>
            </w:r>
            <w:r>
              <w:rPr>
                <w:rFonts w:ascii="Times New Roman" w:hAnsi="Times New Roman" w:eastAsia="黑体"/>
                <w:kern w:val="2"/>
              </w:rPr>
              <w:t xml:space="preserve"> 地下水质量标准</w:t>
            </w:r>
            <w:r>
              <w:rPr>
                <w:rFonts w:ascii="Times New Roman" w:hAnsi="Times New Roman" w:eastAsia="黑体"/>
                <w:kern w:val="2"/>
                <w:sz w:val="28"/>
              </w:rPr>
              <w:t xml:space="preserve">  </w:t>
            </w:r>
            <w:r>
              <w:rPr>
                <w:rFonts w:ascii="Times New Roman" w:hAnsi="Times New Roman" w:eastAsia="黑体"/>
                <w:kern w:val="2"/>
                <w:sz w:val="21"/>
              </w:rPr>
              <w:t>(单位：mg/L，pH、总大肠菌群</w:t>
            </w:r>
            <w:r>
              <w:rPr>
                <w:rFonts w:ascii="Times New Roman" w:hAnsi="Times New Roman" w:eastAsia="黑体"/>
                <w:spacing w:val="-10"/>
                <w:kern w:val="2"/>
                <w:sz w:val="20"/>
              </w:rPr>
              <w:t>（个/L）</w:t>
            </w:r>
            <w:r>
              <w:rPr>
                <w:rFonts w:ascii="Times New Roman" w:hAnsi="Times New Roman" w:eastAsia="黑体"/>
                <w:kern w:val="2"/>
                <w:sz w:val="21"/>
              </w:rPr>
              <w:t>除外)</w:t>
            </w:r>
          </w:p>
          <w:tbl>
            <w:tblPr>
              <w:tblStyle w:val="30"/>
              <w:tblW w:w="862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5"/>
              <w:gridCol w:w="1343"/>
              <w:gridCol w:w="1233"/>
              <w:gridCol w:w="1499"/>
              <w:gridCol w:w="1203"/>
              <w:gridCol w:w="1159"/>
              <w:gridCol w:w="10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1095" w:type="dxa"/>
                </w:tcPr>
                <w:p>
                  <w:pPr>
                    <w:jc w:val="center"/>
                    <w:rPr>
                      <w:rFonts w:ascii="Times New Roman" w:hAnsi="Times New Roman"/>
                      <w:kern w:val="2"/>
                      <w:sz w:val="21"/>
                      <w:szCs w:val="21"/>
                    </w:rPr>
                  </w:pPr>
                  <w:r>
                    <w:rPr>
                      <w:rFonts w:ascii="Times New Roman" w:hAnsi="Times New Roman"/>
                      <w:kern w:val="2"/>
                      <w:sz w:val="21"/>
                      <w:szCs w:val="21"/>
                    </w:rPr>
                    <w:t>pH</w:t>
                  </w:r>
                </w:p>
              </w:tc>
              <w:tc>
                <w:tcPr>
                  <w:tcW w:w="1343" w:type="dxa"/>
                </w:tcPr>
                <w:p>
                  <w:pPr>
                    <w:jc w:val="center"/>
                    <w:rPr>
                      <w:rFonts w:ascii="Times New Roman" w:hAnsi="Times New Roman"/>
                      <w:kern w:val="2"/>
                      <w:sz w:val="21"/>
                      <w:szCs w:val="21"/>
                    </w:rPr>
                  </w:pPr>
                  <w:r>
                    <w:rPr>
                      <w:rFonts w:ascii="Times New Roman" w:hAnsi="Times New Roman"/>
                      <w:kern w:val="2"/>
                      <w:sz w:val="21"/>
                      <w:szCs w:val="21"/>
                    </w:rPr>
                    <w:t>总硬度</w:t>
                  </w:r>
                </w:p>
              </w:tc>
              <w:tc>
                <w:tcPr>
                  <w:tcW w:w="1233" w:type="dxa"/>
                </w:tcPr>
                <w:p>
                  <w:pPr>
                    <w:ind w:right="-156" w:rightChars="-65"/>
                    <w:jc w:val="center"/>
                    <w:rPr>
                      <w:rFonts w:ascii="Times New Roman" w:hAnsi="Times New Roman"/>
                      <w:kern w:val="2"/>
                      <w:sz w:val="21"/>
                      <w:szCs w:val="21"/>
                    </w:rPr>
                  </w:pPr>
                  <w:r>
                    <w:rPr>
                      <w:rFonts w:ascii="Times New Roman" w:hAnsi="Times New Roman"/>
                      <w:kern w:val="2"/>
                      <w:sz w:val="21"/>
                      <w:szCs w:val="21"/>
                    </w:rPr>
                    <w:t>溶解性固体</w:t>
                  </w:r>
                </w:p>
              </w:tc>
              <w:tc>
                <w:tcPr>
                  <w:tcW w:w="1499" w:type="dxa"/>
                </w:tcPr>
                <w:p>
                  <w:pPr>
                    <w:jc w:val="center"/>
                    <w:rPr>
                      <w:rFonts w:ascii="Times New Roman" w:hAnsi="Times New Roman"/>
                      <w:kern w:val="2"/>
                      <w:sz w:val="21"/>
                      <w:szCs w:val="21"/>
                    </w:rPr>
                  </w:pPr>
                  <w:r>
                    <w:rPr>
                      <w:rFonts w:ascii="Times New Roman" w:hAnsi="Times New Roman"/>
                      <w:kern w:val="2"/>
                      <w:sz w:val="21"/>
                      <w:szCs w:val="21"/>
                    </w:rPr>
                    <w:t>硫酸盐</w:t>
                  </w:r>
                </w:p>
              </w:tc>
              <w:tc>
                <w:tcPr>
                  <w:tcW w:w="1203" w:type="dxa"/>
                </w:tcPr>
                <w:p>
                  <w:pPr>
                    <w:jc w:val="center"/>
                    <w:rPr>
                      <w:rFonts w:ascii="Times New Roman" w:hAnsi="Times New Roman"/>
                      <w:kern w:val="2"/>
                      <w:sz w:val="21"/>
                      <w:szCs w:val="21"/>
                    </w:rPr>
                  </w:pPr>
                  <w:r>
                    <w:rPr>
                      <w:rFonts w:ascii="Times New Roman" w:hAnsi="Times New Roman"/>
                      <w:kern w:val="2"/>
                      <w:sz w:val="21"/>
                      <w:szCs w:val="21"/>
                    </w:rPr>
                    <w:t>硝酸盐</w:t>
                  </w:r>
                </w:p>
              </w:tc>
              <w:tc>
                <w:tcPr>
                  <w:tcW w:w="1159" w:type="dxa"/>
                </w:tcPr>
                <w:p>
                  <w:pPr>
                    <w:jc w:val="center"/>
                    <w:rPr>
                      <w:rFonts w:ascii="Times New Roman" w:hAnsi="Times New Roman"/>
                      <w:kern w:val="2"/>
                      <w:sz w:val="21"/>
                      <w:szCs w:val="21"/>
                    </w:rPr>
                  </w:pPr>
                  <w:r>
                    <w:rPr>
                      <w:rFonts w:ascii="Times New Roman" w:hAnsi="Times New Roman"/>
                      <w:kern w:val="2"/>
                      <w:sz w:val="21"/>
                      <w:szCs w:val="21"/>
                    </w:rPr>
                    <w:t>亚硝酸盐</w:t>
                  </w:r>
                </w:p>
              </w:tc>
              <w:tc>
                <w:tcPr>
                  <w:tcW w:w="1095" w:type="dxa"/>
                </w:tcPr>
                <w:p>
                  <w:pPr>
                    <w:jc w:val="center"/>
                    <w:rPr>
                      <w:rFonts w:ascii="Times New Roman" w:hAnsi="Times New Roman"/>
                      <w:kern w:val="2"/>
                      <w:sz w:val="21"/>
                      <w:szCs w:val="21"/>
                    </w:rPr>
                  </w:pPr>
                  <w:r>
                    <w:rPr>
                      <w:rFonts w:ascii="Times New Roman" w:hAnsi="Times New Roman"/>
                      <w:kern w:val="2"/>
                      <w:sz w:val="21"/>
                      <w:szCs w:val="21"/>
                    </w:rPr>
                    <w:t>氰化物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1095" w:type="dxa"/>
                </w:tcPr>
                <w:p>
                  <w:pPr>
                    <w:ind w:right="-230" w:rightChars="-96"/>
                    <w:jc w:val="center"/>
                    <w:rPr>
                      <w:rFonts w:ascii="Times New Roman" w:hAnsi="Times New Roman"/>
                      <w:bCs/>
                      <w:kern w:val="2"/>
                      <w:sz w:val="21"/>
                      <w:szCs w:val="21"/>
                    </w:rPr>
                  </w:pPr>
                  <w:r>
                    <w:rPr>
                      <w:rFonts w:ascii="Times New Roman" w:hAnsi="Times New Roman"/>
                      <w:bCs/>
                      <w:kern w:val="2"/>
                      <w:sz w:val="21"/>
                      <w:szCs w:val="21"/>
                    </w:rPr>
                    <w:t>6.5～8.5</w:t>
                  </w:r>
                </w:p>
              </w:tc>
              <w:tc>
                <w:tcPr>
                  <w:tcW w:w="1343" w:type="dxa"/>
                </w:tcPr>
                <w:p>
                  <w:pPr>
                    <w:jc w:val="center"/>
                    <w:rPr>
                      <w:rFonts w:ascii="Times New Roman" w:hAnsi="Times New Roman"/>
                      <w:bCs/>
                      <w:kern w:val="2"/>
                      <w:sz w:val="21"/>
                      <w:szCs w:val="21"/>
                    </w:rPr>
                  </w:pPr>
                  <w:r>
                    <w:rPr>
                      <w:rFonts w:ascii="Times New Roman" w:hAnsi="Times New Roman"/>
                      <w:bCs/>
                      <w:kern w:val="2"/>
                      <w:sz w:val="21"/>
                      <w:szCs w:val="21"/>
                    </w:rPr>
                    <w:t>≤450</w:t>
                  </w:r>
                </w:p>
              </w:tc>
              <w:tc>
                <w:tcPr>
                  <w:tcW w:w="1233" w:type="dxa"/>
                </w:tcPr>
                <w:p>
                  <w:pPr>
                    <w:jc w:val="center"/>
                    <w:rPr>
                      <w:rFonts w:ascii="Times New Roman" w:hAnsi="Times New Roman"/>
                      <w:bCs/>
                      <w:kern w:val="2"/>
                      <w:sz w:val="21"/>
                      <w:szCs w:val="21"/>
                    </w:rPr>
                  </w:pPr>
                  <w:r>
                    <w:rPr>
                      <w:rFonts w:ascii="Times New Roman" w:hAnsi="Times New Roman"/>
                      <w:bCs/>
                      <w:kern w:val="2"/>
                      <w:sz w:val="21"/>
                      <w:szCs w:val="21"/>
                    </w:rPr>
                    <w:t>≤1000</w:t>
                  </w:r>
                </w:p>
              </w:tc>
              <w:tc>
                <w:tcPr>
                  <w:tcW w:w="1499" w:type="dxa"/>
                </w:tcPr>
                <w:p>
                  <w:pPr>
                    <w:ind w:firstLine="210" w:firstLineChars="100"/>
                    <w:jc w:val="center"/>
                    <w:rPr>
                      <w:rFonts w:ascii="Times New Roman" w:hAnsi="Times New Roman"/>
                      <w:kern w:val="2"/>
                      <w:sz w:val="21"/>
                      <w:szCs w:val="21"/>
                    </w:rPr>
                  </w:pPr>
                  <w:r>
                    <w:rPr>
                      <w:rFonts w:ascii="Times New Roman" w:hAnsi="Times New Roman"/>
                      <w:kern w:val="2"/>
                      <w:sz w:val="21"/>
                      <w:szCs w:val="21"/>
                    </w:rPr>
                    <w:t>≤250</w:t>
                  </w:r>
                </w:p>
              </w:tc>
              <w:tc>
                <w:tcPr>
                  <w:tcW w:w="1203" w:type="dxa"/>
                </w:tcPr>
                <w:p>
                  <w:pPr>
                    <w:jc w:val="center"/>
                    <w:rPr>
                      <w:rFonts w:ascii="Times New Roman" w:hAnsi="Times New Roman"/>
                      <w:kern w:val="2"/>
                      <w:sz w:val="21"/>
                      <w:szCs w:val="21"/>
                    </w:rPr>
                  </w:pPr>
                  <w:r>
                    <w:rPr>
                      <w:rFonts w:ascii="Times New Roman" w:hAnsi="Times New Roman"/>
                      <w:kern w:val="2"/>
                      <w:sz w:val="21"/>
                      <w:szCs w:val="21"/>
                    </w:rPr>
                    <w:t>≤20</w:t>
                  </w:r>
                </w:p>
              </w:tc>
              <w:tc>
                <w:tcPr>
                  <w:tcW w:w="1159" w:type="dxa"/>
                </w:tcPr>
                <w:p>
                  <w:pPr>
                    <w:jc w:val="center"/>
                    <w:rPr>
                      <w:rFonts w:ascii="Times New Roman" w:hAnsi="Times New Roman"/>
                      <w:kern w:val="2"/>
                      <w:sz w:val="21"/>
                      <w:szCs w:val="21"/>
                    </w:rPr>
                  </w:pPr>
                  <w:r>
                    <w:rPr>
                      <w:rFonts w:ascii="Times New Roman" w:hAnsi="Times New Roman"/>
                      <w:kern w:val="2"/>
                      <w:sz w:val="21"/>
                      <w:szCs w:val="21"/>
                    </w:rPr>
                    <w:t>≤0.02</w:t>
                  </w:r>
                </w:p>
              </w:tc>
              <w:tc>
                <w:tcPr>
                  <w:tcW w:w="1095" w:type="dxa"/>
                </w:tcPr>
                <w:p>
                  <w:pPr>
                    <w:jc w:val="center"/>
                    <w:rPr>
                      <w:rFonts w:ascii="Times New Roman" w:hAnsi="Times New Roman"/>
                      <w:bCs/>
                      <w:kern w:val="2"/>
                      <w:sz w:val="21"/>
                      <w:szCs w:val="21"/>
                    </w:rPr>
                  </w:pPr>
                  <w:r>
                    <w:rPr>
                      <w:rFonts w:ascii="Times New Roman" w:hAnsi="Times New Roman"/>
                      <w:bCs/>
                      <w:kern w:val="2"/>
                      <w:sz w:val="21"/>
                      <w:szCs w:val="21"/>
                    </w:rPr>
                    <w:t>≤0.05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1095" w:type="dxa"/>
                </w:tcPr>
                <w:p>
                  <w:pPr>
                    <w:jc w:val="center"/>
                    <w:rPr>
                      <w:rFonts w:ascii="Times New Roman" w:hAnsi="Times New Roman"/>
                      <w:kern w:val="2"/>
                      <w:sz w:val="21"/>
                      <w:szCs w:val="21"/>
                    </w:rPr>
                  </w:pPr>
                  <w:r>
                    <w:rPr>
                      <w:rFonts w:hint="eastAsia" w:ascii="Times New Roman" w:hAnsi="Times New Roman"/>
                      <w:kern w:val="2"/>
                      <w:sz w:val="21"/>
                      <w:szCs w:val="21"/>
                    </w:rPr>
                    <w:t>氯化物</w:t>
                  </w:r>
                </w:p>
              </w:tc>
              <w:tc>
                <w:tcPr>
                  <w:tcW w:w="1343" w:type="dxa"/>
                </w:tcPr>
                <w:p>
                  <w:pPr>
                    <w:jc w:val="center"/>
                    <w:rPr>
                      <w:rFonts w:ascii="Times New Roman" w:hAnsi="Times New Roman"/>
                      <w:kern w:val="2"/>
                      <w:sz w:val="21"/>
                      <w:szCs w:val="21"/>
                    </w:rPr>
                  </w:pPr>
                  <w:r>
                    <w:rPr>
                      <w:rFonts w:ascii="Times New Roman" w:hAnsi="Times New Roman"/>
                      <w:kern w:val="2"/>
                      <w:sz w:val="21"/>
                      <w:szCs w:val="21"/>
                    </w:rPr>
                    <w:t>总大肠菌群</w:t>
                  </w:r>
                </w:p>
              </w:tc>
              <w:tc>
                <w:tcPr>
                  <w:tcW w:w="1233" w:type="dxa"/>
                </w:tcPr>
                <w:p>
                  <w:pPr>
                    <w:jc w:val="center"/>
                    <w:rPr>
                      <w:rFonts w:ascii="Times New Roman" w:hAnsi="Times New Roman"/>
                      <w:kern w:val="2"/>
                      <w:sz w:val="21"/>
                      <w:szCs w:val="21"/>
                    </w:rPr>
                  </w:pPr>
                  <w:r>
                    <w:rPr>
                      <w:rFonts w:ascii="Times New Roman" w:hAnsi="Times New Roman"/>
                      <w:kern w:val="2"/>
                      <w:sz w:val="21"/>
                      <w:szCs w:val="21"/>
                    </w:rPr>
                    <w:t>六价铬</w:t>
                  </w:r>
                </w:p>
              </w:tc>
              <w:tc>
                <w:tcPr>
                  <w:tcW w:w="1499" w:type="dxa"/>
                </w:tcPr>
                <w:p>
                  <w:pPr>
                    <w:jc w:val="center"/>
                    <w:rPr>
                      <w:rFonts w:ascii="Times New Roman" w:hAnsi="Times New Roman"/>
                      <w:kern w:val="2"/>
                      <w:sz w:val="21"/>
                      <w:szCs w:val="21"/>
                    </w:rPr>
                  </w:pPr>
                  <w:r>
                    <w:rPr>
                      <w:rFonts w:ascii="Times New Roman" w:hAnsi="Times New Roman"/>
                      <w:kern w:val="2"/>
                      <w:sz w:val="21"/>
                      <w:szCs w:val="21"/>
                    </w:rPr>
                    <w:t>铅</w:t>
                  </w:r>
                </w:p>
              </w:tc>
              <w:tc>
                <w:tcPr>
                  <w:tcW w:w="1203" w:type="dxa"/>
                </w:tcPr>
                <w:p>
                  <w:pPr>
                    <w:ind w:firstLine="210" w:firstLineChars="100"/>
                    <w:jc w:val="center"/>
                    <w:rPr>
                      <w:rFonts w:ascii="Times New Roman" w:hAnsi="Times New Roman"/>
                      <w:kern w:val="2"/>
                      <w:sz w:val="21"/>
                      <w:szCs w:val="21"/>
                    </w:rPr>
                  </w:pPr>
                  <w:r>
                    <w:rPr>
                      <w:rFonts w:hint="eastAsia" w:ascii="Times New Roman" w:hAnsi="Times New Roman"/>
                      <w:kern w:val="2"/>
                      <w:sz w:val="21"/>
                      <w:szCs w:val="21"/>
                    </w:rPr>
                    <w:t>锰</w:t>
                  </w:r>
                </w:p>
              </w:tc>
              <w:tc>
                <w:tcPr>
                  <w:tcW w:w="1159" w:type="dxa"/>
                </w:tcPr>
                <w:p>
                  <w:pPr>
                    <w:jc w:val="center"/>
                    <w:rPr>
                      <w:rFonts w:ascii="Times New Roman" w:hAnsi="Times New Roman"/>
                      <w:kern w:val="2"/>
                      <w:sz w:val="21"/>
                      <w:szCs w:val="21"/>
                    </w:rPr>
                  </w:pPr>
                  <w:r>
                    <w:rPr>
                      <w:rFonts w:hint="eastAsia" w:ascii="Times New Roman" w:hAnsi="Times New Roman"/>
                      <w:kern w:val="2"/>
                      <w:sz w:val="21"/>
                      <w:szCs w:val="21"/>
                    </w:rPr>
                    <w:t>铜</w:t>
                  </w:r>
                </w:p>
              </w:tc>
              <w:tc>
                <w:tcPr>
                  <w:tcW w:w="1095" w:type="dxa"/>
                </w:tcPr>
                <w:p>
                  <w:pPr>
                    <w:jc w:val="center"/>
                    <w:rPr>
                      <w:rFonts w:ascii="Times New Roman" w:hAnsi="Times New Roman"/>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1095" w:type="dxa"/>
                </w:tcPr>
                <w:p>
                  <w:pPr>
                    <w:jc w:val="center"/>
                    <w:rPr>
                      <w:rFonts w:ascii="Times New Roman" w:hAnsi="Times New Roman"/>
                      <w:kern w:val="2"/>
                      <w:sz w:val="21"/>
                      <w:szCs w:val="21"/>
                    </w:rPr>
                  </w:pPr>
                  <w:r>
                    <w:rPr>
                      <w:rFonts w:ascii="Times New Roman" w:hAnsi="Times New Roman"/>
                      <w:kern w:val="2"/>
                      <w:sz w:val="21"/>
                      <w:szCs w:val="21"/>
                    </w:rPr>
                    <w:t>≤250</w:t>
                  </w:r>
                </w:p>
              </w:tc>
              <w:tc>
                <w:tcPr>
                  <w:tcW w:w="1343" w:type="dxa"/>
                </w:tcPr>
                <w:p>
                  <w:pPr>
                    <w:jc w:val="center"/>
                    <w:rPr>
                      <w:rFonts w:ascii="Times New Roman" w:hAnsi="Times New Roman"/>
                      <w:bCs/>
                      <w:kern w:val="2"/>
                      <w:sz w:val="21"/>
                      <w:szCs w:val="21"/>
                    </w:rPr>
                  </w:pPr>
                  <w:r>
                    <w:rPr>
                      <w:rFonts w:ascii="Times New Roman" w:hAnsi="Times New Roman"/>
                      <w:bCs/>
                      <w:kern w:val="2"/>
                      <w:sz w:val="21"/>
                      <w:szCs w:val="21"/>
                    </w:rPr>
                    <w:t>≤3.0</w:t>
                  </w:r>
                </w:p>
              </w:tc>
              <w:tc>
                <w:tcPr>
                  <w:tcW w:w="1233" w:type="dxa"/>
                </w:tcPr>
                <w:p>
                  <w:pPr>
                    <w:jc w:val="center"/>
                    <w:rPr>
                      <w:rFonts w:ascii="Times New Roman" w:hAnsi="Times New Roman"/>
                      <w:kern w:val="2"/>
                      <w:sz w:val="21"/>
                      <w:szCs w:val="21"/>
                    </w:rPr>
                  </w:pPr>
                  <w:r>
                    <w:rPr>
                      <w:rFonts w:ascii="Times New Roman" w:hAnsi="Times New Roman"/>
                      <w:kern w:val="2"/>
                      <w:sz w:val="21"/>
                      <w:szCs w:val="21"/>
                    </w:rPr>
                    <w:t>≤0.05</w:t>
                  </w:r>
                </w:p>
              </w:tc>
              <w:tc>
                <w:tcPr>
                  <w:tcW w:w="1499" w:type="dxa"/>
                </w:tcPr>
                <w:p>
                  <w:pPr>
                    <w:jc w:val="center"/>
                    <w:rPr>
                      <w:rFonts w:ascii="Times New Roman" w:hAnsi="Times New Roman"/>
                      <w:kern w:val="2"/>
                      <w:sz w:val="21"/>
                      <w:szCs w:val="21"/>
                    </w:rPr>
                  </w:pPr>
                  <w:r>
                    <w:rPr>
                      <w:rFonts w:ascii="Times New Roman" w:hAnsi="Times New Roman"/>
                      <w:kern w:val="2"/>
                      <w:sz w:val="21"/>
                      <w:szCs w:val="21"/>
                    </w:rPr>
                    <w:t>≤0.05</w:t>
                  </w:r>
                </w:p>
              </w:tc>
              <w:tc>
                <w:tcPr>
                  <w:tcW w:w="1203" w:type="dxa"/>
                </w:tcPr>
                <w:p>
                  <w:pPr>
                    <w:jc w:val="center"/>
                    <w:rPr>
                      <w:rFonts w:ascii="Times New Roman" w:hAnsi="Times New Roman"/>
                      <w:kern w:val="2"/>
                      <w:sz w:val="21"/>
                      <w:szCs w:val="21"/>
                    </w:rPr>
                  </w:pPr>
                  <w:r>
                    <w:rPr>
                      <w:rFonts w:ascii="Times New Roman" w:hAnsi="Times New Roman"/>
                      <w:kern w:val="2"/>
                      <w:sz w:val="21"/>
                      <w:szCs w:val="21"/>
                    </w:rPr>
                    <w:t>≤0.1</w:t>
                  </w:r>
                </w:p>
              </w:tc>
              <w:tc>
                <w:tcPr>
                  <w:tcW w:w="1159" w:type="dxa"/>
                </w:tcPr>
                <w:p>
                  <w:pPr>
                    <w:jc w:val="center"/>
                    <w:rPr>
                      <w:rFonts w:ascii="Times New Roman" w:hAnsi="Times New Roman"/>
                      <w:kern w:val="2"/>
                      <w:sz w:val="21"/>
                      <w:szCs w:val="21"/>
                    </w:rPr>
                  </w:pPr>
                  <w:r>
                    <w:rPr>
                      <w:rFonts w:ascii="Times New Roman" w:hAnsi="Times New Roman"/>
                      <w:kern w:val="2"/>
                      <w:sz w:val="21"/>
                      <w:szCs w:val="21"/>
                    </w:rPr>
                    <w:t>≤1.0</w:t>
                  </w:r>
                </w:p>
              </w:tc>
              <w:tc>
                <w:tcPr>
                  <w:tcW w:w="1095" w:type="dxa"/>
                </w:tcPr>
                <w:p>
                  <w:pPr>
                    <w:jc w:val="center"/>
                    <w:rPr>
                      <w:rFonts w:ascii="Times New Roman" w:hAnsi="Times New Roman"/>
                      <w:kern w:val="2"/>
                      <w:sz w:val="21"/>
                      <w:szCs w:val="21"/>
                    </w:rPr>
                  </w:pPr>
                </w:p>
              </w:tc>
            </w:tr>
          </w:tbl>
          <w:p>
            <w:pPr>
              <w:spacing w:line="360" w:lineRule="auto"/>
              <w:jc w:val="left"/>
              <w:rPr>
                <w:rFonts w:ascii="Times New Roman" w:hAnsi="Times New Roman"/>
                <w:spacing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66" w:hRule="atLeast"/>
        </w:trPr>
        <w:tc>
          <w:tcPr>
            <w:tcW w:w="836" w:type="dxa"/>
            <w:vAlign w:val="center"/>
          </w:tcPr>
          <w:p>
            <w:pPr>
              <w:spacing w:line="360" w:lineRule="auto"/>
              <w:jc w:val="center"/>
              <w:rPr>
                <w:sz w:val="28"/>
              </w:rPr>
            </w:pPr>
            <w:r>
              <w:rPr>
                <w:rFonts w:hint="eastAsia"/>
                <w:sz w:val="28"/>
              </w:rPr>
              <w:t>污</w:t>
            </w:r>
          </w:p>
          <w:p>
            <w:pPr>
              <w:spacing w:line="360" w:lineRule="auto"/>
              <w:jc w:val="center"/>
              <w:rPr>
                <w:sz w:val="28"/>
              </w:rPr>
            </w:pPr>
            <w:r>
              <w:rPr>
                <w:rFonts w:hint="eastAsia"/>
                <w:sz w:val="28"/>
              </w:rPr>
              <w:t>染</w:t>
            </w:r>
          </w:p>
          <w:p>
            <w:pPr>
              <w:spacing w:line="360" w:lineRule="auto"/>
              <w:jc w:val="center"/>
              <w:rPr>
                <w:sz w:val="28"/>
              </w:rPr>
            </w:pPr>
            <w:r>
              <w:rPr>
                <w:rFonts w:hint="eastAsia"/>
                <w:sz w:val="28"/>
              </w:rPr>
              <w:t>物</w:t>
            </w:r>
          </w:p>
          <w:p>
            <w:pPr>
              <w:spacing w:line="360" w:lineRule="auto"/>
              <w:jc w:val="center"/>
              <w:rPr>
                <w:sz w:val="28"/>
              </w:rPr>
            </w:pPr>
            <w:r>
              <w:rPr>
                <w:rFonts w:hint="eastAsia"/>
                <w:sz w:val="28"/>
              </w:rPr>
              <w:t>排</w:t>
            </w:r>
          </w:p>
          <w:p>
            <w:pPr>
              <w:spacing w:line="360" w:lineRule="auto"/>
              <w:jc w:val="center"/>
              <w:rPr>
                <w:sz w:val="28"/>
              </w:rPr>
            </w:pPr>
            <w:r>
              <w:rPr>
                <w:rFonts w:hint="eastAsia"/>
                <w:sz w:val="28"/>
              </w:rPr>
              <w:t>放</w:t>
            </w:r>
          </w:p>
          <w:p>
            <w:pPr>
              <w:spacing w:line="360" w:lineRule="auto"/>
              <w:jc w:val="center"/>
              <w:rPr>
                <w:sz w:val="28"/>
              </w:rPr>
            </w:pPr>
            <w:r>
              <w:rPr>
                <w:rFonts w:hint="eastAsia"/>
                <w:sz w:val="28"/>
              </w:rPr>
              <w:t>标</w:t>
            </w:r>
          </w:p>
          <w:p>
            <w:pPr>
              <w:jc w:val="center"/>
              <w:rPr>
                <w:rFonts w:ascii="Times New Roman" w:hAnsi="Times New Roman"/>
                <w:spacing w:val="20"/>
              </w:rPr>
            </w:pPr>
            <w:r>
              <w:rPr>
                <w:rFonts w:hint="eastAsia"/>
                <w:sz w:val="28"/>
              </w:rPr>
              <w:t>准</w:t>
            </w:r>
          </w:p>
        </w:tc>
        <w:tc>
          <w:tcPr>
            <w:tcW w:w="8853" w:type="dxa"/>
            <w:vAlign w:val="center"/>
          </w:tcPr>
          <w:p>
            <w:pPr>
              <w:widowControl/>
              <w:spacing w:line="360" w:lineRule="auto"/>
              <w:rPr>
                <w:rFonts w:ascii="Times New Roman" w:hAnsi="Times New Roman"/>
                <w:szCs w:val="24"/>
              </w:rPr>
            </w:pPr>
            <w:r>
              <w:rPr>
                <w:rFonts w:ascii="Times New Roman" w:hAnsi="Times New Roman"/>
                <w:szCs w:val="24"/>
              </w:rPr>
              <w:t>1、</w:t>
            </w:r>
            <w:r>
              <w:rPr>
                <w:rFonts w:ascii="Times New Roman" w:hAnsi="Times New Roman"/>
              </w:rPr>
              <w:t>有组织VOCs</w:t>
            </w:r>
            <w:r>
              <w:rPr>
                <w:rFonts w:ascii="Times New Roman" w:hAnsi="Times New Roman"/>
                <w:szCs w:val="24"/>
              </w:rPr>
              <w:t>执行《挥发性有机物排放标准第4部分：印刷业》(DB37/2801.4-2017)表2标准要求</w:t>
            </w:r>
          </w:p>
          <w:p>
            <w:pPr>
              <w:widowControl/>
              <w:spacing w:line="360" w:lineRule="auto"/>
              <w:rPr>
                <w:rFonts w:ascii="Times New Roman" w:hAnsi="Times New Roman"/>
                <w:szCs w:val="24"/>
              </w:rPr>
            </w:pPr>
            <w:r>
              <w:rPr>
                <w:rFonts w:ascii="Times New Roman" w:hAnsi="Times New Roman"/>
                <w:szCs w:val="24"/>
              </w:rPr>
              <w:t>2、无组织</w:t>
            </w:r>
            <w:r>
              <w:rPr>
                <w:rFonts w:ascii="Times New Roman" w:hAnsi="Times New Roman"/>
              </w:rPr>
              <w:t>VOCs执行</w:t>
            </w:r>
            <w:r>
              <w:rPr>
                <w:rFonts w:ascii="Times New Roman" w:hAnsi="Times New Roman"/>
                <w:szCs w:val="24"/>
              </w:rPr>
              <w:t>《挥发性有机物排放标准第4部分：印刷业》(DB37/2801.4-2017)表3标准要求</w:t>
            </w:r>
            <w:r>
              <w:rPr>
                <w:rFonts w:ascii="Times New Roman" w:hAnsi="Times New Roman"/>
              </w:rPr>
              <w:t>及</w:t>
            </w:r>
            <w:r>
              <w:rPr>
                <w:rFonts w:ascii="Times New Roman" w:hAnsi="Times New Roman"/>
                <w:color w:val="000000"/>
                <w:kern w:val="2"/>
                <w:szCs w:val="24"/>
              </w:rPr>
              <w:t>《挥发性有机物无组织排放控制标准》（GB37822-2019）附录A.1</w:t>
            </w:r>
            <w:r>
              <w:rPr>
                <w:rFonts w:ascii="Times New Roman" w:hAnsi="Times New Roman"/>
              </w:rPr>
              <w:t>标准要求；</w:t>
            </w:r>
          </w:p>
          <w:p>
            <w:pPr>
              <w:widowControl/>
              <w:spacing w:line="360" w:lineRule="auto"/>
              <w:rPr>
                <w:rFonts w:ascii="Times New Roman" w:hAnsi="Times New Roman"/>
              </w:rPr>
            </w:pPr>
            <w:r>
              <w:rPr>
                <w:rFonts w:ascii="Times New Roman" w:hAnsi="Times New Roman"/>
              </w:rPr>
              <w:t>3</w:t>
            </w:r>
            <w:r>
              <w:rPr>
                <w:rFonts w:hint="eastAsia" w:ascii="Times New Roman" w:hAnsi="Times New Roman"/>
              </w:rPr>
              <w:t>、</w:t>
            </w:r>
            <w:r>
              <w:rPr>
                <w:rFonts w:ascii="Times New Roman" w:hAnsi="Times New Roman"/>
              </w:rPr>
              <w:t>废水排放执行《污水排入城镇下水道水质标准》（GB/T31962-2015）表1 B等级标准；</w:t>
            </w:r>
          </w:p>
          <w:p>
            <w:pPr>
              <w:widowControl/>
              <w:spacing w:line="360" w:lineRule="auto"/>
              <w:rPr>
                <w:rFonts w:ascii="Times New Roman" w:hAnsi="Times New Roman"/>
                <w:szCs w:val="24"/>
              </w:rPr>
            </w:pPr>
            <w:r>
              <w:rPr>
                <w:rFonts w:ascii="Times New Roman" w:hAnsi="Times New Roman"/>
                <w:szCs w:val="24"/>
              </w:rPr>
              <w:t>4、《工业企业厂界环境噪声排放标准》（GB12348</w:t>
            </w:r>
            <w:r>
              <w:rPr>
                <w:rFonts w:hint="eastAsia" w:ascii="Times New Roman" w:hAnsi="Times New Roman"/>
                <w:szCs w:val="24"/>
              </w:rPr>
              <w:t>-</w:t>
            </w:r>
            <w:r>
              <w:rPr>
                <w:rFonts w:ascii="Times New Roman" w:hAnsi="Times New Roman"/>
                <w:szCs w:val="24"/>
              </w:rPr>
              <w:t>2008）3类标准。</w:t>
            </w:r>
          </w:p>
          <w:p>
            <w:pPr>
              <w:widowControl/>
              <w:spacing w:line="360" w:lineRule="auto"/>
              <w:rPr>
                <w:rFonts w:ascii="Times New Roman" w:hAnsi="Times New Roman"/>
                <w:szCs w:val="24"/>
              </w:rPr>
            </w:pPr>
            <w:r>
              <w:rPr>
                <w:rFonts w:ascii="Times New Roman" w:hAnsi="Times New Roman"/>
                <w:szCs w:val="24"/>
              </w:rPr>
              <w:t>5、一般固废执行《一般工业固体废物贮存、处置场污染控制标准》（GB18599-2001）及其修改单；</w:t>
            </w:r>
          </w:p>
          <w:p>
            <w:pPr>
              <w:widowControl/>
              <w:spacing w:line="360" w:lineRule="auto"/>
              <w:rPr>
                <w:rFonts w:ascii="Times New Roman" w:hAnsi="Times New Roman"/>
                <w:szCs w:val="24"/>
              </w:rPr>
            </w:pPr>
            <w:r>
              <w:rPr>
                <w:rFonts w:ascii="Times New Roman" w:hAnsi="Times New Roman"/>
              </w:rPr>
              <w:t>6、危险废物执行</w:t>
            </w:r>
            <w:r>
              <w:rPr>
                <w:rFonts w:ascii="Times New Roman" w:hAnsi="Times New Roman"/>
                <w:szCs w:val="24"/>
              </w:rPr>
              <w:t>《危险废物贮存污染控制标准》（GB18597-2001）及其修改单</w:t>
            </w:r>
            <w:r>
              <w:rPr>
                <w:rFonts w:ascii="Times New Roman" w:hAnsi="Times New Roman"/>
              </w:rPr>
              <w:t>；</w:t>
            </w:r>
          </w:p>
          <w:p>
            <w:pPr>
              <w:widowControl/>
              <w:spacing w:line="288" w:lineRule="auto"/>
              <w:rPr>
                <w:rFonts w:ascii="Times New Roman" w:hAnsi="Times New Roman"/>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22" w:hRule="atLeast"/>
        </w:trPr>
        <w:tc>
          <w:tcPr>
            <w:tcW w:w="836" w:type="dxa"/>
            <w:vAlign w:val="center"/>
          </w:tcPr>
          <w:p>
            <w:pPr>
              <w:ind w:right="340"/>
              <w:jc w:val="center"/>
              <w:rPr>
                <w:rFonts w:ascii="Times New Roman" w:hAnsi="Times New Roman"/>
              </w:rPr>
            </w:pPr>
            <w:r>
              <w:rPr>
                <w:rFonts w:ascii="Times New Roman" w:hAnsi="Times New Roman"/>
              </w:rPr>
              <w:t>总</w:t>
            </w:r>
          </w:p>
          <w:p>
            <w:pPr>
              <w:ind w:right="340"/>
              <w:jc w:val="center"/>
              <w:rPr>
                <w:rFonts w:ascii="Times New Roman" w:hAnsi="Times New Roman"/>
              </w:rPr>
            </w:pPr>
          </w:p>
          <w:p>
            <w:pPr>
              <w:ind w:right="340"/>
              <w:jc w:val="center"/>
              <w:rPr>
                <w:rFonts w:ascii="Times New Roman" w:hAnsi="Times New Roman"/>
              </w:rPr>
            </w:pPr>
            <w:r>
              <w:rPr>
                <w:rFonts w:ascii="Times New Roman" w:hAnsi="Times New Roman"/>
              </w:rPr>
              <w:t>量</w:t>
            </w:r>
          </w:p>
          <w:p>
            <w:pPr>
              <w:ind w:right="340"/>
              <w:jc w:val="center"/>
              <w:rPr>
                <w:rFonts w:ascii="Times New Roman" w:hAnsi="Times New Roman"/>
              </w:rPr>
            </w:pPr>
          </w:p>
          <w:p>
            <w:pPr>
              <w:ind w:right="340"/>
              <w:jc w:val="center"/>
              <w:rPr>
                <w:rFonts w:ascii="Times New Roman" w:hAnsi="Times New Roman"/>
              </w:rPr>
            </w:pPr>
            <w:r>
              <w:rPr>
                <w:rFonts w:ascii="Times New Roman" w:hAnsi="Times New Roman"/>
              </w:rPr>
              <w:t>控</w:t>
            </w:r>
          </w:p>
          <w:p>
            <w:pPr>
              <w:ind w:right="340"/>
              <w:jc w:val="center"/>
              <w:rPr>
                <w:rFonts w:ascii="Times New Roman" w:hAnsi="Times New Roman"/>
              </w:rPr>
            </w:pPr>
          </w:p>
          <w:p>
            <w:pPr>
              <w:ind w:right="340"/>
              <w:jc w:val="center"/>
              <w:rPr>
                <w:rFonts w:ascii="Times New Roman" w:hAnsi="Times New Roman"/>
              </w:rPr>
            </w:pPr>
            <w:r>
              <w:rPr>
                <w:rFonts w:ascii="Times New Roman" w:hAnsi="Times New Roman"/>
              </w:rPr>
              <w:t>制</w:t>
            </w:r>
          </w:p>
          <w:p>
            <w:pPr>
              <w:ind w:right="340"/>
              <w:jc w:val="center"/>
              <w:rPr>
                <w:rFonts w:ascii="Times New Roman" w:hAnsi="Times New Roman"/>
              </w:rPr>
            </w:pPr>
          </w:p>
          <w:p>
            <w:pPr>
              <w:ind w:right="340"/>
              <w:jc w:val="center"/>
              <w:rPr>
                <w:rFonts w:ascii="Times New Roman" w:hAnsi="Times New Roman"/>
              </w:rPr>
            </w:pPr>
            <w:r>
              <w:rPr>
                <w:rFonts w:ascii="Times New Roman" w:hAnsi="Times New Roman"/>
              </w:rPr>
              <w:t>指</w:t>
            </w:r>
          </w:p>
          <w:p>
            <w:pPr>
              <w:ind w:right="340"/>
              <w:jc w:val="center"/>
              <w:rPr>
                <w:rFonts w:ascii="Times New Roman" w:hAnsi="Times New Roman"/>
              </w:rPr>
            </w:pPr>
          </w:p>
          <w:p>
            <w:pPr>
              <w:ind w:right="340"/>
              <w:jc w:val="center"/>
              <w:rPr>
                <w:rFonts w:ascii="Times New Roman" w:hAnsi="Times New Roman"/>
                <w:spacing w:val="20"/>
              </w:rPr>
            </w:pPr>
            <w:r>
              <w:rPr>
                <w:rFonts w:ascii="Times New Roman" w:hAnsi="Times New Roman"/>
              </w:rPr>
              <w:t>标</w:t>
            </w:r>
          </w:p>
        </w:tc>
        <w:tc>
          <w:tcPr>
            <w:tcW w:w="8853" w:type="dxa"/>
            <w:vAlign w:val="center"/>
          </w:tcPr>
          <w:p>
            <w:pPr>
              <w:tabs>
                <w:tab w:val="left" w:pos="942"/>
              </w:tabs>
              <w:spacing w:line="360" w:lineRule="auto"/>
              <w:ind w:firstLine="360" w:firstLineChars="150"/>
              <w:rPr>
                <w:kern w:val="2"/>
                <w:szCs w:val="24"/>
              </w:rPr>
            </w:pPr>
            <w:r>
              <w:rPr>
                <w:rFonts w:hint="eastAsia"/>
                <w:kern w:val="2"/>
                <w:szCs w:val="24"/>
              </w:rPr>
              <w:t>（1）废水</w:t>
            </w:r>
          </w:p>
          <w:p>
            <w:pPr>
              <w:tabs>
                <w:tab w:val="left" w:pos="942"/>
              </w:tabs>
              <w:spacing w:line="360" w:lineRule="auto"/>
              <w:ind w:firstLine="360" w:firstLineChars="150"/>
              <w:rPr>
                <w:rFonts w:hAnsi="Times New Roman" w:cs="宋体"/>
                <w:kern w:val="2"/>
                <w:szCs w:val="24"/>
                <w:lang w:val="zh-CN"/>
              </w:rPr>
            </w:pPr>
            <w:r>
              <w:rPr>
                <w:rFonts w:hint="eastAsia"/>
                <w:kern w:val="2"/>
                <w:szCs w:val="24"/>
              </w:rPr>
              <w:t>本项目</w:t>
            </w:r>
            <w:r>
              <w:rPr>
                <w:kern w:val="2"/>
                <w:szCs w:val="24"/>
              </w:rPr>
              <w:t>产生的废水</w:t>
            </w:r>
            <w:r>
              <w:rPr>
                <w:rFonts w:hint="eastAsia"/>
                <w:kern w:val="2"/>
                <w:szCs w:val="24"/>
              </w:rPr>
              <w:t>主要为</w:t>
            </w:r>
            <w:r>
              <w:rPr>
                <w:kern w:val="2"/>
                <w:szCs w:val="24"/>
              </w:rPr>
              <w:t>生活污水，</w:t>
            </w:r>
            <w:r>
              <w:rPr>
                <w:rFonts w:hint="eastAsia"/>
                <w:kern w:val="2"/>
                <w:szCs w:val="24"/>
              </w:rPr>
              <w:t>产生量</w:t>
            </w:r>
            <w:r>
              <w:rPr>
                <w:kern w:val="2"/>
                <w:szCs w:val="24"/>
              </w:rPr>
              <w:t>120t/a</w:t>
            </w:r>
            <w:r>
              <w:rPr>
                <w:rFonts w:hint="eastAsia"/>
                <w:kern w:val="2"/>
                <w:szCs w:val="24"/>
              </w:rPr>
              <w:t>，</w:t>
            </w:r>
            <w:r>
              <w:rPr>
                <w:kern w:val="2"/>
                <w:szCs w:val="24"/>
              </w:rPr>
              <w:t>生活污水</w:t>
            </w:r>
            <w:r>
              <w:rPr>
                <w:rFonts w:hint="eastAsia" w:ascii="Times New Roman" w:hAnsi="Times New Roman"/>
                <w:kern w:val="2"/>
                <w:szCs w:val="24"/>
              </w:rPr>
              <w:t>排水</w:t>
            </w:r>
            <w:r>
              <w:rPr>
                <w:rFonts w:ascii="Times New Roman" w:hAnsi="Times New Roman"/>
                <w:kern w:val="2"/>
                <w:szCs w:val="24"/>
              </w:rPr>
              <w:t>水质</w:t>
            </w:r>
            <w:r>
              <w:rPr>
                <w:rFonts w:hint="eastAsia" w:ascii="Times New Roman" w:hAnsi="Times New Roman"/>
                <w:kern w:val="2"/>
                <w:szCs w:val="24"/>
              </w:rPr>
              <w:t>达到</w:t>
            </w:r>
            <w:r>
              <w:rPr>
                <w:rFonts w:ascii="Times New Roman" w:hAnsi="Times New Roman"/>
                <w:kern w:val="2"/>
                <w:szCs w:val="24"/>
              </w:rPr>
              <w:t>《污水</w:t>
            </w:r>
            <w:r>
              <w:rPr>
                <w:rFonts w:hint="eastAsia" w:ascii="Times New Roman" w:hAnsi="Times New Roman"/>
                <w:kern w:val="2"/>
                <w:szCs w:val="24"/>
              </w:rPr>
              <w:t>排入城镇下水道水质</w:t>
            </w:r>
            <w:r>
              <w:rPr>
                <w:rFonts w:ascii="Times New Roman" w:hAnsi="Times New Roman"/>
                <w:kern w:val="2"/>
                <w:szCs w:val="24"/>
              </w:rPr>
              <w:t>标准》(GB/T31962</w:t>
            </w:r>
            <w:r>
              <w:rPr>
                <w:rFonts w:hint="eastAsia" w:ascii="Times New Roman" w:hAnsi="Times New Roman"/>
                <w:kern w:val="2"/>
                <w:szCs w:val="24"/>
              </w:rPr>
              <w:t>-</w:t>
            </w:r>
            <w:r>
              <w:rPr>
                <w:rFonts w:ascii="Times New Roman" w:hAnsi="Times New Roman"/>
                <w:kern w:val="2"/>
                <w:szCs w:val="24"/>
              </w:rPr>
              <w:t>2015)B</w:t>
            </w:r>
            <w:r>
              <w:rPr>
                <w:rFonts w:hint="eastAsia" w:ascii="Times New Roman" w:hAnsi="Times New Roman"/>
                <w:kern w:val="2"/>
                <w:szCs w:val="24"/>
              </w:rPr>
              <w:t>等级标准（COD≤</w:t>
            </w:r>
            <w:r>
              <w:rPr>
                <w:rFonts w:ascii="Times New Roman" w:hAnsi="Times New Roman"/>
                <w:kern w:val="2"/>
                <w:szCs w:val="24"/>
              </w:rPr>
              <w:t>500</w:t>
            </w:r>
            <w:r>
              <w:rPr>
                <w:rFonts w:hint="eastAsia" w:ascii="Times New Roman" w:hAnsi="Times New Roman"/>
                <w:kern w:val="2"/>
                <w:szCs w:val="24"/>
              </w:rPr>
              <w:t>mg/L，NH</w:t>
            </w:r>
            <w:r>
              <w:rPr>
                <w:rFonts w:hint="eastAsia" w:ascii="Times New Roman" w:hAnsi="Times New Roman"/>
                <w:kern w:val="2"/>
                <w:szCs w:val="24"/>
                <w:vertAlign w:val="subscript"/>
              </w:rPr>
              <w:t>3</w:t>
            </w:r>
            <w:r>
              <w:rPr>
                <w:rFonts w:ascii="Times New Roman" w:hAnsi="Times New Roman"/>
                <w:kern w:val="2"/>
                <w:szCs w:val="24"/>
              </w:rPr>
              <w:t>-N</w:t>
            </w:r>
            <w:r>
              <w:rPr>
                <w:rFonts w:hint="eastAsia" w:ascii="Times New Roman" w:hAnsi="Times New Roman"/>
                <w:kern w:val="2"/>
                <w:szCs w:val="24"/>
              </w:rPr>
              <w:t>≤</w:t>
            </w:r>
            <w:r>
              <w:rPr>
                <w:rFonts w:ascii="Times New Roman" w:hAnsi="Times New Roman"/>
                <w:kern w:val="2"/>
                <w:szCs w:val="24"/>
              </w:rPr>
              <w:t>45</w:t>
            </w:r>
            <w:r>
              <w:rPr>
                <w:rFonts w:hint="eastAsia" w:ascii="Times New Roman" w:hAnsi="Times New Roman"/>
                <w:kern w:val="2"/>
                <w:szCs w:val="24"/>
              </w:rPr>
              <w:t>mg/L</w:t>
            </w:r>
            <w:r>
              <w:rPr>
                <w:rFonts w:hint="eastAsia"/>
              </w:rPr>
              <w:t>），</w:t>
            </w:r>
            <w:r>
              <w:rPr>
                <w:rFonts w:ascii="Times New Roman" w:hAnsi="Times New Roman"/>
                <w:kern w:val="2"/>
                <w:szCs w:val="24"/>
              </w:rPr>
              <w:t>排入</w:t>
            </w:r>
            <w:r>
              <w:rPr>
                <w:rFonts w:hint="eastAsia" w:ascii="Times New Roman" w:hAnsi="Times New Roman"/>
                <w:kern w:val="2"/>
                <w:szCs w:val="24"/>
              </w:rPr>
              <w:t>威海水务集团有限公司崮山污水处理厂进一步处理，废水中COD、NH</w:t>
            </w:r>
            <w:r>
              <w:rPr>
                <w:rFonts w:hint="eastAsia" w:ascii="Times New Roman" w:hAnsi="Times New Roman"/>
                <w:kern w:val="2"/>
                <w:szCs w:val="24"/>
                <w:vertAlign w:val="subscript"/>
              </w:rPr>
              <w:t>3</w:t>
            </w:r>
            <w:r>
              <w:rPr>
                <w:rFonts w:ascii="Times New Roman" w:hAnsi="Times New Roman"/>
                <w:kern w:val="2"/>
                <w:szCs w:val="24"/>
              </w:rPr>
              <w:t>-N</w:t>
            </w:r>
            <w:r>
              <w:rPr>
                <w:rFonts w:hint="eastAsia" w:ascii="Times New Roman" w:hAnsi="Times New Roman"/>
                <w:kern w:val="2"/>
                <w:szCs w:val="24"/>
              </w:rPr>
              <w:t>属于</w:t>
            </w:r>
            <w:r>
              <w:rPr>
                <w:rFonts w:ascii="Times New Roman" w:hAnsi="Times New Roman"/>
                <w:kern w:val="2"/>
                <w:szCs w:val="24"/>
              </w:rPr>
              <w:t>总量</w:t>
            </w:r>
            <w:r>
              <w:rPr>
                <w:rFonts w:hint="eastAsia" w:ascii="Times New Roman" w:hAnsi="Times New Roman"/>
                <w:kern w:val="2"/>
                <w:szCs w:val="24"/>
              </w:rPr>
              <w:t>因子</w:t>
            </w:r>
            <w:r>
              <w:rPr>
                <w:rFonts w:ascii="Times New Roman" w:hAnsi="Times New Roman"/>
                <w:kern w:val="2"/>
                <w:szCs w:val="24"/>
              </w:rPr>
              <w:t>控制指标，</w:t>
            </w:r>
            <w:r>
              <w:rPr>
                <w:rFonts w:hint="eastAsia" w:ascii="Times New Roman" w:hAnsi="Times New Roman"/>
                <w:kern w:val="2"/>
                <w:szCs w:val="24"/>
              </w:rPr>
              <w:t>进入</w:t>
            </w:r>
            <w:r>
              <w:rPr>
                <w:rFonts w:ascii="Times New Roman" w:hAnsi="Times New Roman"/>
                <w:kern w:val="2"/>
                <w:szCs w:val="24"/>
              </w:rPr>
              <w:t>污水处理厂</w:t>
            </w:r>
            <w:r>
              <w:rPr>
                <w:rFonts w:hint="eastAsia" w:ascii="Times New Roman" w:hAnsi="Times New Roman"/>
                <w:kern w:val="2"/>
                <w:szCs w:val="24"/>
              </w:rPr>
              <w:t>COD为</w:t>
            </w:r>
            <w:r>
              <w:rPr>
                <w:rFonts w:ascii="Times New Roman" w:hAnsi="Times New Roman"/>
                <w:kern w:val="2"/>
                <w:szCs w:val="24"/>
              </w:rPr>
              <w:t>0.06</w:t>
            </w:r>
            <w:r>
              <w:rPr>
                <w:rFonts w:hint="eastAsia" w:ascii="Times New Roman" w:hAnsi="Times New Roman"/>
                <w:kern w:val="2"/>
                <w:szCs w:val="24"/>
              </w:rPr>
              <w:t>t/a，NH</w:t>
            </w:r>
            <w:r>
              <w:rPr>
                <w:rFonts w:hint="eastAsia" w:ascii="Times New Roman" w:hAnsi="Times New Roman"/>
                <w:kern w:val="2"/>
                <w:szCs w:val="24"/>
                <w:vertAlign w:val="subscript"/>
              </w:rPr>
              <w:t>3</w:t>
            </w:r>
            <w:r>
              <w:rPr>
                <w:rFonts w:ascii="Times New Roman" w:hAnsi="Times New Roman"/>
                <w:kern w:val="2"/>
                <w:szCs w:val="24"/>
              </w:rPr>
              <w:t>-N</w:t>
            </w:r>
            <w:r>
              <w:rPr>
                <w:rFonts w:hint="eastAsia" w:ascii="Times New Roman" w:hAnsi="Times New Roman"/>
                <w:kern w:val="2"/>
                <w:szCs w:val="24"/>
              </w:rPr>
              <w:t>为</w:t>
            </w:r>
            <w:r>
              <w:rPr>
                <w:rFonts w:ascii="Times New Roman" w:hAnsi="Times New Roman"/>
                <w:kern w:val="2"/>
                <w:szCs w:val="24"/>
              </w:rPr>
              <w:t>0.005</w:t>
            </w:r>
            <w:r>
              <w:rPr>
                <w:rFonts w:hint="eastAsia" w:ascii="Times New Roman" w:hAnsi="Times New Roman"/>
                <w:kern w:val="2"/>
                <w:szCs w:val="24"/>
              </w:rPr>
              <w:t>t/a，</w:t>
            </w:r>
            <w:r>
              <w:rPr>
                <w:rFonts w:hint="eastAsia" w:hAnsi="Times New Roman" w:cs="宋体"/>
                <w:kern w:val="2"/>
                <w:szCs w:val="24"/>
                <w:lang w:val="zh-CN"/>
              </w:rPr>
              <w:t>污水产生及处理情况见</w:t>
            </w:r>
            <w:r>
              <w:rPr>
                <w:rFonts w:hint="eastAsia" w:hAnsi="Times New Roman" w:cs="宋体"/>
                <w:b/>
                <w:bCs/>
                <w:kern w:val="2"/>
                <w:szCs w:val="24"/>
                <w:lang w:val="zh-CN"/>
              </w:rPr>
              <w:t>表</w:t>
            </w:r>
            <w:r>
              <w:rPr>
                <w:rFonts w:hint="eastAsia" w:hAnsi="Times New Roman" w:cs="宋体"/>
                <w:b/>
                <w:bCs/>
                <w:kern w:val="2"/>
                <w:szCs w:val="24"/>
              </w:rPr>
              <w:t>16</w:t>
            </w:r>
            <w:r>
              <w:rPr>
                <w:rFonts w:hint="eastAsia" w:hAnsi="Times New Roman" w:cs="宋体"/>
                <w:kern w:val="2"/>
                <w:szCs w:val="24"/>
                <w:lang w:val="zh-CN"/>
              </w:rPr>
              <w:t>。</w:t>
            </w:r>
          </w:p>
          <w:p>
            <w:pPr>
              <w:tabs>
                <w:tab w:val="left" w:pos="942"/>
              </w:tabs>
              <w:spacing w:line="360" w:lineRule="auto"/>
              <w:jc w:val="center"/>
              <w:rPr>
                <w:rFonts w:ascii="Times New Roman" w:hAnsi="Times New Roman" w:eastAsia="黑体"/>
                <w:kern w:val="2"/>
                <w:szCs w:val="24"/>
                <w:lang w:val="zh-CN"/>
              </w:rPr>
            </w:pPr>
            <w:r>
              <w:rPr>
                <w:rFonts w:ascii="Times New Roman" w:hAnsi="Times New Roman" w:eastAsia="黑体"/>
                <w:kern w:val="2"/>
                <w:szCs w:val="24"/>
                <w:lang w:val="zh-CN"/>
              </w:rPr>
              <w:t>表</w:t>
            </w:r>
            <w:r>
              <w:rPr>
                <w:rFonts w:ascii="Times New Roman" w:hAnsi="Times New Roman" w:eastAsia="黑体"/>
                <w:kern w:val="2"/>
                <w:szCs w:val="24"/>
              </w:rPr>
              <w:t>16</w:t>
            </w:r>
            <w:r>
              <w:rPr>
                <w:rFonts w:ascii="Times New Roman" w:hAnsi="Times New Roman" w:eastAsia="黑体"/>
                <w:kern w:val="2"/>
                <w:szCs w:val="24"/>
                <w:lang w:val="zh-CN"/>
              </w:rPr>
              <w:t xml:space="preserve"> 废水主要污染物产生与排放情况一览表</w:t>
            </w:r>
          </w:p>
          <w:tbl>
            <w:tblPr>
              <w:tblStyle w:val="30"/>
              <w:tblW w:w="8626"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431"/>
              <w:gridCol w:w="1179"/>
              <w:gridCol w:w="1246"/>
              <w:gridCol w:w="1133"/>
              <w:gridCol w:w="1560"/>
              <w:gridCol w:w="2077"/>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66" w:hRule="atLeast"/>
              </w:trPr>
              <w:tc>
                <w:tcPr>
                  <w:tcW w:w="1431" w:type="dxa"/>
                  <w:shd w:val="clear" w:color="auto" w:fill="auto"/>
                  <w:vAlign w:val="center"/>
                </w:tcPr>
                <w:p>
                  <w:pPr>
                    <w:jc w:val="center"/>
                    <w:rPr>
                      <w:rFonts w:ascii="Times New Roman" w:hAnsi="Times New Roman"/>
                      <w:kern w:val="2"/>
                      <w:sz w:val="22"/>
                      <w:szCs w:val="24"/>
                    </w:rPr>
                  </w:pPr>
                  <w:r>
                    <w:rPr>
                      <w:rFonts w:ascii="Times New Roman" w:hAnsi="Times New Roman"/>
                      <w:kern w:val="2"/>
                      <w:sz w:val="22"/>
                      <w:szCs w:val="24"/>
                    </w:rPr>
                    <w:t>污染源</w:t>
                  </w:r>
                </w:p>
              </w:tc>
              <w:tc>
                <w:tcPr>
                  <w:tcW w:w="1179" w:type="dxa"/>
                  <w:shd w:val="clear" w:color="auto" w:fill="auto"/>
                  <w:vAlign w:val="center"/>
                </w:tcPr>
                <w:p>
                  <w:pPr>
                    <w:jc w:val="center"/>
                    <w:rPr>
                      <w:rFonts w:ascii="Times New Roman" w:hAnsi="Times New Roman"/>
                      <w:kern w:val="2"/>
                      <w:sz w:val="22"/>
                      <w:szCs w:val="24"/>
                    </w:rPr>
                  </w:pPr>
                  <w:r>
                    <w:rPr>
                      <w:rFonts w:ascii="Times New Roman" w:hAnsi="Times New Roman"/>
                      <w:kern w:val="2"/>
                      <w:sz w:val="22"/>
                      <w:szCs w:val="24"/>
                    </w:rPr>
                    <w:t>污染物</w:t>
                  </w:r>
                </w:p>
              </w:tc>
              <w:tc>
                <w:tcPr>
                  <w:tcW w:w="1246" w:type="dxa"/>
                  <w:shd w:val="clear" w:color="auto" w:fill="auto"/>
                  <w:vAlign w:val="center"/>
                </w:tcPr>
                <w:p>
                  <w:pPr>
                    <w:jc w:val="center"/>
                    <w:rPr>
                      <w:rFonts w:ascii="Times New Roman" w:hAnsi="Times New Roman"/>
                      <w:kern w:val="2"/>
                      <w:sz w:val="22"/>
                      <w:szCs w:val="24"/>
                    </w:rPr>
                  </w:pPr>
                  <w:r>
                    <w:rPr>
                      <w:rFonts w:ascii="Times New Roman" w:hAnsi="Times New Roman"/>
                      <w:kern w:val="2"/>
                      <w:sz w:val="22"/>
                      <w:szCs w:val="24"/>
                    </w:rPr>
                    <w:t>产生浓度</w:t>
                  </w:r>
                </w:p>
                <w:p>
                  <w:pPr>
                    <w:jc w:val="center"/>
                    <w:rPr>
                      <w:rFonts w:ascii="Times New Roman" w:hAnsi="Times New Roman"/>
                      <w:kern w:val="2"/>
                      <w:sz w:val="22"/>
                      <w:szCs w:val="24"/>
                    </w:rPr>
                  </w:pPr>
                  <w:r>
                    <w:rPr>
                      <w:rFonts w:ascii="Times New Roman" w:hAnsi="Times New Roman"/>
                      <w:kern w:val="2"/>
                      <w:sz w:val="22"/>
                      <w:szCs w:val="24"/>
                    </w:rPr>
                    <w:t>（mg/L）</w:t>
                  </w:r>
                </w:p>
              </w:tc>
              <w:tc>
                <w:tcPr>
                  <w:tcW w:w="1133" w:type="dxa"/>
                  <w:shd w:val="clear" w:color="auto" w:fill="auto"/>
                  <w:vAlign w:val="center"/>
                </w:tcPr>
                <w:p>
                  <w:pPr>
                    <w:jc w:val="center"/>
                    <w:rPr>
                      <w:rFonts w:ascii="Times New Roman" w:hAnsi="Times New Roman"/>
                      <w:kern w:val="2"/>
                      <w:sz w:val="22"/>
                      <w:szCs w:val="24"/>
                    </w:rPr>
                  </w:pPr>
                  <w:r>
                    <w:rPr>
                      <w:rFonts w:ascii="Times New Roman" w:hAnsi="Times New Roman"/>
                      <w:kern w:val="2"/>
                      <w:sz w:val="22"/>
                      <w:szCs w:val="24"/>
                    </w:rPr>
                    <w:t>产生量（t/a）</w:t>
                  </w:r>
                </w:p>
              </w:tc>
              <w:tc>
                <w:tcPr>
                  <w:tcW w:w="1560" w:type="dxa"/>
                  <w:shd w:val="clear" w:color="auto" w:fill="auto"/>
                  <w:vAlign w:val="center"/>
                </w:tcPr>
                <w:p>
                  <w:pPr>
                    <w:jc w:val="center"/>
                    <w:rPr>
                      <w:rFonts w:ascii="Times New Roman" w:hAnsi="Times New Roman"/>
                      <w:kern w:val="2"/>
                      <w:sz w:val="22"/>
                      <w:szCs w:val="24"/>
                    </w:rPr>
                  </w:pPr>
                  <w:r>
                    <w:rPr>
                      <w:rFonts w:hint="eastAsia" w:ascii="Times New Roman" w:hAnsi="Times New Roman"/>
                      <w:kern w:val="2"/>
                      <w:sz w:val="22"/>
                      <w:szCs w:val="24"/>
                    </w:rPr>
                    <w:t>进</w:t>
                  </w:r>
                  <w:r>
                    <w:rPr>
                      <w:rFonts w:ascii="Times New Roman" w:hAnsi="Times New Roman"/>
                      <w:kern w:val="2"/>
                      <w:sz w:val="22"/>
                      <w:szCs w:val="24"/>
                    </w:rPr>
                    <w:t>污水处理厂量（t/a）</w:t>
                  </w:r>
                </w:p>
              </w:tc>
              <w:tc>
                <w:tcPr>
                  <w:tcW w:w="2077" w:type="dxa"/>
                </w:tcPr>
                <w:p>
                  <w:pPr>
                    <w:jc w:val="center"/>
                    <w:rPr>
                      <w:rFonts w:ascii="Times New Roman" w:hAnsi="Times New Roman"/>
                      <w:kern w:val="2"/>
                      <w:sz w:val="22"/>
                      <w:szCs w:val="24"/>
                    </w:rPr>
                  </w:pPr>
                  <w:r>
                    <w:rPr>
                      <w:rFonts w:hint="eastAsia" w:ascii="Times New Roman" w:hAnsi="Times New Roman"/>
                      <w:kern w:val="2"/>
                      <w:sz w:val="22"/>
                      <w:szCs w:val="24"/>
                    </w:rPr>
                    <w:t>经威海水务集团有限公司崮山污水处理厂处理后排海量</w:t>
                  </w:r>
                  <w:r>
                    <w:rPr>
                      <w:rFonts w:ascii="Times New Roman" w:hAnsi="Times New Roman"/>
                      <w:kern w:val="2"/>
                      <w:sz w:val="22"/>
                      <w:szCs w:val="24"/>
                    </w:rPr>
                    <w:t>（t/a）</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96" w:hRule="atLeast"/>
              </w:trPr>
              <w:tc>
                <w:tcPr>
                  <w:tcW w:w="1431" w:type="dxa"/>
                  <w:vMerge w:val="restart"/>
                  <w:shd w:val="clear" w:color="auto" w:fill="auto"/>
                  <w:vAlign w:val="center"/>
                </w:tcPr>
                <w:p>
                  <w:pPr>
                    <w:spacing w:line="360" w:lineRule="auto"/>
                    <w:jc w:val="center"/>
                    <w:rPr>
                      <w:rFonts w:ascii="Times New Roman" w:hAnsi="Times New Roman"/>
                      <w:kern w:val="2"/>
                      <w:sz w:val="22"/>
                      <w:szCs w:val="24"/>
                    </w:rPr>
                  </w:pPr>
                  <w:r>
                    <w:rPr>
                      <w:rFonts w:ascii="Times New Roman" w:hAnsi="Times New Roman"/>
                      <w:kern w:val="2"/>
                      <w:sz w:val="22"/>
                      <w:szCs w:val="24"/>
                    </w:rPr>
                    <w:t>生活污水</w:t>
                  </w:r>
                </w:p>
              </w:tc>
              <w:tc>
                <w:tcPr>
                  <w:tcW w:w="1179" w:type="dxa"/>
                  <w:shd w:val="clear" w:color="auto" w:fill="auto"/>
                  <w:vAlign w:val="center"/>
                </w:tcPr>
                <w:p>
                  <w:pPr>
                    <w:spacing w:line="360" w:lineRule="auto"/>
                    <w:jc w:val="center"/>
                    <w:rPr>
                      <w:rFonts w:ascii="Times New Roman" w:hAnsi="Times New Roman"/>
                      <w:kern w:val="2"/>
                      <w:sz w:val="22"/>
                      <w:szCs w:val="24"/>
                    </w:rPr>
                  </w:pPr>
                  <w:r>
                    <w:rPr>
                      <w:rFonts w:ascii="Times New Roman" w:hAnsi="Times New Roman"/>
                      <w:kern w:val="2"/>
                      <w:sz w:val="22"/>
                      <w:szCs w:val="24"/>
                    </w:rPr>
                    <w:t>废水</w:t>
                  </w:r>
                </w:p>
              </w:tc>
              <w:tc>
                <w:tcPr>
                  <w:tcW w:w="1246" w:type="dxa"/>
                  <w:shd w:val="clear" w:color="auto" w:fill="auto"/>
                  <w:vAlign w:val="center"/>
                </w:tcPr>
                <w:p>
                  <w:pPr>
                    <w:spacing w:line="360" w:lineRule="auto"/>
                    <w:jc w:val="center"/>
                    <w:rPr>
                      <w:rFonts w:ascii="Times New Roman" w:hAnsi="Times New Roman"/>
                      <w:kern w:val="2"/>
                      <w:sz w:val="22"/>
                      <w:szCs w:val="24"/>
                    </w:rPr>
                  </w:pPr>
                  <w:r>
                    <w:rPr>
                      <w:rFonts w:ascii="Times New Roman" w:hAnsi="Times New Roman"/>
                      <w:kern w:val="2"/>
                      <w:sz w:val="22"/>
                      <w:szCs w:val="24"/>
                    </w:rPr>
                    <w:t>—</w:t>
                  </w:r>
                </w:p>
              </w:tc>
              <w:tc>
                <w:tcPr>
                  <w:tcW w:w="1133" w:type="dxa"/>
                  <w:shd w:val="clear" w:color="auto" w:fill="auto"/>
                  <w:vAlign w:val="center"/>
                </w:tcPr>
                <w:p>
                  <w:pPr>
                    <w:spacing w:line="360" w:lineRule="auto"/>
                    <w:jc w:val="center"/>
                    <w:rPr>
                      <w:rFonts w:ascii="Times New Roman" w:hAnsi="Times New Roman"/>
                      <w:kern w:val="2"/>
                      <w:sz w:val="22"/>
                      <w:szCs w:val="24"/>
                    </w:rPr>
                  </w:pPr>
                  <w:r>
                    <w:rPr>
                      <w:rFonts w:ascii="Times New Roman" w:hAnsi="Times New Roman"/>
                      <w:kern w:val="2"/>
                      <w:sz w:val="22"/>
                      <w:szCs w:val="24"/>
                    </w:rPr>
                    <w:t>120</w:t>
                  </w:r>
                </w:p>
              </w:tc>
              <w:tc>
                <w:tcPr>
                  <w:tcW w:w="1560" w:type="dxa"/>
                  <w:shd w:val="clear" w:color="auto" w:fill="auto"/>
                  <w:vAlign w:val="center"/>
                </w:tcPr>
                <w:p>
                  <w:pPr>
                    <w:spacing w:line="360" w:lineRule="auto"/>
                    <w:jc w:val="center"/>
                    <w:rPr>
                      <w:rFonts w:ascii="Times New Roman" w:hAnsi="Times New Roman"/>
                      <w:kern w:val="2"/>
                      <w:sz w:val="22"/>
                      <w:szCs w:val="24"/>
                    </w:rPr>
                  </w:pPr>
                  <w:r>
                    <w:rPr>
                      <w:rFonts w:ascii="Times New Roman" w:hAnsi="Times New Roman"/>
                      <w:kern w:val="2"/>
                      <w:sz w:val="22"/>
                      <w:szCs w:val="24"/>
                    </w:rPr>
                    <w:t>120</w:t>
                  </w:r>
                </w:p>
              </w:tc>
              <w:tc>
                <w:tcPr>
                  <w:tcW w:w="2077" w:type="dxa"/>
                  <w:vAlign w:val="center"/>
                </w:tcPr>
                <w:p>
                  <w:pPr>
                    <w:spacing w:line="360" w:lineRule="auto"/>
                    <w:jc w:val="center"/>
                    <w:rPr>
                      <w:rFonts w:ascii="Times New Roman" w:hAnsi="Times New Roman"/>
                      <w:kern w:val="2"/>
                      <w:sz w:val="22"/>
                      <w:szCs w:val="24"/>
                    </w:rPr>
                  </w:pPr>
                  <w:r>
                    <w:rPr>
                      <w:rFonts w:ascii="Times New Roman" w:hAnsi="Times New Roman"/>
                      <w:kern w:val="2"/>
                      <w:sz w:val="22"/>
                      <w:szCs w:val="24"/>
                    </w:rPr>
                    <w:t>120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70" w:hRule="atLeast"/>
              </w:trPr>
              <w:tc>
                <w:tcPr>
                  <w:tcW w:w="1431" w:type="dxa"/>
                  <w:vMerge w:val="continue"/>
                  <w:vAlign w:val="center"/>
                </w:tcPr>
                <w:p>
                  <w:pPr>
                    <w:spacing w:line="360" w:lineRule="auto"/>
                    <w:jc w:val="center"/>
                    <w:rPr>
                      <w:rFonts w:ascii="Times New Roman" w:hAnsi="Times New Roman"/>
                      <w:kern w:val="2"/>
                      <w:sz w:val="22"/>
                      <w:szCs w:val="24"/>
                    </w:rPr>
                  </w:pPr>
                </w:p>
              </w:tc>
              <w:tc>
                <w:tcPr>
                  <w:tcW w:w="1179" w:type="dxa"/>
                  <w:shd w:val="clear" w:color="auto" w:fill="auto"/>
                  <w:vAlign w:val="center"/>
                </w:tcPr>
                <w:p>
                  <w:pPr>
                    <w:spacing w:line="360" w:lineRule="auto"/>
                    <w:jc w:val="center"/>
                    <w:rPr>
                      <w:rFonts w:ascii="Times New Roman" w:hAnsi="Times New Roman"/>
                      <w:kern w:val="2"/>
                      <w:sz w:val="22"/>
                      <w:szCs w:val="24"/>
                    </w:rPr>
                  </w:pPr>
                  <w:r>
                    <w:rPr>
                      <w:rFonts w:ascii="Times New Roman" w:hAnsi="Times New Roman"/>
                      <w:kern w:val="2"/>
                      <w:sz w:val="22"/>
                      <w:szCs w:val="24"/>
                    </w:rPr>
                    <w:t>COD</w:t>
                  </w:r>
                </w:p>
              </w:tc>
              <w:tc>
                <w:tcPr>
                  <w:tcW w:w="1246" w:type="dxa"/>
                  <w:shd w:val="clear" w:color="auto" w:fill="auto"/>
                  <w:vAlign w:val="center"/>
                </w:tcPr>
                <w:p>
                  <w:pPr>
                    <w:spacing w:line="360" w:lineRule="auto"/>
                    <w:jc w:val="center"/>
                    <w:rPr>
                      <w:rFonts w:ascii="Times New Roman" w:hAnsi="Times New Roman"/>
                      <w:kern w:val="2"/>
                      <w:sz w:val="22"/>
                      <w:szCs w:val="24"/>
                    </w:rPr>
                  </w:pPr>
                  <w:r>
                    <w:rPr>
                      <w:rFonts w:ascii="Times New Roman" w:hAnsi="Times New Roman"/>
                      <w:kern w:val="2"/>
                      <w:sz w:val="22"/>
                      <w:szCs w:val="24"/>
                    </w:rPr>
                    <w:t>500</w:t>
                  </w:r>
                </w:p>
              </w:tc>
              <w:tc>
                <w:tcPr>
                  <w:tcW w:w="1133" w:type="dxa"/>
                  <w:shd w:val="clear" w:color="auto" w:fill="auto"/>
                  <w:vAlign w:val="center"/>
                </w:tcPr>
                <w:p>
                  <w:pPr>
                    <w:spacing w:line="360" w:lineRule="auto"/>
                    <w:jc w:val="center"/>
                    <w:rPr>
                      <w:rFonts w:ascii="Times New Roman" w:hAnsi="Times New Roman"/>
                      <w:kern w:val="2"/>
                      <w:sz w:val="22"/>
                      <w:szCs w:val="24"/>
                    </w:rPr>
                  </w:pPr>
                  <w:r>
                    <w:rPr>
                      <w:rFonts w:hint="eastAsia" w:ascii="Times New Roman" w:hAnsi="Times New Roman"/>
                      <w:kern w:val="2"/>
                      <w:sz w:val="22"/>
                      <w:szCs w:val="24"/>
                    </w:rPr>
                    <w:t>0</w:t>
                  </w:r>
                  <w:r>
                    <w:rPr>
                      <w:rFonts w:ascii="Times New Roman" w:hAnsi="Times New Roman"/>
                      <w:kern w:val="2"/>
                      <w:sz w:val="22"/>
                      <w:szCs w:val="24"/>
                    </w:rPr>
                    <w:t>.06</w:t>
                  </w:r>
                </w:p>
              </w:tc>
              <w:tc>
                <w:tcPr>
                  <w:tcW w:w="1560" w:type="dxa"/>
                  <w:shd w:val="clear" w:color="auto" w:fill="auto"/>
                  <w:vAlign w:val="center"/>
                </w:tcPr>
                <w:p>
                  <w:pPr>
                    <w:spacing w:line="360" w:lineRule="auto"/>
                    <w:jc w:val="center"/>
                    <w:rPr>
                      <w:rFonts w:ascii="Times New Roman" w:hAnsi="Times New Roman"/>
                      <w:kern w:val="2"/>
                      <w:sz w:val="22"/>
                      <w:szCs w:val="24"/>
                    </w:rPr>
                  </w:pPr>
                  <w:r>
                    <w:rPr>
                      <w:rFonts w:hint="eastAsia" w:ascii="Times New Roman" w:hAnsi="Times New Roman"/>
                      <w:kern w:val="2"/>
                      <w:sz w:val="22"/>
                      <w:szCs w:val="24"/>
                    </w:rPr>
                    <w:t>0</w:t>
                  </w:r>
                  <w:r>
                    <w:rPr>
                      <w:rFonts w:ascii="Times New Roman" w:hAnsi="Times New Roman"/>
                      <w:kern w:val="2"/>
                      <w:sz w:val="22"/>
                      <w:szCs w:val="24"/>
                    </w:rPr>
                    <w:t>.06</w:t>
                  </w:r>
                </w:p>
              </w:tc>
              <w:tc>
                <w:tcPr>
                  <w:tcW w:w="2077" w:type="dxa"/>
                  <w:vAlign w:val="center"/>
                </w:tcPr>
                <w:p>
                  <w:pPr>
                    <w:spacing w:line="360" w:lineRule="auto"/>
                    <w:jc w:val="center"/>
                    <w:rPr>
                      <w:rFonts w:ascii="Times New Roman" w:hAnsi="Times New Roman"/>
                      <w:kern w:val="2"/>
                      <w:sz w:val="22"/>
                      <w:szCs w:val="24"/>
                    </w:rPr>
                  </w:pPr>
                  <w:r>
                    <w:rPr>
                      <w:rFonts w:hint="eastAsia" w:ascii="Times New Roman" w:hAnsi="Times New Roman"/>
                      <w:kern w:val="2"/>
                      <w:sz w:val="22"/>
                      <w:szCs w:val="24"/>
                    </w:rPr>
                    <w:t>0</w:t>
                  </w:r>
                  <w:r>
                    <w:rPr>
                      <w:rFonts w:ascii="Times New Roman" w:hAnsi="Times New Roman"/>
                      <w:kern w:val="2"/>
                      <w:sz w:val="22"/>
                      <w:szCs w:val="24"/>
                    </w:rPr>
                    <w:t>.006</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45" w:hRule="atLeast"/>
              </w:trPr>
              <w:tc>
                <w:tcPr>
                  <w:tcW w:w="1431" w:type="dxa"/>
                  <w:vMerge w:val="continue"/>
                  <w:vAlign w:val="center"/>
                </w:tcPr>
                <w:p>
                  <w:pPr>
                    <w:spacing w:line="360" w:lineRule="auto"/>
                    <w:jc w:val="center"/>
                    <w:rPr>
                      <w:rFonts w:ascii="Times New Roman" w:hAnsi="Times New Roman"/>
                      <w:kern w:val="2"/>
                      <w:sz w:val="22"/>
                      <w:szCs w:val="24"/>
                    </w:rPr>
                  </w:pPr>
                </w:p>
              </w:tc>
              <w:tc>
                <w:tcPr>
                  <w:tcW w:w="1179" w:type="dxa"/>
                  <w:shd w:val="clear" w:color="auto" w:fill="auto"/>
                  <w:vAlign w:val="center"/>
                </w:tcPr>
                <w:p>
                  <w:pPr>
                    <w:spacing w:line="360" w:lineRule="auto"/>
                    <w:jc w:val="center"/>
                    <w:rPr>
                      <w:rFonts w:ascii="Times New Roman" w:hAnsi="Times New Roman"/>
                      <w:kern w:val="2"/>
                      <w:sz w:val="22"/>
                      <w:szCs w:val="24"/>
                    </w:rPr>
                  </w:pPr>
                  <w:r>
                    <w:rPr>
                      <w:rFonts w:ascii="Times New Roman" w:hAnsi="Times New Roman"/>
                      <w:kern w:val="2"/>
                      <w:sz w:val="22"/>
                      <w:szCs w:val="24"/>
                    </w:rPr>
                    <w:t>NH</w:t>
                  </w:r>
                  <w:r>
                    <w:rPr>
                      <w:rFonts w:ascii="Times New Roman" w:hAnsi="Times New Roman"/>
                      <w:kern w:val="2"/>
                      <w:sz w:val="22"/>
                      <w:szCs w:val="24"/>
                      <w:vertAlign w:val="subscript"/>
                    </w:rPr>
                    <w:t>3</w:t>
                  </w:r>
                  <w:r>
                    <w:rPr>
                      <w:rFonts w:ascii="Times New Roman" w:hAnsi="Times New Roman"/>
                      <w:kern w:val="2"/>
                      <w:sz w:val="22"/>
                      <w:szCs w:val="24"/>
                    </w:rPr>
                    <w:t>-N</w:t>
                  </w:r>
                </w:p>
              </w:tc>
              <w:tc>
                <w:tcPr>
                  <w:tcW w:w="1246" w:type="dxa"/>
                  <w:shd w:val="clear" w:color="auto" w:fill="auto"/>
                  <w:vAlign w:val="center"/>
                </w:tcPr>
                <w:p>
                  <w:pPr>
                    <w:spacing w:line="360" w:lineRule="auto"/>
                    <w:jc w:val="center"/>
                    <w:rPr>
                      <w:rFonts w:ascii="Times New Roman" w:hAnsi="Times New Roman"/>
                      <w:kern w:val="2"/>
                      <w:sz w:val="22"/>
                      <w:szCs w:val="24"/>
                    </w:rPr>
                  </w:pPr>
                  <w:r>
                    <w:rPr>
                      <w:rFonts w:ascii="Times New Roman" w:hAnsi="Times New Roman"/>
                      <w:kern w:val="2"/>
                      <w:sz w:val="22"/>
                      <w:szCs w:val="24"/>
                    </w:rPr>
                    <w:t>45</w:t>
                  </w:r>
                </w:p>
              </w:tc>
              <w:tc>
                <w:tcPr>
                  <w:tcW w:w="1133" w:type="dxa"/>
                  <w:shd w:val="clear" w:color="auto" w:fill="auto"/>
                  <w:vAlign w:val="center"/>
                </w:tcPr>
                <w:p>
                  <w:pPr>
                    <w:spacing w:line="360" w:lineRule="auto"/>
                    <w:jc w:val="center"/>
                    <w:rPr>
                      <w:rFonts w:ascii="Times New Roman" w:hAnsi="Times New Roman"/>
                      <w:kern w:val="2"/>
                      <w:sz w:val="22"/>
                      <w:szCs w:val="24"/>
                    </w:rPr>
                  </w:pPr>
                  <w:r>
                    <w:rPr>
                      <w:rFonts w:hint="eastAsia" w:ascii="Times New Roman" w:hAnsi="Times New Roman"/>
                      <w:kern w:val="2"/>
                      <w:sz w:val="22"/>
                      <w:szCs w:val="24"/>
                    </w:rPr>
                    <w:t>0</w:t>
                  </w:r>
                  <w:r>
                    <w:rPr>
                      <w:rFonts w:ascii="Times New Roman" w:hAnsi="Times New Roman"/>
                      <w:kern w:val="2"/>
                      <w:sz w:val="22"/>
                      <w:szCs w:val="24"/>
                    </w:rPr>
                    <w:t>.005</w:t>
                  </w:r>
                </w:p>
              </w:tc>
              <w:tc>
                <w:tcPr>
                  <w:tcW w:w="1560" w:type="dxa"/>
                  <w:shd w:val="clear" w:color="auto" w:fill="auto"/>
                  <w:vAlign w:val="center"/>
                </w:tcPr>
                <w:p>
                  <w:pPr>
                    <w:spacing w:line="360" w:lineRule="auto"/>
                    <w:jc w:val="center"/>
                    <w:rPr>
                      <w:rFonts w:ascii="Times New Roman" w:hAnsi="Times New Roman"/>
                      <w:kern w:val="2"/>
                      <w:sz w:val="22"/>
                      <w:szCs w:val="24"/>
                    </w:rPr>
                  </w:pPr>
                  <w:r>
                    <w:rPr>
                      <w:rFonts w:hint="eastAsia" w:ascii="Times New Roman" w:hAnsi="Times New Roman"/>
                      <w:kern w:val="2"/>
                      <w:sz w:val="22"/>
                      <w:szCs w:val="24"/>
                    </w:rPr>
                    <w:t>0</w:t>
                  </w:r>
                  <w:r>
                    <w:rPr>
                      <w:rFonts w:ascii="Times New Roman" w:hAnsi="Times New Roman"/>
                      <w:kern w:val="2"/>
                      <w:sz w:val="22"/>
                      <w:szCs w:val="24"/>
                    </w:rPr>
                    <w:t>.005</w:t>
                  </w:r>
                </w:p>
              </w:tc>
              <w:tc>
                <w:tcPr>
                  <w:tcW w:w="2077" w:type="dxa"/>
                  <w:vAlign w:val="center"/>
                </w:tcPr>
                <w:p>
                  <w:pPr>
                    <w:spacing w:line="360" w:lineRule="auto"/>
                    <w:jc w:val="center"/>
                    <w:rPr>
                      <w:rFonts w:ascii="Times New Roman" w:hAnsi="Times New Roman"/>
                      <w:kern w:val="2"/>
                      <w:sz w:val="22"/>
                      <w:szCs w:val="24"/>
                    </w:rPr>
                  </w:pPr>
                  <w:r>
                    <w:rPr>
                      <w:rFonts w:ascii="Times New Roman" w:hAnsi="Times New Roman"/>
                      <w:kern w:val="2"/>
                      <w:sz w:val="22"/>
                      <w:szCs w:val="24"/>
                    </w:rPr>
                    <w:t>0.0008</w:t>
                  </w:r>
                </w:p>
              </w:tc>
            </w:tr>
          </w:tbl>
          <w:p>
            <w:pPr>
              <w:spacing w:line="360" w:lineRule="auto"/>
              <w:ind w:right="11" w:firstLine="480" w:firstLineChars="200"/>
              <w:rPr>
                <w:rFonts w:ascii="Times New Roman" w:hAnsi="Times New Roman"/>
              </w:rPr>
            </w:pPr>
            <w:r>
              <w:rPr>
                <w:rFonts w:hint="eastAsia" w:ascii="Times New Roman" w:hAnsi="Times New Roman"/>
              </w:rPr>
              <w:t>（2）废气</w:t>
            </w:r>
          </w:p>
          <w:p>
            <w:pPr>
              <w:spacing w:line="360" w:lineRule="auto"/>
              <w:ind w:right="11" w:firstLine="482"/>
              <w:rPr>
                <w:rFonts w:ascii="Times New Roman" w:hAnsi="Times New Roman"/>
              </w:rPr>
            </w:pPr>
            <w:r>
              <w:rPr>
                <w:rFonts w:hint="eastAsia" w:ascii="Times New Roman" w:hAnsi="Times New Roman"/>
              </w:rPr>
              <w:t>本项目无SO</w:t>
            </w:r>
            <w:r>
              <w:rPr>
                <w:rFonts w:hint="eastAsia" w:ascii="Times New Roman" w:hAnsi="Times New Roman"/>
                <w:vertAlign w:val="subscript"/>
              </w:rPr>
              <w:t>2</w:t>
            </w:r>
            <w:r>
              <w:rPr>
                <w:rFonts w:hint="eastAsia" w:ascii="Times New Roman" w:hAnsi="Times New Roman"/>
              </w:rPr>
              <w:t>和NOx的产生</w:t>
            </w:r>
            <w:bookmarkStart w:id="7" w:name="_Hlk27413122"/>
            <w:r>
              <w:rPr>
                <w:rFonts w:hint="eastAsia" w:ascii="Times New Roman" w:hAnsi="Times New Roman"/>
              </w:rPr>
              <w:t>，无需申请SO</w:t>
            </w:r>
            <w:r>
              <w:rPr>
                <w:rFonts w:hint="eastAsia" w:ascii="Times New Roman" w:hAnsi="Times New Roman"/>
                <w:vertAlign w:val="subscript"/>
              </w:rPr>
              <w:t>2</w:t>
            </w:r>
            <w:r>
              <w:rPr>
                <w:rFonts w:hint="eastAsia" w:ascii="Times New Roman" w:hAnsi="Times New Roman"/>
              </w:rPr>
              <w:t>和NOx总量，VOCs有组织排放量0.09</w:t>
            </w:r>
            <w:r>
              <w:rPr>
                <w:rFonts w:ascii="Times New Roman" w:hAnsi="Times New Roman"/>
              </w:rPr>
              <w:t>t/a</w:t>
            </w:r>
            <w:r>
              <w:rPr>
                <w:rFonts w:hint="eastAsia" w:ascii="Times New Roman" w:hAnsi="Times New Roman"/>
              </w:rPr>
              <w:t>，无组织排放量</w:t>
            </w:r>
            <w:r>
              <w:rPr>
                <w:rFonts w:ascii="Times New Roman" w:hAnsi="Times New Roman"/>
              </w:rPr>
              <w:t>0.10t/a</w:t>
            </w:r>
            <w:r>
              <w:rPr>
                <w:rFonts w:hint="eastAsia" w:ascii="Times New Roman" w:hAnsi="Times New Roman"/>
              </w:rPr>
              <w:t>，合计约0.19</w:t>
            </w:r>
            <w:r>
              <w:rPr>
                <w:rFonts w:ascii="Times New Roman" w:hAnsi="Times New Roman"/>
              </w:rPr>
              <w:t>t/a</w:t>
            </w:r>
            <w:r>
              <w:rPr>
                <w:rFonts w:hint="eastAsia" w:ascii="Times New Roman" w:hAnsi="Times New Roman"/>
              </w:rPr>
              <w:t>。</w:t>
            </w:r>
            <w:bookmarkEnd w:id="7"/>
          </w:p>
          <w:p>
            <w:pPr>
              <w:pStyle w:val="32"/>
              <w:ind w:firstLine="480"/>
              <w:rPr>
                <w:color w:val="000000" w:themeColor="text1"/>
                <w14:textFill>
                  <w14:solidFill>
                    <w14:schemeClr w14:val="tx1"/>
                  </w14:solidFill>
                </w14:textFill>
              </w:rPr>
            </w:pPr>
            <w:r>
              <w:rPr>
                <w:rFonts w:hint="eastAsia"/>
              </w:rPr>
              <w:t>威海步特户外用品有限公司原来四号车间刷胶等工艺产生的VOC经活性炭吸附+UV光解处理后排放量为0.722t/a，企业先已对四号处理设备进行升级改造，更换至催化燃烧设备， 更换后处理效果更好，VOC排放量削减了0.586t/a， 项目VOCs排放量为0.19t/a，削减部分作为扩建印刷车间的倍量替代的量，</w:t>
            </w:r>
            <w:r>
              <w:rPr>
                <w:color w:val="000000" w:themeColor="text1"/>
                <w14:textFill>
                  <w14:solidFill>
                    <w14:schemeClr w14:val="tx1"/>
                  </w14:solidFill>
                </w14:textFill>
              </w:rPr>
              <w:t>满足《山东省“十三五”挥发性有机物污染防治工作方案》、《关于印发&lt;山东省建设项目主要大气污染物排放总量替代指标核算及管理办法&gt;的通知》（鲁环发[2019]132号）和《威海市十三五挥发性有机物污染防治工作方案》中挥发性有机物实行区域内替代的要求。</w:t>
            </w:r>
          </w:p>
          <w:p>
            <w:pPr>
              <w:pStyle w:val="32"/>
              <w:ind w:firstLine="480"/>
              <w:rPr>
                <w:color w:val="FF0000"/>
              </w:rPr>
            </w:pPr>
          </w:p>
          <w:p>
            <w:pPr>
              <w:pStyle w:val="32"/>
              <w:ind w:firstLine="480"/>
              <w:rPr>
                <w:color w:val="FF0000"/>
              </w:rPr>
            </w:pPr>
          </w:p>
          <w:p>
            <w:pPr>
              <w:pStyle w:val="32"/>
              <w:ind w:firstLine="480"/>
              <w:rPr>
                <w:color w:val="FF0000"/>
              </w:rPr>
            </w:pPr>
          </w:p>
          <w:p>
            <w:pPr>
              <w:pStyle w:val="32"/>
              <w:ind w:firstLine="480"/>
              <w:rPr>
                <w:color w:val="FF0000"/>
              </w:rPr>
            </w:pPr>
          </w:p>
          <w:p>
            <w:pPr>
              <w:pStyle w:val="32"/>
              <w:ind w:firstLine="480"/>
              <w:rPr>
                <w:color w:val="FF0000"/>
              </w:rPr>
            </w:pPr>
          </w:p>
          <w:p>
            <w:pPr>
              <w:pStyle w:val="32"/>
              <w:ind w:firstLine="480"/>
              <w:rPr>
                <w:color w:val="FF0000"/>
              </w:rPr>
            </w:pPr>
          </w:p>
          <w:p>
            <w:pPr>
              <w:pStyle w:val="32"/>
              <w:ind w:firstLine="480"/>
              <w:rPr>
                <w:color w:val="FF0000"/>
              </w:rPr>
            </w:pPr>
          </w:p>
          <w:p>
            <w:pPr>
              <w:pStyle w:val="32"/>
              <w:ind w:firstLine="480"/>
              <w:rPr>
                <w:color w:val="FF0000"/>
              </w:rPr>
            </w:pPr>
          </w:p>
          <w:p>
            <w:pPr>
              <w:pStyle w:val="32"/>
              <w:ind w:firstLine="480"/>
              <w:rPr>
                <w:color w:val="FF0000"/>
              </w:rPr>
            </w:pPr>
          </w:p>
          <w:p>
            <w:pPr>
              <w:pStyle w:val="32"/>
              <w:ind w:firstLine="480"/>
              <w:rPr>
                <w:color w:val="FF0000"/>
              </w:rPr>
            </w:pPr>
          </w:p>
          <w:p>
            <w:pPr>
              <w:pStyle w:val="32"/>
              <w:ind w:firstLine="480"/>
              <w:rPr>
                <w:color w:val="FF0000"/>
              </w:rPr>
            </w:pPr>
          </w:p>
          <w:p>
            <w:pPr>
              <w:pStyle w:val="32"/>
              <w:ind w:firstLine="480"/>
              <w:rPr>
                <w:color w:val="FF0000"/>
              </w:rPr>
            </w:pPr>
          </w:p>
          <w:p>
            <w:pPr>
              <w:pStyle w:val="32"/>
              <w:ind w:firstLine="480"/>
              <w:rPr>
                <w:color w:val="FF0000"/>
              </w:rPr>
            </w:pPr>
          </w:p>
          <w:p>
            <w:pPr>
              <w:pStyle w:val="32"/>
              <w:ind w:firstLine="480"/>
              <w:rPr>
                <w:color w:val="FF0000"/>
              </w:rPr>
            </w:pPr>
          </w:p>
          <w:p>
            <w:pPr>
              <w:pStyle w:val="32"/>
              <w:ind w:firstLine="480"/>
              <w:rPr>
                <w:color w:val="FF0000"/>
              </w:rPr>
            </w:pPr>
          </w:p>
          <w:p>
            <w:pPr>
              <w:pStyle w:val="32"/>
              <w:ind w:firstLine="480"/>
              <w:rPr>
                <w:color w:val="FF0000"/>
              </w:rPr>
            </w:pPr>
          </w:p>
          <w:p>
            <w:pPr>
              <w:pStyle w:val="32"/>
              <w:ind w:firstLine="480"/>
              <w:rPr>
                <w:color w:val="FF0000"/>
              </w:rPr>
            </w:pPr>
          </w:p>
          <w:p>
            <w:pPr>
              <w:pStyle w:val="32"/>
              <w:ind w:firstLine="480"/>
              <w:rPr>
                <w:color w:val="FF0000"/>
              </w:rPr>
            </w:pPr>
          </w:p>
          <w:p>
            <w:pPr>
              <w:pStyle w:val="32"/>
              <w:ind w:firstLine="480"/>
              <w:rPr>
                <w:color w:val="FF0000"/>
              </w:rPr>
            </w:pPr>
          </w:p>
          <w:p>
            <w:pPr>
              <w:pStyle w:val="32"/>
              <w:ind w:firstLine="480"/>
              <w:rPr>
                <w:color w:val="FF0000"/>
              </w:rPr>
            </w:pPr>
          </w:p>
          <w:p>
            <w:pPr>
              <w:pStyle w:val="32"/>
              <w:ind w:firstLine="480"/>
              <w:rPr>
                <w:color w:val="FF0000"/>
              </w:rPr>
            </w:pPr>
          </w:p>
          <w:p>
            <w:pPr>
              <w:pStyle w:val="32"/>
              <w:ind w:firstLine="480"/>
              <w:rPr>
                <w:color w:val="FF0000"/>
              </w:rPr>
            </w:pPr>
          </w:p>
          <w:p>
            <w:pPr>
              <w:pStyle w:val="32"/>
              <w:ind w:firstLine="480"/>
              <w:rPr>
                <w:color w:val="FF0000"/>
              </w:rPr>
            </w:pPr>
          </w:p>
          <w:p>
            <w:pPr>
              <w:pStyle w:val="32"/>
              <w:ind w:firstLine="480"/>
              <w:rPr>
                <w:color w:val="FF0000"/>
              </w:rPr>
            </w:pPr>
          </w:p>
          <w:p>
            <w:pPr>
              <w:pStyle w:val="32"/>
              <w:ind w:firstLine="480"/>
              <w:rPr>
                <w:color w:val="FF0000"/>
              </w:rPr>
            </w:pPr>
          </w:p>
          <w:p>
            <w:pPr>
              <w:pStyle w:val="32"/>
              <w:ind w:firstLine="0" w:firstLineChars="0"/>
              <w:rPr>
                <w:color w:val="FF0000"/>
              </w:rPr>
            </w:pPr>
          </w:p>
        </w:tc>
      </w:tr>
    </w:tbl>
    <w:p>
      <w:pPr>
        <w:spacing w:line="380" w:lineRule="exact"/>
        <w:ind w:right="340"/>
        <w:jc w:val="center"/>
        <w:rPr>
          <w:rFonts w:ascii="Times New Roman" w:hAnsi="Times New Roman"/>
          <w:spacing w:val="20"/>
        </w:rPr>
        <w:sectPr>
          <w:pgSz w:w="11906" w:h="16838"/>
          <w:pgMar w:top="1440" w:right="964" w:bottom="1440" w:left="964" w:header="851" w:footer="992" w:gutter="397"/>
          <w:cols w:space="720" w:num="1"/>
          <w:docGrid w:linePitch="312" w:charSpace="0"/>
        </w:sectPr>
      </w:pPr>
    </w:p>
    <w:p>
      <w:pPr>
        <w:pStyle w:val="3"/>
        <w:spacing w:before="0" w:after="0" w:line="240" w:lineRule="auto"/>
        <w:rPr>
          <w:rFonts w:ascii="Times New Roman" w:hAnsi="Times New Roman" w:eastAsia="黑体"/>
          <w:b w:val="0"/>
          <w:sz w:val="28"/>
          <w:szCs w:val="28"/>
        </w:rPr>
      </w:pPr>
      <w:r>
        <w:rPr>
          <w:rFonts w:ascii="Times New Roman" w:hAnsi="Times New Roman" w:eastAsia="黑体"/>
          <w:b w:val="0"/>
          <w:sz w:val="28"/>
          <w:szCs w:val="28"/>
        </w:rPr>
        <w:t>建设项目工程分析</w:t>
      </w:r>
    </w:p>
    <w:tbl>
      <w:tblPr>
        <w:tblStyle w:val="30"/>
        <w:tblW w:w="9802"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2" w:hRule="atLeast"/>
        </w:trPr>
        <w:tc>
          <w:tcPr>
            <w:tcW w:w="9802" w:type="dxa"/>
          </w:tcPr>
          <w:p>
            <w:pPr>
              <w:spacing w:beforeLines="50" w:line="360" w:lineRule="auto"/>
              <w:rPr>
                <w:rFonts w:ascii="Times New Roman" w:hAnsi="Times New Roman"/>
              </w:rPr>
            </w:pPr>
            <w:r>
              <w:rPr>
                <w:rFonts w:ascii="Times New Roman" w:hAnsi="Times New Roman"/>
              </w:rPr>
              <w:t>工艺流程简述（图示）：</w:t>
            </w:r>
          </w:p>
          <w:p>
            <w:pPr>
              <w:pStyle w:val="32"/>
              <w:ind w:firstLine="480"/>
            </w:pPr>
            <w:r>
              <w:t>一、施工期：</w:t>
            </w:r>
          </w:p>
          <w:p>
            <w:pPr>
              <w:pStyle w:val="32"/>
              <w:ind w:firstLine="480"/>
              <w:rPr>
                <w:rFonts w:eastAsia="黑体"/>
              </w:rPr>
            </w:pPr>
            <w:r>
              <w:t>项目租赁现有房屋进行生产，因此本次环评不考虑施工期对环境的影响。</w:t>
            </w:r>
          </w:p>
          <w:p>
            <w:pPr>
              <w:spacing w:line="360" w:lineRule="auto"/>
              <w:ind w:firstLine="480" w:firstLineChars="200"/>
              <w:rPr>
                <w:rFonts w:ascii="Times New Roman" w:hAnsi="Times New Roman"/>
              </w:rPr>
            </w:pPr>
            <w:r>
              <w:rPr>
                <w:rFonts w:ascii="Times New Roman" w:hAnsi="Times New Roman"/>
              </w:rPr>
              <w:t>二、运营期</w:t>
            </w:r>
          </w:p>
          <w:p>
            <w:pPr>
              <w:spacing w:line="360" w:lineRule="auto"/>
              <w:ind w:firstLine="480" w:firstLineChars="200"/>
              <w:jc w:val="center"/>
              <w:rPr>
                <w:rFonts w:ascii="Times New Roman" w:hAnsi="Times New Roman"/>
              </w:rPr>
            </w:pPr>
            <w:r>
              <w:drawing>
                <wp:inline distT="0" distB="0" distL="114300" distR="114300">
                  <wp:extent cx="4512310" cy="1266190"/>
                  <wp:effectExtent l="0" t="0" r="13970" b="13970"/>
                  <wp:docPr id="9"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3"/>
                          <pic:cNvPicPr>
                            <a:picLocks noChangeAspect="1"/>
                          </pic:cNvPicPr>
                        </pic:nvPicPr>
                        <pic:blipFill>
                          <a:blip r:embed="rId17" cstate="print"/>
                          <a:stretch>
                            <a:fillRect/>
                          </a:stretch>
                        </pic:blipFill>
                        <pic:spPr>
                          <a:xfrm>
                            <a:off x="0" y="0"/>
                            <a:ext cx="4512310" cy="1266190"/>
                          </a:xfrm>
                          <a:prstGeom prst="rect">
                            <a:avLst/>
                          </a:prstGeom>
                          <a:noFill/>
                          <a:ln>
                            <a:noFill/>
                          </a:ln>
                        </pic:spPr>
                      </pic:pic>
                    </a:graphicData>
                  </a:graphic>
                </wp:inline>
              </w:drawing>
            </w:r>
          </w:p>
          <w:p>
            <w:pPr>
              <w:pStyle w:val="26"/>
            </w:pPr>
            <w:r>
              <w:t>图2项目</w:t>
            </w:r>
            <w:r>
              <w:rPr>
                <w:rFonts w:hint="eastAsia"/>
              </w:rPr>
              <w:t>工艺</w:t>
            </w:r>
            <w:r>
              <w:t>及产污环节图</w:t>
            </w:r>
          </w:p>
          <w:p>
            <w:pPr>
              <w:pStyle w:val="57"/>
              <w:rPr>
                <w:rStyle w:val="28"/>
              </w:rPr>
            </w:pPr>
            <w:r>
              <w:rPr>
                <w:rStyle w:val="28"/>
              </w:rPr>
              <w:t>工艺流程描述：</w:t>
            </w:r>
          </w:p>
          <w:p>
            <w:pPr>
              <w:adjustRightInd w:val="0"/>
              <w:spacing w:line="500" w:lineRule="exact"/>
              <w:ind w:firstLine="480" w:firstLineChars="200"/>
              <w:jc w:val="left"/>
              <w:textAlignment w:val="baseline"/>
              <w:rPr>
                <w:rFonts w:ascii="Times New Roman" w:hAnsi="Times New Roman"/>
                <w:kern w:val="2"/>
                <w:szCs w:val="24"/>
              </w:rPr>
            </w:pPr>
            <w:r>
              <w:rPr>
                <w:rFonts w:ascii="Times New Roman" w:hAnsi="Times New Roman"/>
                <w:kern w:val="2"/>
                <w:szCs w:val="24"/>
              </w:rPr>
              <w:t>1、印刷：印刷时在丝网印版一端上倒入用油墨稀释剂调好的油墨，用刮印刮板在丝网印版上的油墨部位施加一定压力，同时朝丝网印版另一端移动。油墨在移动中被刮板从图文部分的网孔中挤压到承印物</w:t>
            </w:r>
            <w:r>
              <w:rPr>
                <w:rFonts w:hint="eastAsia" w:ascii="Times New Roman" w:hAnsi="Times New Roman"/>
                <w:kern w:val="2"/>
                <w:szCs w:val="24"/>
              </w:rPr>
              <w:t>纸张</w:t>
            </w:r>
            <w:r>
              <w:rPr>
                <w:rFonts w:ascii="Times New Roman" w:hAnsi="Times New Roman"/>
                <w:kern w:val="2"/>
                <w:szCs w:val="24"/>
              </w:rPr>
              <w:t>上。印刷后</w:t>
            </w:r>
            <w:r>
              <w:rPr>
                <w:rFonts w:hint="eastAsia" w:ascii="Times New Roman" w:hAnsi="Times New Roman"/>
                <w:kern w:val="2"/>
                <w:szCs w:val="24"/>
              </w:rPr>
              <w:t>需对自己制作的</w:t>
            </w:r>
            <w:r>
              <w:rPr>
                <w:rFonts w:ascii="Times New Roman" w:hAnsi="Times New Roman"/>
                <w:kern w:val="2"/>
                <w:szCs w:val="24"/>
              </w:rPr>
              <w:t>印刷板</w:t>
            </w:r>
            <w:r>
              <w:rPr>
                <w:rFonts w:hint="eastAsia" w:ascii="Times New Roman" w:hAnsi="Times New Roman"/>
                <w:kern w:val="2"/>
                <w:szCs w:val="24"/>
              </w:rPr>
              <w:t>用抹布进行擦拭</w:t>
            </w:r>
            <w:r>
              <w:rPr>
                <w:rFonts w:ascii="Times New Roman" w:hAnsi="Times New Roman"/>
                <w:kern w:val="2"/>
                <w:szCs w:val="24"/>
              </w:rPr>
              <w:t>。</w:t>
            </w:r>
          </w:p>
          <w:p>
            <w:pPr>
              <w:adjustRightInd w:val="0"/>
              <w:spacing w:line="500" w:lineRule="exact"/>
              <w:ind w:firstLine="482" w:firstLineChars="200"/>
              <w:jc w:val="left"/>
              <w:textAlignment w:val="baseline"/>
              <w:rPr>
                <w:rFonts w:ascii="Times New Roman" w:hAnsi="Times New Roman"/>
                <w:kern w:val="2"/>
                <w:szCs w:val="24"/>
              </w:rPr>
            </w:pPr>
            <w:r>
              <w:rPr>
                <w:rFonts w:ascii="Times New Roman" w:hAnsi="Times New Roman"/>
                <w:b/>
                <w:bCs/>
                <w:kern w:val="2"/>
                <w:szCs w:val="24"/>
              </w:rPr>
              <w:t>产污环节</w:t>
            </w:r>
            <w:r>
              <w:rPr>
                <w:rFonts w:ascii="Times New Roman" w:hAnsi="Times New Roman"/>
                <w:kern w:val="2"/>
                <w:szCs w:val="24"/>
              </w:rPr>
              <w:t>：印刷过程产生印刷废气VOCs，产生</w:t>
            </w:r>
            <w:r>
              <w:rPr>
                <w:rFonts w:hint="eastAsia" w:ascii="Times New Roman" w:hAnsi="Times New Roman"/>
                <w:kern w:val="2"/>
                <w:szCs w:val="24"/>
              </w:rPr>
              <w:t>废油墨盒</w:t>
            </w:r>
            <w:r>
              <w:rPr>
                <w:rFonts w:ascii="Times New Roman" w:hAnsi="Times New Roman"/>
                <w:kern w:val="2"/>
                <w:szCs w:val="24"/>
              </w:rPr>
              <w:t>，</w:t>
            </w:r>
            <w:r>
              <w:rPr>
                <w:rFonts w:hint="eastAsia" w:ascii="Times New Roman" w:hAnsi="Times New Roman"/>
                <w:kern w:val="2"/>
                <w:szCs w:val="24"/>
              </w:rPr>
              <w:t>废抹布</w:t>
            </w:r>
            <w:r>
              <w:rPr>
                <w:rFonts w:ascii="Times New Roman" w:hAnsi="Times New Roman"/>
                <w:kern w:val="2"/>
                <w:szCs w:val="24"/>
              </w:rPr>
              <w:t>。</w:t>
            </w:r>
          </w:p>
          <w:p>
            <w:pPr>
              <w:adjustRightInd w:val="0"/>
              <w:spacing w:line="500" w:lineRule="exact"/>
              <w:ind w:firstLine="480" w:firstLineChars="200"/>
              <w:jc w:val="left"/>
              <w:textAlignment w:val="baseline"/>
              <w:rPr>
                <w:rFonts w:ascii="Times New Roman" w:hAnsi="Times New Roman"/>
                <w:kern w:val="2"/>
                <w:szCs w:val="24"/>
              </w:rPr>
            </w:pPr>
            <w:r>
              <w:rPr>
                <w:rFonts w:ascii="Times New Roman" w:hAnsi="Times New Roman"/>
                <w:kern w:val="2"/>
                <w:szCs w:val="24"/>
              </w:rPr>
              <w:t>2、模切：待</w:t>
            </w:r>
            <w:r>
              <w:rPr>
                <w:rFonts w:hint="eastAsia" w:ascii="Times New Roman" w:hAnsi="Times New Roman"/>
                <w:kern w:val="2"/>
                <w:szCs w:val="24"/>
              </w:rPr>
              <w:t>印刷完成</w:t>
            </w:r>
            <w:r>
              <w:rPr>
                <w:rFonts w:ascii="Times New Roman" w:hAnsi="Times New Roman"/>
                <w:kern w:val="2"/>
                <w:szCs w:val="24"/>
              </w:rPr>
              <w:t>后，在包装纸根据</w:t>
            </w:r>
            <w:r>
              <w:rPr>
                <w:rFonts w:hint="eastAsia" w:ascii="Times New Roman" w:hAnsi="Times New Roman"/>
                <w:kern w:val="2"/>
                <w:szCs w:val="24"/>
              </w:rPr>
              <w:t>规格要求</w:t>
            </w:r>
            <w:r>
              <w:rPr>
                <w:rFonts w:ascii="Times New Roman" w:hAnsi="Times New Roman"/>
                <w:kern w:val="2"/>
                <w:szCs w:val="24"/>
              </w:rPr>
              <w:t>模切</w:t>
            </w:r>
            <w:r>
              <w:rPr>
                <w:rFonts w:hint="eastAsia" w:ascii="Times New Roman" w:hAnsi="Times New Roman"/>
                <w:kern w:val="2"/>
                <w:szCs w:val="24"/>
              </w:rPr>
              <w:t>为等大小的规格</w:t>
            </w:r>
            <w:r>
              <w:rPr>
                <w:rFonts w:ascii="Times New Roman" w:hAnsi="Times New Roman"/>
                <w:kern w:val="2"/>
                <w:szCs w:val="24"/>
              </w:rPr>
              <w:t>。</w:t>
            </w:r>
          </w:p>
          <w:p>
            <w:pPr>
              <w:adjustRightInd w:val="0"/>
              <w:spacing w:line="500" w:lineRule="exact"/>
              <w:ind w:firstLine="482" w:firstLineChars="200"/>
              <w:jc w:val="left"/>
              <w:textAlignment w:val="baseline"/>
              <w:rPr>
                <w:rFonts w:ascii="Times New Roman" w:hAnsi="Times New Roman"/>
                <w:kern w:val="2"/>
                <w:szCs w:val="24"/>
              </w:rPr>
            </w:pPr>
            <w:r>
              <w:rPr>
                <w:rFonts w:ascii="Times New Roman" w:hAnsi="Times New Roman"/>
                <w:b/>
                <w:bCs/>
                <w:kern w:val="2"/>
                <w:szCs w:val="24"/>
              </w:rPr>
              <w:t>产污环节</w:t>
            </w:r>
            <w:r>
              <w:rPr>
                <w:rFonts w:ascii="Times New Roman" w:hAnsi="Times New Roman"/>
                <w:kern w:val="2"/>
                <w:szCs w:val="24"/>
              </w:rPr>
              <w:t>：该过程有下脚料产生。</w:t>
            </w:r>
          </w:p>
          <w:p>
            <w:pPr>
              <w:adjustRightInd w:val="0"/>
              <w:spacing w:line="500" w:lineRule="exact"/>
              <w:ind w:firstLine="480" w:firstLineChars="200"/>
              <w:jc w:val="left"/>
              <w:textAlignment w:val="baseline"/>
              <w:rPr>
                <w:rFonts w:ascii="Times New Roman" w:hAnsi="Times New Roman"/>
                <w:kern w:val="2"/>
                <w:szCs w:val="24"/>
              </w:rPr>
            </w:pPr>
            <w:r>
              <w:rPr>
                <w:rFonts w:ascii="Times New Roman" w:hAnsi="Times New Roman"/>
                <w:kern w:val="2"/>
                <w:szCs w:val="24"/>
              </w:rPr>
              <w:t>3、</w:t>
            </w:r>
            <w:r>
              <w:rPr>
                <w:rFonts w:hint="eastAsia" w:ascii="Times New Roman" w:hAnsi="Times New Roman"/>
                <w:kern w:val="2"/>
                <w:szCs w:val="24"/>
              </w:rPr>
              <w:t>包装入库</w:t>
            </w:r>
            <w:r>
              <w:rPr>
                <w:rFonts w:ascii="Times New Roman" w:hAnsi="Times New Roman"/>
                <w:kern w:val="2"/>
                <w:szCs w:val="24"/>
              </w:rPr>
              <w:t>：分类检查后为成品，入库保存。</w:t>
            </w:r>
          </w:p>
          <w:p>
            <w:pPr>
              <w:adjustRightInd w:val="0"/>
              <w:spacing w:line="500" w:lineRule="exact"/>
              <w:ind w:firstLine="480" w:firstLineChars="200"/>
              <w:jc w:val="left"/>
              <w:textAlignment w:val="baseline"/>
              <w:rPr>
                <w:rFonts w:ascii="Times New Roman" w:hAnsi="Times New Roman"/>
                <w:kern w:val="2"/>
                <w:szCs w:val="24"/>
              </w:rPr>
            </w:pPr>
          </w:p>
          <w:p>
            <w:pPr>
              <w:adjustRightInd w:val="0"/>
              <w:spacing w:line="500" w:lineRule="exact"/>
              <w:ind w:firstLine="480" w:firstLineChars="200"/>
              <w:jc w:val="left"/>
              <w:textAlignment w:val="baseline"/>
              <w:rPr>
                <w:rFonts w:ascii="Times New Roman" w:hAnsi="Times New Roman"/>
                <w:kern w:val="2"/>
                <w:szCs w:val="24"/>
              </w:rPr>
            </w:pPr>
          </w:p>
          <w:p>
            <w:pPr>
              <w:adjustRightInd w:val="0"/>
              <w:spacing w:line="500" w:lineRule="exact"/>
              <w:ind w:firstLine="480" w:firstLineChars="200"/>
              <w:jc w:val="left"/>
              <w:textAlignment w:val="baseline"/>
              <w:rPr>
                <w:rFonts w:ascii="Times New Roman" w:hAnsi="Times New Roman"/>
                <w:kern w:val="2"/>
                <w:szCs w:val="24"/>
              </w:rPr>
            </w:pPr>
          </w:p>
          <w:p>
            <w:pPr>
              <w:adjustRightInd w:val="0"/>
              <w:spacing w:line="500" w:lineRule="exact"/>
              <w:ind w:firstLine="480" w:firstLineChars="200"/>
              <w:jc w:val="left"/>
              <w:textAlignment w:val="baseline"/>
              <w:rPr>
                <w:rFonts w:ascii="Times New Roman" w:hAnsi="Times New Roman"/>
                <w:kern w:val="2"/>
                <w:szCs w:val="24"/>
              </w:rPr>
            </w:pPr>
          </w:p>
          <w:p>
            <w:pPr>
              <w:spacing w:line="360" w:lineRule="auto"/>
              <w:ind w:firstLine="480" w:firstLineChars="200"/>
              <w:rPr>
                <w:rFonts w:ascii="Times New Roman" w:hAnsi="Times New Roman"/>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130" w:hRule="atLeast"/>
        </w:trPr>
        <w:tc>
          <w:tcPr>
            <w:tcW w:w="9802" w:type="dxa"/>
          </w:tcPr>
          <w:p>
            <w:pPr>
              <w:tabs>
                <w:tab w:val="left" w:pos="3495"/>
                <w:tab w:val="center" w:pos="4512"/>
                <w:tab w:val="left" w:pos="6300"/>
              </w:tabs>
              <w:spacing w:beforeLines="50" w:line="360" w:lineRule="auto"/>
              <w:rPr>
                <w:rFonts w:ascii="Times New Roman" w:hAnsi="Times New Roman" w:eastAsia="黑体"/>
                <w:sz w:val="28"/>
              </w:rPr>
            </w:pPr>
            <w:bookmarkStart w:id="8" w:name="_Hlk56448774"/>
            <w:r>
              <w:rPr>
                <w:rFonts w:ascii="Times New Roman" w:hAnsi="Times New Roman" w:eastAsia="黑体"/>
                <w:sz w:val="28"/>
              </w:rPr>
              <w:t>主要污染工序：</w:t>
            </w:r>
          </w:p>
          <w:p>
            <w:pPr>
              <w:spacing w:line="360" w:lineRule="auto"/>
              <w:ind w:firstLine="480" w:firstLineChars="200"/>
              <w:rPr>
                <w:rFonts w:ascii="Times New Roman" w:hAnsi="Times New Roman" w:eastAsia="黑体"/>
              </w:rPr>
            </w:pPr>
            <w:r>
              <w:rPr>
                <w:rFonts w:ascii="Times New Roman" w:hAnsi="Times New Roman" w:eastAsia="黑体"/>
              </w:rPr>
              <w:t>一、施工期</w:t>
            </w:r>
          </w:p>
          <w:p>
            <w:pPr>
              <w:spacing w:line="360" w:lineRule="auto"/>
              <w:ind w:right="261" w:firstLine="480" w:firstLineChars="200"/>
              <w:rPr>
                <w:rFonts w:ascii="Times New Roman" w:hAnsi="Times New Roman"/>
                <w:color w:val="000000"/>
                <w:szCs w:val="24"/>
              </w:rPr>
            </w:pPr>
            <w:r>
              <w:rPr>
                <w:rFonts w:ascii="Times New Roman" w:hAnsi="Times New Roman"/>
                <w:szCs w:val="24"/>
              </w:rPr>
              <w:t>项目</w:t>
            </w:r>
            <w:r>
              <w:rPr>
                <w:rFonts w:hint="eastAsia" w:ascii="Times New Roman" w:hAnsi="Times New Roman"/>
                <w:szCs w:val="24"/>
              </w:rPr>
              <w:t>利用已有厂房</w:t>
            </w:r>
            <w:r>
              <w:rPr>
                <w:rFonts w:ascii="Times New Roman" w:hAnsi="Times New Roman"/>
                <w:szCs w:val="24"/>
              </w:rPr>
              <w:t>进行建设，因此不进行施工期影响分析。</w:t>
            </w:r>
          </w:p>
          <w:p>
            <w:pPr>
              <w:spacing w:line="360" w:lineRule="auto"/>
              <w:ind w:firstLine="480" w:firstLineChars="200"/>
              <w:rPr>
                <w:rFonts w:ascii="Times New Roman" w:hAnsi="Times New Roman" w:eastAsia="黑体"/>
              </w:rPr>
            </w:pPr>
            <w:r>
              <w:rPr>
                <w:rFonts w:ascii="Times New Roman" w:hAnsi="Times New Roman" w:eastAsia="黑体"/>
              </w:rPr>
              <w:t>二、运营期</w:t>
            </w:r>
          </w:p>
          <w:p>
            <w:pPr>
              <w:pStyle w:val="32"/>
              <w:ind w:firstLine="480"/>
            </w:pPr>
            <w:bookmarkStart w:id="9" w:name="_Hlk43218577"/>
            <w:r>
              <w:t>项目运行过程中产生的污染物主要为废气、废水、噪声、固体废物。</w:t>
            </w:r>
          </w:p>
          <w:p>
            <w:pPr>
              <w:pStyle w:val="32"/>
              <w:ind w:firstLine="480"/>
              <w:rPr>
                <w:rFonts w:eastAsia="黑体"/>
              </w:rPr>
            </w:pPr>
            <w:r>
              <w:rPr>
                <w:rFonts w:hint="eastAsia" w:eastAsia="黑体"/>
              </w:rPr>
              <w:t>1、废气</w:t>
            </w:r>
          </w:p>
          <w:p>
            <w:pPr>
              <w:pStyle w:val="32"/>
              <w:ind w:firstLine="480"/>
              <w:rPr>
                <w:rFonts w:eastAsia="黑体"/>
              </w:rPr>
            </w:pPr>
            <w:r>
              <w:t>项目</w:t>
            </w:r>
            <w:r>
              <w:rPr>
                <w:kern w:val="2"/>
                <w:szCs w:val="21"/>
              </w:rPr>
              <w:t>印刷工</w:t>
            </w:r>
            <w:r>
              <w:rPr>
                <w:rFonts w:hint="eastAsia"/>
                <w:kern w:val="2"/>
                <w:szCs w:val="21"/>
              </w:rPr>
              <w:t>序</w:t>
            </w:r>
            <w:r>
              <w:t>相关设备与</w:t>
            </w:r>
            <w:r>
              <w:rPr>
                <w:rFonts w:hint="eastAsia"/>
              </w:rPr>
              <w:t>催化燃烧装置</w:t>
            </w:r>
            <w:r>
              <w:t>设置</w:t>
            </w:r>
            <w:r>
              <w:rPr>
                <w:rFonts w:hint="eastAsia"/>
              </w:rPr>
              <w:t>自动同步启动</w:t>
            </w:r>
            <w:r>
              <w:t>装置，上述任一工序运行过程中，</w:t>
            </w:r>
            <w:r>
              <w:rPr>
                <w:rFonts w:hint="eastAsia"/>
              </w:rPr>
              <w:t>催化燃烧装置</w:t>
            </w:r>
            <w:r>
              <w:t>需处于正常运行状态中，保证项目废气的正常收集和处理。</w:t>
            </w:r>
            <w:r>
              <w:rPr>
                <w:rFonts w:hint="eastAsia"/>
              </w:rPr>
              <w:t>企业将配套电量智能管控系统，采集全厂及废气收集处理设施用电情况，并与市生态环境局联网，便于环保部门监管。</w:t>
            </w:r>
          </w:p>
          <w:p>
            <w:pPr>
              <w:pStyle w:val="32"/>
              <w:ind w:firstLine="480"/>
              <w:rPr>
                <w:rFonts w:eastAsia="黑体"/>
              </w:rPr>
            </w:pPr>
            <w:bookmarkStart w:id="10" w:name="_Hlk44320990"/>
            <w:r>
              <w:rPr>
                <w:rFonts w:hint="eastAsia" w:eastAsia="黑体"/>
              </w:rPr>
              <w:t>（一）有组织废气</w:t>
            </w:r>
          </w:p>
          <w:p>
            <w:pPr>
              <w:autoSpaceDE w:val="0"/>
              <w:autoSpaceDN w:val="0"/>
              <w:spacing w:line="360" w:lineRule="auto"/>
              <w:ind w:firstLine="480" w:firstLineChars="200"/>
              <w:rPr>
                <w:rFonts w:ascii="Times New Roman" w:hAnsi="Times New Roman"/>
                <w:szCs w:val="24"/>
              </w:rPr>
            </w:pPr>
            <w:bookmarkStart w:id="11" w:name="_Hlk45286488"/>
            <w:r>
              <w:rPr>
                <w:rFonts w:hint="eastAsia" w:ascii="Times New Roman" w:hAnsi="Times New Roman"/>
                <w:szCs w:val="24"/>
              </w:rPr>
              <w:t>生产有组织废气主要为</w:t>
            </w:r>
            <w:r>
              <w:rPr>
                <w:rFonts w:ascii="Times New Roman" w:hAnsi="Times New Roman"/>
                <w:szCs w:val="24"/>
              </w:rPr>
              <w:t>印刷工序产生的废气，主要污染物为挥发性有机物（VOCs）。</w:t>
            </w:r>
          </w:p>
          <w:p>
            <w:pPr>
              <w:autoSpaceDE w:val="0"/>
              <w:autoSpaceDN w:val="0"/>
              <w:spacing w:line="360" w:lineRule="auto"/>
              <w:ind w:firstLine="480" w:firstLineChars="200"/>
              <w:rPr>
                <w:rFonts w:ascii="Times New Roman" w:hAnsi="Times New Roman"/>
                <w:kern w:val="2"/>
                <w:szCs w:val="24"/>
              </w:rPr>
            </w:pPr>
            <w:bookmarkStart w:id="12" w:name="_Hlk27385967"/>
            <w:bookmarkStart w:id="13" w:name="_Hlk44321349"/>
            <w:r>
              <w:rPr>
                <w:rFonts w:ascii="Times New Roman" w:hAnsi="Times New Roman"/>
                <w:kern w:val="2"/>
                <w:szCs w:val="24"/>
              </w:rPr>
              <w:t>根据建设单位提供资料，项目油墨用量为2t/a、稀释剂环己酮用量为0.4t/a。</w:t>
            </w:r>
            <w:r>
              <w:rPr>
                <w:rFonts w:hint="eastAsia" w:ascii="Times New Roman" w:hAnsi="Times New Roman"/>
                <w:kern w:val="2"/>
              </w:rPr>
              <w:t>根据企业提供的资料，油墨主要成分环氧树脂含量50-60%，有机颜料5-15%，酯类溶剂30%左右。本次环评保守计算，油墨中V</w:t>
            </w:r>
            <w:r>
              <w:rPr>
                <w:rFonts w:ascii="Times New Roman" w:hAnsi="Times New Roman"/>
                <w:kern w:val="2"/>
              </w:rPr>
              <w:t>OCs</w:t>
            </w:r>
            <w:r>
              <w:rPr>
                <w:rFonts w:hint="eastAsia" w:ascii="Times New Roman" w:hAnsi="Times New Roman"/>
                <w:kern w:val="2"/>
              </w:rPr>
              <w:t>含量为</w:t>
            </w:r>
            <w:r>
              <w:rPr>
                <w:rFonts w:ascii="Times New Roman" w:hAnsi="Times New Roman"/>
                <w:kern w:val="2"/>
              </w:rPr>
              <w:t>30</w:t>
            </w:r>
            <w:r>
              <w:rPr>
                <w:rFonts w:hint="eastAsia" w:ascii="Times New Roman" w:hAnsi="Times New Roman"/>
                <w:kern w:val="2"/>
              </w:rPr>
              <w:t>%，</w:t>
            </w:r>
            <w:r>
              <w:rPr>
                <w:rFonts w:ascii="Times New Roman" w:hAnsi="Times New Roman"/>
                <w:kern w:val="2"/>
                <w:szCs w:val="24"/>
              </w:rPr>
              <w:t>稀释剂以全部挥发计，则本项目VOCs的产生量为1t/a，印刷工序在印刷车间内进行，在印刷工序上方设置集气装置，经集气罩收集（收集效率约为90%），约0.90t/a</w:t>
            </w:r>
            <w:r>
              <w:rPr>
                <w:rFonts w:hint="eastAsia" w:ascii="Times New Roman" w:hAnsi="Times New Roman"/>
                <w:kern w:val="2"/>
                <w:szCs w:val="24"/>
              </w:rPr>
              <w:t>，</w:t>
            </w:r>
            <w:r>
              <w:rPr>
                <w:rFonts w:ascii="Times New Roman" w:hAnsi="Times New Roman"/>
                <w:kern w:val="2"/>
                <w:szCs w:val="24"/>
              </w:rPr>
              <w:t>被收集后经</w:t>
            </w:r>
            <w:r>
              <w:rPr>
                <w:rFonts w:hint="eastAsia" w:ascii="Times New Roman" w:hAnsi="Times New Roman"/>
                <w:kern w:val="2"/>
                <w:szCs w:val="22"/>
              </w:rPr>
              <w:t>活性炭吸附+催化燃烧设备</w:t>
            </w:r>
            <w:r>
              <w:rPr>
                <w:rFonts w:ascii="Times New Roman" w:hAnsi="Times New Roman"/>
                <w:kern w:val="2"/>
                <w:szCs w:val="24"/>
              </w:rPr>
              <w:t>处理，年工作时间1800h（每天工作时间6h</w:t>
            </w:r>
            <w:r>
              <w:rPr>
                <w:rFonts w:hint="eastAsia" w:ascii="Times New Roman" w:hAnsi="Times New Roman"/>
                <w:kern w:val="2"/>
                <w:szCs w:val="24"/>
              </w:rPr>
              <w:t>，年工作</w:t>
            </w:r>
            <w:r>
              <w:rPr>
                <w:rFonts w:ascii="Times New Roman" w:hAnsi="Times New Roman"/>
                <w:kern w:val="2"/>
                <w:szCs w:val="24"/>
              </w:rPr>
              <w:t>300d）</w:t>
            </w:r>
            <w:r>
              <w:rPr>
                <w:rFonts w:hint="eastAsia" w:ascii="Times New Roman" w:hAnsi="Times New Roman"/>
                <w:kern w:val="2"/>
                <w:szCs w:val="24"/>
              </w:rPr>
              <w:t>风机风量为20000m</w:t>
            </w:r>
            <w:r>
              <w:rPr>
                <w:rFonts w:hint="eastAsia" w:ascii="Times New Roman" w:hAnsi="Times New Roman"/>
                <w:kern w:val="2"/>
                <w:szCs w:val="24"/>
                <w:vertAlign w:val="superscript"/>
              </w:rPr>
              <w:t>3</w:t>
            </w:r>
            <w:r>
              <w:rPr>
                <w:rFonts w:hint="eastAsia" w:ascii="Times New Roman" w:hAnsi="Times New Roman"/>
                <w:kern w:val="2"/>
                <w:szCs w:val="24"/>
              </w:rPr>
              <w:t>/h，</w:t>
            </w:r>
            <w:r>
              <w:rPr>
                <w:rFonts w:ascii="Times New Roman" w:hAnsi="Times New Roman"/>
                <w:kern w:val="2"/>
                <w:szCs w:val="24"/>
              </w:rPr>
              <w:t>由</w:t>
            </w:r>
            <w:r>
              <w:rPr>
                <w:rFonts w:hint="eastAsia" w:ascii="Times New Roman" w:hAnsi="Times New Roman"/>
                <w:kern w:val="2"/>
                <w:szCs w:val="24"/>
              </w:rPr>
              <w:t>15m高高</w:t>
            </w:r>
            <w:r>
              <w:rPr>
                <w:rFonts w:ascii="Times New Roman" w:hAnsi="Times New Roman"/>
                <w:kern w:val="2"/>
                <w:szCs w:val="24"/>
              </w:rPr>
              <w:t>的排气筒有组织排放。</w:t>
            </w:r>
          </w:p>
          <w:p>
            <w:pPr>
              <w:adjustRightInd w:val="0"/>
              <w:snapToGrid w:val="0"/>
              <w:spacing w:line="360" w:lineRule="auto"/>
              <w:ind w:firstLine="480" w:firstLineChars="200"/>
              <w:rPr>
                <w:snapToGrid w:val="0"/>
                <w:kern w:val="0"/>
              </w:rPr>
            </w:pPr>
            <w:bookmarkStart w:id="14" w:name="_Hlk45285604"/>
            <w:r>
              <w:rPr>
                <w:rFonts w:hint="eastAsia"/>
                <w:snapToGrid w:val="0"/>
                <w:kern w:val="0"/>
              </w:rPr>
              <w:t>集气罩及风机风量设定：</w:t>
            </w:r>
          </w:p>
          <w:p>
            <w:pPr>
              <w:adjustRightInd w:val="0"/>
              <w:snapToGrid w:val="0"/>
              <w:spacing w:line="360" w:lineRule="auto"/>
              <w:ind w:firstLine="480" w:firstLineChars="200"/>
              <w:rPr>
                <w:snapToGrid w:val="0"/>
                <w:kern w:val="0"/>
              </w:rPr>
            </w:pPr>
            <w:r>
              <w:rPr>
                <w:rFonts w:hint="eastAsia"/>
                <w:snapToGrid w:val="0"/>
                <w:kern w:val="0"/>
              </w:rPr>
              <w:t>1）</w:t>
            </w:r>
            <w:r>
              <w:rPr>
                <w:snapToGrid w:val="0"/>
                <w:kern w:val="0"/>
              </w:rPr>
              <w:t>集气罩设计的一般原则</w:t>
            </w:r>
            <w:r>
              <w:rPr>
                <w:rFonts w:hint="eastAsia"/>
                <w:snapToGrid w:val="0"/>
                <w:kern w:val="0"/>
              </w:rPr>
              <w:t>：</w:t>
            </w:r>
            <w:r>
              <w:rPr>
                <w:snapToGrid w:val="0"/>
                <w:kern w:val="0"/>
              </w:rPr>
              <w:t>集气罩设计的合理，使用较小的排气量就可以有效的控制污染物的扩散．反之，用很大的排气量也不一定能达到预期的效果。设计时具体应注意以下几点：</w:t>
            </w:r>
          </w:p>
          <w:p>
            <w:pPr>
              <w:adjustRightInd w:val="0"/>
              <w:snapToGrid w:val="0"/>
              <w:spacing w:line="360" w:lineRule="auto"/>
              <w:ind w:firstLine="480" w:firstLineChars="200"/>
              <w:rPr>
                <w:snapToGrid w:val="0"/>
                <w:kern w:val="0"/>
              </w:rPr>
            </w:pPr>
            <w:r>
              <w:rPr>
                <w:snapToGrid w:val="0"/>
                <w:kern w:val="0"/>
              </w:rPr>
              <w:t>①集气罩应尽可能将污染源包围起来，或靠近污染源，使污染物的扩散控制在最小的范围内，防止或减少横向气流的于扰，以便在获得足够的吸气速度情况下，减少排气量。</w:t>
            </w:r>
          </w:p>
          <w:p>
            <w:pPr>
              <w:adjustRightInd w:val="0"/>
              <w:snapToGrid w:val="0"/>
              <w:spacing w:line="360" w:lineRule="auto"/>
              <w:ind w:firstLine="480" w:firstLineChars="200"/>
              <w:rPr>
                <w:snapToGrid w:val="0"/>
                <w:kern w:val="0"/>
              </w:rPr>
            </w:pPr>
            <w:r>
              <w:rPr>
                <w:snapToGrid w:val="0"/>
                <w:kern w:val="0"/>
              </w:rPr>
              <w:t>②集气罩的吸气方向应尽可能与污染气流的运动方向一致，以充分利用污染气流的动能。</w:t>
            </w:r>
          </w:p>
          <w:p>
            <w:pPr>
              <w:adjustRightInd w:val="0"/>
              <w:snapToGrid w:val="0"/>
              <w:spacing w:line="360" w:lineRule="auto"/>
              <w:ind w:firstLine="480" w:firstLineChars="200"/>
              <w:rPr>
                <w:snapToGrid w:val="0"/>
                <w:kern w:val="0"/>
              </w:rPr>
            </w:pPr>
            <w:r>
              <w:rPr>
                <w:snapToGrid w:val="0"/>
                <w:kern w:val="0"/>
              </w:rPr>
              <w:t>③在保证控制污染的条件下，尽量减少集气罩的开口面积或加法兰边，使其排气量最小。</w:t>
            </w:r>
          </w:p>
          <w:p>
            <w:pPr>
              <w:adjustRightInd w:val="0"/>
              <w:snapToGrid w:val="0"/>
              <w:spacing w:line="360" w:lineRule="auto"/>
              <w:ind w:firstLine="480" w:firstLineChars="200"/>
              <w:rPr>
                <w:snapToGrid w:val="0"/>
                <w:kern w:val="0"/>
              </w:rPr>
            </w:pPr>
            <w:r>
              <w:rPr>
                <w:snapToGrid w:val="0"/>
                <w:kern w:val="0"/>
              </w:rPr>
              <w:t>④侧吸罩或伞形罩应设在污染物散发的轴心线上。罩口面积与集气管断面积之比最大为16:1：喇叭罩长度宜取集气管直径3倍，以保证罩口均匀吸风。如达不到均匀吸风时可多设几个吸气口，或在集气罩内设分隔板、挡板等。</w:t>
            </w:r>
          </w:p>
          <w:p>
            <w:pPr>
              <w:adjustRightInd w:val="0"/>
              <w:snapToGrid w:val="0"/>
              <w:spacing w:line="360" w:lineRule="auto"/>
              <w:ind w:firstLine="480" w:firstLineChars="200"/>
              <w:rPr>
                <w:snapToGrid w:val="0"/>
                <w:kern w:val="0"/>
              </w:rPr>
            </w:pPr>
            <w:r>
              <w:rPr>
                <w:snapToGrid w:val="0"/>
                <w:kern w:val="0"/>
              </w:rPr>
              <w:t>⑤不允许集气罩的吸气流经过人的呼吸区再进入罩内气流流程内不应有障碍物。</w:t>
            </w:r>
          </w:p>
          <w:p>
            <w:pPr>
              <w:adjustRightInd w:val="0"/>
              <w:snapToGrid w:val="0"/>
              <w:spacing w:line="360" w:lineRule="auto"/>
              <w:ind w:firstLine="480" w:firstLineChars="200"/>
              <w:rPr>
                <w:snapToGrid w:val="0"/>
                <w:kern w:val="0"/>
              </w:rPr>
            </w:pPr>
            <w:r>
              <w:rPr>
                <w:snapToGrid w:val="0"/>
                <w:kern w:val="0"/>
              </w:rPr>
              <w:t>⑥集气罩的结果不应该放妨碍工人操作和设备检修。</w:t>
            </w:r>
          </w:p>
          <w:p>
            <w:pPr>
              <w:adjustRightInd w:val="0"/>
              <w:snapToGrid w:val="0"/>
              <w:spacing w:line="360" w:lineRule="auto"/>
              <w:ind w:firstLine="480" w:firstLineChars="200"/>
              <w:rPr>
                <w:snapToGrid w:val="0"/>
                <w:kern w:val="0"/>
              </w:rPr>
            </w:pPr>
            <w:r>
              <w:rPr>
                <w:snapToGrid w:val="0"/>
                <w:kern w:val="0"/>
              </w:rPr>
              <w:t>2）集气罩设计的程序</w:t>
            </w:r>
          </w:p>
          <w:p>
            <w:pPr>
              <w:adjustRightInd w:val="0"/>
              <w:snapToGrid w:val="0"/>
              <w:spacing w:line="360" w:lineRule="auto"/>
              <w:ind w:firstLine="480" w:firstLineChars="200"/>
              <w:rPr>
                <w:snapToGrid w:val="0"/>
                <w:kern w:val="0"/>
              </w:rPr>
            </w:pPr>
            <w:r>
              <w:rPr>
                <w:snapToGrid w:val="0"/>
                <w:kern w:val="0"/>
              </w:rPr>
              <w:t>设计集气罩的程序一般是，先确定集气罩的结构尺寸和安装位置，再确定抽气量，最后计算压力损失。</w:t>
            </w:r>
          </w:p>
          <w:p>
            <w:pPr>
              <w:adjustRightInd w:val="0"/>
              <w:snapToGrid w:val="0"/>
              <w:spacing w:line="360" w:lineRule="auto"/>
              <w:ind w:firstLine="480" w:firstLineChars="200"/>
              <w:rPr>
                <w:rFonts w:ascii="Times New Roman" w:hAnsi="Times New Roman"/>
                <w:snapToGrid w:val="0"/>
                <w:kern w:val="0"/>
              </w:rPr>
            </w:pPr>
            <w:r>
              <w:rPr>
                <w:snapToGrid w:val="0"/>
                <w:kern w:val="0"/>
              </w:rPr>
              <w:t>集气罩尺寸一般是按经验确定的。有关设计手册中给出了各种集气罩的参考尺寸。在无参考尺寸时，可参照下列条件确定，排气罩的罩口尺寸不应小于罩子所在位置的污染无扩散的断面面积。若设集气罩连接直管的特征尺寸为D（圆管为直径，矩形管为短边），</w:t>
            </w:r>
            <w:r>
              <w:rPr>
                <w:rFonts w:ascii="Times New Roman" w:hAnsi="Times New Roman"/>
                <w:snapToGrid w:val="0"/>
                <w:kern w:val="0"/>
              </w:rPr>
              <w:t>污染源的特征尺寸为E（圆形为直径，矩形为短边），集气罩距污染源的垂直距离为x，集气罩口的特征尺寸为W，则应满足D：E&gt;0.2，1.0&lt;W：E&lt;2.0，x：E&lt;0.7（如影响操作可适当增大）。</w:t>
            </w:r>
          </w:p>
          <w:p>
            <w:pPr>
              <w:adjustRightInd w:val="0"/>
              <w:snapToGrid w:val="0"/>
              <w:spacing w:line="360" w:lineRule="auto"/>
              <w:ind w:firstLine="480" w:firstLineChars="200"/>
              <w:rPr>
                <w:rFonts w:ascii="Times New Roman" w:hAnsi="Times New Roman"/>
                <w:szCs w:val="24"/>
              </w:rPr>
            </w:pPr>
            <w:r>
              <w:rPr>
                <w:rFonts w:ascii="Times New Roman" w:hAnsi="Times New Roman"/>
                <w:iCs/>
                <w:szCs w:val="24"/>
              </w:rPr>
              <w:t>项目设置的排气筒</w:t>
            </w:r>
            <w:r>
              <w:rPr>
                <w:rFonts w:ascii="Times New Roman" w:hAnsi="Times New Roman"/>
                <w:szCs w:val="24"/>
              </w:rPr>
              <w:t>内径为0.4m，</w:t>
            </w:r>
            <w:r>
              <w:rPr>
                <w:rFonts w:hint="eastAsia" w:ascii="Times New Roman" w:hAnsi="Times New Roman"/>
                <w:szCs w:val="24"/>
              </w:rPr>
              <w:t>12台印刷机</w:t>
            </w:r>
            <w:r>
              <w:rPr>
                <w:rFonts w:ascii="Times New Roman" w:hAnsi="Times New Roman"/>
                <w:szCs w:val="24"/>
              </w:rPr>
              <w:t>集气罩口面积按照</w:t>
            </w:r>
            <w:r>
              <w:rPr>
                <w:rFonts w:hint="eastAsia" w:ascii="Times New Roman" w:hAnsi="Times New Roman"/>
                <w:szCs w:val="24"/>
              </w:rPr>
              <w:t>1.5m×0.4m</w:t>
            </w:r>
            <w:r>
              <w:rPr>
                <w:rFonts w:ascii="Times New Roman" w:hAnsi="Times New Roman"/>
                <w:szCs w:val="24"/>
              </w:rPr>
              <w:t>设计，根据《环境工程设计手册》中的经验公式计算单个集气罩排风量：</w:t>
            </w:r>
          </w:p>
          <w:p>
            <w:pPr>
              <w:pStyle w:val="19"/>
              <w:spacing w:line="360" w:lineRule="auto"/>
              <w:jc w:val="center"/>
              <w:rPr>
                <w:rFonts w:ascii="Times New Roman" w:hAnsi="Times New Roman" w:cs="Times New Roman"/>
                <w:color w:val="auto"/>
              </w:rPr>
            </w:pPr>
            <w:r>
              <w:rPr>
                <w:rFonts w:ascii="Times New Roman" w:hAnsi="Times New Roman" w:cs="Times New Roman"/>
                <w:color w:val="auto"/>
              </w:rPr>
              <w:t>L=3600×（10X</w:t>
            </w:r>
            <w:r>
              <w:rPr>
                <w:rFonts w:ascii="Times New Roman" w:hAnsi="Times New Roman" w:cs="Times New Roman"/>
                <w:color w:val="auto"/>
                <w:vertAlign w:val="superscript"/>
              </w:rPr>
              <w:t>2</w:t>
            </w:r>
            <w:r>
              <w:rPr>
                <w:rFonts w:ascii="Times New Roman" w:hAnsi="Times New Roman" w:cs="Times New Roman"/>
                <w:color w:val="auto"/>
              </w:rPr>
              <w:t>+F）×V</w:t>
            </w:r>
          </w:p>
          <w:p>
            <w:pPr>
              <w:pStyle w:val="19"/>
              <w:spacing w:line="360" w:lineRule="auto"/>
              <w:ind w:firstLine="480" w:firstLineChars="200"/>
              <w:jc w:val="both"/>
              <w:rPr>
                <w:rFonts w:ascii="Times New Roman" w:hAnsi="Times New Roman" w:cs="Times New Roman"/>
                <w:color w:val="auto"/>
              </w:rPr>
            </w:pPr>
            <w:r>
              <w:rPr>
                <w:rFonts w:ascii="Times New Roman" w:hAnsi="Times New Roman" w:cs="Times New Roman"/>
                <w:color w:val="auto"/>
              </w:rPr>
              <w:t>其中：X——集气罩至污染源的距离（本项目取0.</w:t>
            </w:r>
            <w:r>
              <w:rPr>
                <w:rFonts w:hint="eastAsia" w:ascii="Times New Roman" w:hAnsi="Times New Roman" w:cs="Times New Roman"/>
                <w:color w:val="auto"/>
              </w:rPr>
              <w:t>2</w:t>
            </w:r>
            <w:r>
              <w:rPr>
                <w:rFonts w:ascii="Times New Roman" w:hAnsi="Times New Roman" w:cs="Times New Roman"/>
                <w:color w:val="auto"/>
              </w:rPr>
              <w:t>m）</w:t>
            </w:r>
          </w:p>
          <w:p>
            <w:pPr>
              <w:pStyle w:val="19"/>
              <w:spacing w:line="360" w:lineRule="auto"/>
              <w:ind w:firstLine="480" w:firstLineChars="200"/>
              <w:jc w:val="both"/>
              <w:rPr>
                <w:rFonts w:ascii="Times New Roman" w:hAnsi="Times New Roman" w:cs="Times New Roman"/>
                <w:color w:val="auto"/>
              </w:rPr>
            </w:pPr>
            <w:r>
              <w:rPr>
                <w:rFonts w:ascii="Times New Roman" w:hAnsi="Times New Roman" w:cs="Times New Roman"/>
                <w:color w:val="auto"/>
              </w:rPr>
              <w:t xml:space="preserve">      F——集气罩口面积（</w:t>
            </w:r>
            <w:r>
              <w:rPr>
                <w:rFonts w:hint="eastAsia" w:ascii="Times New Roman" w:hAnsi="Times New Roman" w:cs="Times New Roman"/>
                <w:color w:val="auto"/>
              </w:rPr>
              <w:t>12台印刷机集气罩口面积按照1.5m×0.4m</w:t>
            </w:r>
            <w:r>
              <w:rPr>
                <w:rFonts w:ascii="Times New Roman" w:hAnsi="Times New Roman" w:cs="Times New Roman"/>
                <w:color w:val="auto"/>
              </w:rPr>
              <w:t>设计）</w:t>
            </w:r>
          </w:p>
          <w:p>
            <w:pPr>
              <w:pStyle w:val="19"/>
              <w:spacing w:line="360" w:lineRule="auto"/>
              <w:ind w:firstLine="480" w:firstLineChars="200"/>
              <w:jc w:val="both"/>
              <w:rPr>
                <w:rFonts w:ascii="Times New Roman" w:hAnsi="Times New Roman" w:cs="Times New Roman"/>
                <w:color w:val="auto"/>
              </w:rPr>
            </w:pPr>
            <w:r>
              <w:rPr>
                <w:rFonts w:ascii="Times New Roman" w:hAnsi="Times New Roman" w:cs="Times New Roman"/>
                <w:color w:val="auto"/>
              </w:rPr>
              <w:t xml:space="preserve">      V——控制风速（根据《吸附法工业有机废气治理工程技术规范》（HJ2026-2013），取0.3-0.5m/s）</w:t>
            </w:r>
          </w:p>
          <w:p>
            <w:pPr>
              <w:spacing w:line="360" w:lineRule="auto"/>
              <w:ind w:firstLine="480" w:firstLineChars="200"/>
              <w:rPr>
                <w:rFonts w:ascii="Times New Roman" w:hAnsi="Times New Roman"/>
                <w:kern w:val="2"/>
                <w:szCs w:val="22"/>
              </w:rPr>
            </w:pPr>
            <w:r>
              <w:rPr>
                <w:rFonts w:ascii="Times New Roman" w:hAnsi="Times New Roman"/>
                <w:szCs w:val="24"/>
              </w:rPr>
              <w:t>经计算，本项目</w:t>
            </w:r>
            <w:r>
              <w:rPr>
                <w:rFonts w:hint="eastAsia" w:ascii="Times New Roman" w:hAnsi="Times New Roman"/>
                <w:szCs w:val="24"/>
              </w:rPr>
              <w:t>排气筒</w:t>
            </w:r>
            <w:r>
              <w:rPr>
                <w:rFonts w:ascii="Times New Roman" w:hAnsi="Times New Roman"/>
                <w:szCs w:val="24"/>
              </w:rPr>
              <w:t>有机废气单个集气罩排风量为</w:t>
            </w:r>
            <w:r>
              <w:rPr>
                <w:rFonts w:hint="eastAsia" w:ascii="Times New Roman" w:hAnsi="Times New Roman"/>
                <w:szCs w:val="24"/>
              </w:rPr>
              <w:t>1080</w:t>
            </w:r>
            <w:r>
              <w:rPr>
                <w:rFonts w:ascii="Times New Roman" w:hAnsi="Times New Roman"/>
                <w:szCs w:val="24"/>
              </w:rPr>
              <w:t>-</w:t>
            </w:r>
            <w:r>
              <w:rPr>
                <w:rFonts w:hint="eastAsia" w:ascii="Times New Roman" w:hAnsi="Times New Roman"/>
                <w:szCs w:val="24"/>
              </w:rPr>
              <w:t>1800</w:t>
            </w:r>
            <w:r>
              <w:rPr>
                <w:rFonts w:ascii="Times New Roman" w:hAnsi="Times New Roman"/>
                <w:iCs/>
                <w:szCs w:val="24"/>
              </w:rPr>
              <w:t>m</w:t>
            </w:r>
            <w:r>
              <w:rPr>
                <w:rFonts w:ascii="Times New Roman" w:hAnsi="Times New Roman"/>
                <w:iCs/>
                <w:szCs w:val="24"/>
                <w:vertAlign w:val="superscript"/>
              </w:rPr>
              <w:t>3</w:t>
            </w:r>
            <w:r>
              <w:rPr>
                <w:rFonts w:ascii="Times New Roman" w:hAnsi="Times New Roman"/>
                <w:iCs/>
                <w:szCs w:val="24"/>
              </w:rPr>
              <w:t>/h，本项目</w:t>
            </w:r>
            <w:r>
              <w:rPr>
                <w:rFonts w:ascii="Times New Roman" w:hAnsi="Times New Roman"/>
                <w:szCs w:val="24"/>
              </w:rPr>
              <w:t>在生产车间</w:t>
            </w:r>
            <w:r>
              <w:rPr>
                <w:rFonts w:hint="eastAsia" w:ascii="Times New Roman" w:hAnsi="Times New Roman"/>
                <w:szCs w:val="24"/>
              </w:rPr>
              <w:t>12台印刷机上</w:t>
            </w:r>
            <w:r>
              <w:rPr>
                <w:rFonts w:ascii="Times New Roman" w:hAnsi="Times New Roman"/>
                <w:szCs w:val="24"/>
              </w:rPr>
              <w:t>方安装集气罩</w:t>
            </w:r>
            <w:r>
              <w:rPr>
                <w:rFonts w:ascii="Times New Roman" w:hAnsi="Times New Roman"/>
                <w:iCs/>
                <w:szCs w:val="24"/>
              </w:rPr>
              <w:t>，则总风机风量应设为</w:t>
            </w:r>
            <w:r>
              <w:rPr>
                <w:rFonts w:hint="eastAsia" w:ascii="Times New Roman" w:hAnsi="Times New Roman"/>
                <w:iCs/>
                <w:szCs w:val="24"/>
              </w:rPr>
              <w:t>12960</w:t>
            </w:r>
            <w:r>
              <w:rPr>
                <w:rFonts w:ascii="Times New Roman" w:hAnsi="Times New Roman"/>
                <w:iCs/>
                <w:szCs w:val="24"/>
              </w:rPr>
              <w:t>-</w:t>
            </w:r>
            <w:r>
              <w:rPr>
                <w:rFonts w:hint="eastAsia" w:ascii="Times New Roman" w:hAnsi="Times New Roman"/>
                <w:iCs/>
                <w:szCs w:val="24"/>
              </w:rPr>
              <w:t>21600</w:t>
            </w:r>
            <w:r>
              <w:rPr>
                <w:rFonts w:ascii="Times New Roman" w:hAnsi="Times New Roman"/>
                <w:iCs/>
                <w:szCs w:val="24"/>
              </w:rPr>
              <w:t xml:space="preserve"> m</w:t>
            </w:r>
            <w:r>
              <w:rPr>
                <w:rFonts w:ascii="Times New Roman" w:hAnsi="Times New Roman"/>
                <w:iCs/>
                <w:szCs w:val="24"/>
                <w:vertAlign w:val="superscript"/>
              </w:rPr>
              <w:t>3</w:t>
            </w:r>
            <w:r>
              <w:rPr>
                <w:rFonts w:ascii="Times New Roman" w:hAnsi="Times New Roman"/>
                <w:iCs/>
                <w:szCs w:val="24"/>
              </w:rPr>
              <w:t>/h，评价拟设置风机风量设为</w:t>
            </w:r>
            <w:r>
              <w:rPr>
                <w:rFonts w:hint="eastAsia" w:ascii="Times New Roman" w:hAnsi="Times New Roman"/>
                <w:iCs/>
                <w:szCs w:val="24"/>
              </w:rPr>
              <w:t>20000</w:t>
            </w:r>
            <w:r>
              <w:rPr>
                <w:rFonts w:ascii="Times New Roman" w:hAnsi="Times New Roman"/>
                <w:iCs/>
                <w:szCs w:val="24"/>
              </w:rPr>
              <w:t>m</w:t>
            </w:r>
            <w:r>
              <w:rPr>
                <w:rFonts w:ascii="Times New Roman" w:hAnsi="Times New Roman"/>
                <w:iCs/>
                <w:szCs w:val="24"/>
                <w:vertAlign w:val="superscript"/>
              </w:rPr>
              <w:t>3</w:t>
            </w:r>
            <w:r>
              <w:rPr>
                <w:rFonts w:ascii="Times New Roman" w:hAnsi="Times New Roman"/>
                <w:iCs/>
                <w:szCs w:val="24"/>
              </w:rPr>
              <w:t>/h。</w:t>
            </w:r>
          </w:p>
          <w:p>
            <w:pPr>
              <w:spacing w:line="360" w:lineRule="auto"/>
              <w:ind w:firstLine="480" w:firstLineChars="200"/>
              <w:rPr>
                <w:rFonts w:ascii="Times New Roman" w:hAnsi="Times New Roman"/>
                <w:kern w:val="2"/>
                <w:szCs w:val="22"/>
              </w:rPr>
            </w:pPr>
            <w:r>
              <w:rPr>
                <w:rFonts w:hint="eastAsia" w:ascii="Times New Roman" w:hAnsi="Times New Roman"/>
                <w:kern w:val="2"/>
                <w:szCs w:val="22"/>
              </w:rPr>
              <w:t>项目有组织废气排放情况见</w:t>
            </w:r>
            <w:r>
              <w:rPr>
                <w:rFonts w:hint="eastAsia" w:ascii="Times New Roman" w:hAnsi="Times New Roman"/>
                <w:b/>
                <w:bCs/>
                <w:kern w:val="2"/>
                <w:szCs w:val="22"/>
              </w:rPr>
              <w:t>表17</w:t>
            </w:r>
            <w:r>
              <w:rPr>
                <w:rFonts w:hint="eastAsia" w:ascii="Times New Roman" w:hAnsi="Times New Roman"/>
                <w:kern w:val="2"/>
                <w:szCs w:val="22"/>
              </w:rPr>
              <w:t>。</w:t>
            </w:r>
          </w:p>
          <w:p>
            <w:pPr>
              <w:spacing w:line="360" w:lineRule="auto"/>
              <w:ind w:firstLine="480" w:firstLineChars="200"/>
              <w:jc w:val="center"/>
              <w:rPr>
                <w:rFonts w:ascii="Times New Roman" w:hAnsi="Times New Roman" w:eastAsia="黑体"/>
                <w:szCs w:val="24"/>
              </w:rPr>
            </w:pPr>
            <w:r>
              <w:rPr>
                <w:rFonts w:ascii="Times New Roman" w:hAnsi="Times New Roman" w:eastAsia="黑体"/>
                <w:szCs w:val="24"/>
              </w:rPr>
              <w:t>表</w:t>
            </w:r>
            <w:r>
              <w:rPr>
                <w:rFonts w:hint="eastAsia" w:ascii="Times New Roman" w:hAnsi="Times New Roman" w:eastAsia="黑体"/>
                <w:szCs w:val="24"/>
              </w:rPr>
              <w:t>17</w:t>
            </w:r>
            <w:r>
              <w:rPr>
                <w:rFonts w:ascii="Times New Roman" w:hAnsi="Times New Roman" w:eastAsia="黑体"/>
                <w:szCs w:val="24"/>
              </w:rPr>
              <w:t xml:space="preserve"> 项目有组织废气排放情况一览表</w:t>
            </w:r>
          </w:p>
          <w:tbl>
            <w:tblPr>
              <w:tblStyle w:val="30"/>
              <w:tblW w:w="9383"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73"/>
              <w:gridCol w:w="850"/>
              <w:gridCol w:w="709"/>
              <w:gridCol w:w="992"/>
              <w:gridCol w:w="832"/>
              <w:gridCol w:w="1016"/>
              <w:gridCol w:w="992"/>
              <w:gridCol w:w="992"/>
              <w:gridCol w:w="993"/>
              <w:gridCol w:w="113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913" w:hRule="atLeast"/>
              </w:trPr>
              <w:tc>
                <w:tcPr>
                  <w:tcW w:w="873" w:type="dxa"/>
                  <w:shd w:val="clear" w:color="auto" w:fill="auto"/>
                  <w:vAlign w:val="center"/>
                </w:tcPr>
                <w:p>
                  <w:pPr>
                    <w:widowControl/>
                    <w:jc w:val="center"/>
                    <w:rPr>
                      <w:rFonts w:ascii="Times New Roman" w:hAnsi="Times New Roman"/>
                      <w:kern w:val="0"/>
                      <w:sz w:val="21"/>
                      <w:szCs w:val="21"/>
                    </w:rPr>
                  </w:pPr>
                  <w:r>
                    <w:rPr>
                      <w:rFonts w:ascii="Times New Roman" w:hAnsi="Times New Roman"/>
                      <w:kern w:val="0"/>
                      <w:sz w:val="21"/>
                      <w:szCs w:val="21"/>
                    </w:rPr>
                    <w:t>项目</w:t>
                  </w:r>
                </w:p>
              </w:tc>
              <w:tc>
                <w:tcPr>
                  <w:tcW w:w="850" w:type="dxa"/>
                  <w:shd w:val="clear" w:color="auto" w:fill="auto"/>
                  <w:vAlign w:val="center"/>
                </w:tcPr>
                <w:p>
                  <w:pPr>
                    <w:widowControl/>
                    <w:jc w:val="center"/>
                    <w:rPr>
                      <w:rFonts w:ascii="Times New Roman" w:hAnsi="Times New Roman"/>
                      <w:kern w:val="0"/>
                      <w:sz w:val="21"/>
                      <w:szCs w:val="21"/>
                    </w:rPr>
                  </w:pPr>
                  <w:r>
                    <w:rPr>
                      <w:rFonts w:ascii="Times New Roman" w:hAnsi="Times New Roman"/>
                      <w:kern w:val="0"/>
                      <w:sz w:val="21"/>
                      <w:szCs w:val="21"/>
                    </w:rPr>
                    <w:t>污染物</w:t>
                  </w:r>
                </w:p>
              </w:tc>
              <w:tc>
                <w:tcPr>
                  <w:tcW w:w="709" w:type="dxa"/>
                  <w:shd w:val="clear" w:color="auto" w:fill="auto"/>
                  <w:vAlign w:val="center"/>
                </w:tcPr>
                <w:p>
                  <w:pPr>
                    <w:widowControl/>
                    <w:jc w:val="center"/>
                    <w:rPr>
                      <w:rFonts w:ascii="Times New Roman" w:hAnsi="Times New Roman"/>
                      <w:kern w:val="0"/>
                      <w:sz w:val="21"/>
                      <w:szCs w:val="21"/>
                    </w:rPr>
                  </w:pPr>
                  <w:r>
                    <w:rPr>
                      <w:rFonts w:ascii="Times New Roman" w:hAnsi="Times New Roman"/>
                      <w:kern w:val="0"/>
                      <w:sz w:val="21"/>
                      <w:szCs w:val="21"/>
                    </w:rPr>
                    <w:t>风量</w:t>
                  </w:r>
                </w:p>
                <w:p>
                  <w:pPr>
                    <w:widowControl/>
                    <w:jc w:val="center"/>
                    <w:rPr>
                      <w:rFonts w:ascii="Times New Roman" w:hAnsi="Times New Roman"/>
                      <w:kern w:val="0"/>
                      <w:sz w:val="21"/>
                      <w:szCs w:val="21"/>
                    </w:rPr>
                  </w:pPr>
                  <w:r>
                    <w:rPr>
                      <w:rFonts w:ascii="Times New Roman" w:hAnsi="Times New Roman"/>
                      <w:kern w:val="0"/>
                      <w:sz w:val="21"/>
                      <w:szCs w:val="21"/>
                    </w:rPr>
                    <w:t>m</w:t>
                  </w:r>
                  <w:r>
                    <w:rPr>
                      <w:rFonts w:ascii="Times New Roman" w:hAnsi="Times New Roman"/>
                      <w:kern w:val="0"/>
                      <w:sz w:val="21"/>
                      <w:szCs w:val="21"/>
                      <w:vertAlign w:val="superscript"/>
                    </w:rPr>
                    <w:t>3</w:t>
                  </w:r>
                  <w:r>
                    <w:rPr>
                      <w:rFonts w:ascii="Times New Roman" w:hAnsi="Times New Roman"/>
                      <w:kern w:val="0"/>
                      <w:sz w:val="21"/>
                      <w:szCs w:val="21"/>
                    </w:rPr>
                    <w:t>/h</w:t>
                  </w:r>
                </w:p>
              </w:tc>
              <w:tc>
                <w:tcPr>
                  <w:tcW w:w="992" w:type="dxa"/>
                  <w:shd w:val="clear" w:color="auto" w:fill="auto"/>
                  <w:vAlign w:val="center"/>
                </w:tcPr>
                <w:p>
                  <w:pPr>
                    <w:widowControl/>
                    <w:jc w:val="center"/>
                    <w:rPr>
                      <w:rFonts w:ascii="Times New Roman" w:hAnsi="Times New Roman"/>
                      <w:kern w:val="0"/>
                      <w:sz w:val="21"/>
                      <w:szCs w:val="21"/>
                    </w:rPr>
                  </w:pPr>
                  <w:r>
                    <w:rPr>
                      <w:rFonts w:hint="eastAsia" w:ascii="Times New Roman" w:hAnsi="Times New Roman"/>
                      <w:kern w:val="0"/>
                      <w:sz w:val="21"/>
                      <w:szCs w:val="21"/>
                    </w:rPr>
                    <w:t>收集量</w:t>
                  </w:r>
                </w:p>
                <w:p>
                  <w:pPr>
                    <w:widowControl/>
                    <w:jc w:val="center"/>
                    <w:rPr>
                      <w:rFonts w:ascii="Times New Roman" w:hAnsi="Times New Roman"/>
                      <w:kern w:val="0"/>
                      <w:sz w:val="21"/>
                      <w:szCs w:val="21"/>
                    </w:rPr>
                  </w:pPr>
                  <w:r>
                    <w:rPr>
                      <w:rFonts w:ascii="Times New Roman" w:hAnsi="Times New Roman"/>
                      <w:kern w:val="0"/>
                      <w:sz w:val="21"/>
                      <w:szCs w:val="21"/>
                    </w:rPr>
                    <w:t>t/a</w:t>
                  </w:r>
                </w:p>
              </w:tc>
              <w:tc>
                <w:tcPr>
                  <w:tcW w:w="832" w:type="dxa"/>
                  <w:shd w:val="clear" w:color="auto" w:fill="auto"/>
                  <w:vAlign w:val="center"/>
                </w:tcPr>
                <w:p>
                  <w:pPr>
                    <w:widowControl/>
                    <w:jc w:val="center"/>
                    <w:rPr>
                      <w:rFonts w:ascii="Times New Roman" w:hAnsi="Times New Roman"/>
                      <w:kern w:val="0"/>
                      <w:sz w:val="21"/>
                      <w:szCs w:val="21"/>
                    </w:rPr>
                  </w:pPr>
                  <w:r>
                    <w:rPr>
                      <w:rFonts w:ascii="Times New Roman" w:hAnsi="Times New Roman"/>
                      <w:kern w:val="0"/>
                      <w:sz w:val="21"/>
                      <w:szCs w:val="21"/>
                    </w:rPr>
                    <w:t>处理</w:t>
                  </w:r>
                </w:p>
                <w:p>
                  <w:pPr>
                    <w:widowControl/>
                    <w:jc w:val="center"/>
                    <w:rPr>
                      <w:rFonts w:ascii="Times New Roman" w:hAnsi="Times New Roman"/>
                      <w:kern w:val="0"/>
                      <w:sz w:val="21"/>
                      <w:szCs w:val="21"/>
                    </w:rPr>
                  </w:pPr>
                  <w:r>
                    <w:rPr>
                      <w:rFonts w:ascii="Times New Roman" w:hAnsi="Times New Roman"/>
                      <w:kern w:val="0"/>
                      <w:sz w:val="21"/>
                      <w:szCs w:val="21"/>
                    </w:rPr>
                    <w:t>效率</w:t>
                  </w:r>
                </w:p>
                <w:p>
                  <w:pPr>
                    <w:jc w:val="center"/>
                    <w:rPr>
                      <w:rFonts w:ascii="Times New Roman" w:hAnsi="Times New Roman"/>
                      <w:kern w:val="0"/>
                      <w:sz w:val="21"/>
                      <w:szCs w:val="21"/>
                    </w:rPr>
                  </w:pPr>
                  <w:r>
                    <w:rPr>
                      <w:rFonts w:ascii="Times New Roman" w:hAnsi="Times New Roman"/>
                      <w:kern w:val="0"/>
                      <w:sz w:val="21"/>
                      <w:szCs w:val="21"/>
                    </w:rPr>
                    <w:t>%</w:t>
                  </w:r>
                </w:p>
              </w:tc>
              <w:tc>
                <w:tcPr>
                  <w:tcW w:w="1016" w:type="dxa"/>
                  <w:shd w:val="clear" w:color="auto" w:fill="auto"/>
                  <w:vAlign w:val="center"/>
                </w:tcPr>
                <w:p>
                  <w:pPr>
                    <w:widowControl/>
                    <w:jc w:val="center"/>
                    <w:rPr>
                      <w:rFonts w:ascii="Times New Roman" w:hAnsi="Times New Roman"/>
                      <w:kern w:val="0"/>
                      <w:sz w:val="21"/>
                      <w:szCs w:val="21"/>
                    </w:rPr>
                  </w:pPr>
                  <w:r>
                    <w:rPr>
                      <w:rFonts w:ascii="Times New Roman" w:hAnsi="Times New Roman"/>
                      <w:kern w:val="0"/>
                      <w:sz w:val="21"/>
                      <w:szCs w:val="21"/>
                    </w:rPr>
                    <w:t>排放</w:t>
                  </w:r>
                </w:p>
                <w:p>
                  <w:pPr>
                    <w:widowControl/>
                    <w:jc w:val="center"/>
                    <w:rPr>
                      <w:rFonts w:ascii="Times New Roman" w:hAnsi="Times New Roman"/>
                      <w:kern w:val="0"/>
                      <w:sz w:val="21"/>
                      <w:szCs w:val="21"/>
                    </w:rPr>
                  </w:pPr>
                  <w:r>
                    <w:rPr>
                      <w:rFonts w:ascii="Times New Roman" w:hAnsi="Times New Roman"/>
                      <w:kern w:val="0"/>
                      <w:sz w:val="21"/>
                      <w:szCs w:val="21"/>
                    </w:rPr>
                    <w:t>浓度</w:t>
                  </w:r>
                </w:p>
                <w:p>
                  <w:pPr>
                    <w:jc w:val="center"/>
                    <w:rPr>
                      <w:rFonts w:ascii="Times New Roman" w:hAnsi="Times New Roman"/>
                      <w:kern w:val="0"/>
                      <w:sz w:val="21"/>
                      <w:szCs w:val="21"/>
                    </w:rPr>
                  </w:pPr>
                  <w:r>
                    <w:rPr>
                      <w:rFonts w:ascii="Times New Roman" w:hAnsi="Times New Roman"/>
                      <w:kern w:val="0"/>
                      <w:sz w:val="21"/>
                      <w:szCs w:val="21"/>
                    </w:rPr>
                    <w:t>mg/m</w:t>
                  </w:r>
                  <w:r>
                    <w:rPr>
                      <w:rFonts w:ascii="Times New Roman" w:hAnsi="Times New Roman"/>
                      <w:kern w:val="0"/>
                      <w:sz w:val="21"/>
                      <w:szCs w:val="21"/>
                      <w:vertAlign w:val="superscript"/>
                    </w:rPr>
                    <w:t>3</w:t>
                  </w:r>
                </w:p>
              </w:tc>
              <w:tc>
                <w:tcPr>
                  <w:tcW w:w="992" w:type="dxa"/>
                  <w:shd w:val="clear" w:color="auto" w:fill="auto"/>
                  <w:vAlign w:val="center"/>
                </w:tcPr>
                <w:p>
                  <w:pPr>
                    <w:widowControl/>
                    <w:jc w:val="center"/>
                    <w:rPr>
                      <w:rFonts w:ascii="Times New Roman" w:hAnsi="Times New Roman"/>
                      <w:kern w:val="0"/>
                      <w:sz w:val="21"/>
                      <w:szCs w:val="21"/>
                    </w:rPr>
                  </w:pPr>
                  <w:r>
                    <w:rPr>
                      <w:rFonts w:ascii="Times New Roman" w:hAnsi="Times New Roman"/>
                      <w:kern w:val="0"/>
                      <w:sz w:val="21"/>
                      <w:szCs w:val="21"/>
                    </w:rPr>
                    <w:t>排放</w:t>
                  </w:r>
                </w:p>
                <w:p>
                  <w:pPr>
                    <w:widowControl/>
                    <w:jc w:val="center"/>
                    <w:rPr>
                      <w:rFonts w:ascii="Times New Roman" w:hAnsi="Times New Roman"/>
                      <w:kern w:val="0"/>
                      <w:sz w:val="21"/>
                      <w:szCs w:val="21"/>
                    </w:rPr>
                  </w:pPr>
                  <w:r>
                    <w:rPr>
                      <w:rFonts w:ascii="Times New Roman" w:hAnsi="Times New Roman"/>
                      <w:kern w:val="0"/>
                      <w:sz w:val="21"/>
                      <w:szCs w:val="21"/>
                    </w:rPr>
                    <w:t>限值</w:t>
                  </w:r>
                </w:p>
                <w:p>
                  <w:pPr>
                    <w:jc w:val="center"/>
                    <w:rPr>
                      <w:rFonts w:ascii="Times New Roman" w:hAnsi="Times New Roman"/>
                      <w:kern w:val="0"/>
                      <w:sz w:val="21"/>
                      <w:szCs w:val="21"/>
                    </w:rPr>
                  </w:pPr>
                  <w:r>
                    <w:rPr>
                      <w:rFonts w:ascii="Times New Roman" w:hAnsi="Times New Roman"/>
                      <w:kern w:val="0"/>
                      <w:sz w:val="21"/>
                      <w:szCs w:val="21"/>
                    </w:rPr>
                    <w:t>mg/m</w:t>
                  </w:r>
                  <w:r>
                    <w:rPr>
                      <w:rFonts w:ascii="Times New Roman" w:hAnsi="Times New Roman"/>
                      <w:kern w:val="0"/>
                      <w:sz w:val="21"/>
                      <w:szCs w:val="21"/>
                      <w:vertAlign w:val="superscript"/>
                    </w:rPr>
                    <w:t>3</w:t>
                  </w:r>
                </w:p>
              </w:tc>
              <w:tc>
                <w:tcPr>
                  <w:tcW w:w="992" w:type="dxa"/>
                  <w:shd w:val="clear" w:color="auto" w:fill="auto"/>
                  <w:vAlign w:val="center"/>
                </w:tcPr>
                <w:p>
                  <w:pPr>
                    <w:widowControl/>
                    <w:jc w:val="center"/>
                    <w:rPr>
                      <w:rFonts w:ascii="Times New Roman" w:hAnsi="Times New Roman"/>
                      <w:kern w:val="0"/>
                      <w:sz w:val="21"/>
                      <w:szCs w:val="21"/>
                    </w:rPr>
                  </w:pPr>
                  <w:r>
                    <w:rPr>
                      <w:rFonts w:ascii="Times New Roman" w:hAnsi="Times New Roman"/>
                      <w:kern w:val="0"/>
                      <w:sz w:val="21"/>
                      <w:szCs w:val="21"/>
                    </w:rPr>
                    <w:t>排放</w:t>
                  </w:r>
                </w:p>
                <w:p>
                  <w:pPr>
                    <w:widowControl/>
                    <w:jc w:val="center"/>
                    <w:rPr>
                      <w:rFonts w:ascii="Times New Roman" w:hAnsi="Times New Roman"/>
                      <w:kern w:val="0"/>
                      <w:sz w:val="21"/>
                      <w:szCs w:val="21"/>
                    </w:rPr>
                  </w:pPr>
                  <w:r>
                    <w:rPr>
                      <w:rFonts w:ascii="Times New Roman" w:hAnsi="Times New Roman"/>
                      <w:kern w:val="0"/>
                      <w:sz w:val="21"/>
                      <w:szCs w:val="21"/>
                    </w:rPr>
                    <w:t>速率</w:t>
                  </w:r>
                </w:p>
                <w:p>
                  <w:pPr>
                    <w:jc w:val="center"/>
                    <w:rPr>
                      <w:rFonts w:ascii="Times New Roman" w:hAnsi="Times New Roman"/>
                      <w:kern w:val="0"/>
                      <w:sz w:val="21"/>
                      <w:szCs w:val="21"/>
                    </w:rPr>
                  </w:pPr>
                  <w:r>
                    <w:rPr>
                      <w:rFonts w:ascii="Times New Roman" w:hAnsi="Times New Roman"/>
                      <w:kern w:val="0"/>
                      <w:sz w:val="21"/>
                      <w:szCs w:val="21"/>
                    </w:rPr>
                    <w:t>kg/h</w:t>
                  </w:r>
                </w:p>
              </w:tc>
              <w:tc>
                <w:tcPr>
                  <w:tcW w:w="993" w:type="dxa"/>
                  <w:shd w:val="clear" w:color="auto" w:fill="auto"/>
                  <w:vAlign w:val="center"/>
                </w:tcPr>
                <w:p>
                  <w:pPr>
                    <w:widowControl/>
                    <w:jc w:val="center"/>
                    <w:rPr>
                      <w:rFonts w:ascii="Times New Roman" w:hAnsi="Times New Roman"/>
                      <w:kern w:val="0"/>
                      <w:sz w:val="21"/>
                      <w:szCs w:val="21"/>
                    </w:rPr>
                  </w:pPr>
                  <w:r>
                    <w:rPr>
                      <w:rFonts w:ascii="Times New Roman" w:hAnsi="Times New Roman"/>
                      <w:kern w:val="0"/>
                      <w:sz w:val="21"/>
                      <w:szCs w:val="21"/>
                    </w:rPr>
                    <w:t>排放</w:t>
                  </w:r>
                </w:p>
                <w:p>
                  <w:pPr>
                    <w:widowControl/>
                    <w:jc w:val="center"/>
                    <w:rPr>
                      <w:rFonts w:ascii="Times New Roman" w:hAnsi="Times New Roman"/>
                      <w:kern w:val="0"/>
                      <w:sz w:val="21"/>
                      <w:szCs w:val="21"/>
                    </w:rPr>
                  </w:pPr>
                  <w:r>
                    <w:rPr>
                      <w:rFonts w:ascii="Times New Roman" w:hAnsi="Times New Roman"/>
                      <w:kern w:val="0"/>
                      <w:sz w:val="21"/>
                      <w:szCs w:val="21"/>
                    </w:rPr>
                    <w:t>限值</w:t>
                  </w:r>
                </w:p>
                <w:p>
                  <w:pPr>
                    <w:jc w:val="center"/>
                    <w:rPr>
                      <w:rFonts w:ascii="Times New Roman" w:hAnsi="Times New Roman"/>
                      <w:kern w:val="0"/>
                      <w:sz w:val="21"/>
                      <w:szCs w:val="21"/>
                    </w:rPr>
                  </w:pPr>
                  <w:r>
                    <w:rPr>
                      <w:rFonts w:ascii="Times New Roman" w:hAnsi="Times New Roman"/>
                      <w:kern w:val="0"/>
                      <w:sz w:val="21"/>
                      <w:szCs w:val="21"/>
                    </w:rPr>
                    <w:t>kg/h</w:t>
                  </w:r>
                </w:p>
              </w:tc>
              <w:tc>
                <w:tcPr>
                  <w:tcW w:w="1134" w:type="dxa"/>
                  <w:shd w:val="clear" w:color="auto" w:fill="auto"/>
                  <w:vAlign w:val="center"/>
                </w:tcPr>
                <w:p>
                  <w:pPr>
                    <w:widowControl/>
                    <w:jc w:val="center"/>
                    <w:rPr>
                      <w:rFonts w:ascii="Times New Roman" w:hAnsi="Times New Roman"/>
                      <w:kern w:val="0"/>
                      <w:sz w:val="21"/>
                      <w:szCs w:val="21"/>
                    </w:rPr>
                  </w:pPr>
                  <w:r>
                    <w:rPr>
                      <w:rFonts w:ascii="Times New Roman" w:hAnsi="Times New Roman"/>
                      <w:kern w:val="0"/>
                      <w:sz w:val="21"/>
                      <w:szCs w:val="21"/>
                    </w:rPr>
                    <w:t>排放量</w:t>
                  </w:r>
                </w:p>
                <w:p>
                  <w:pPr>
                    <w:widowControl/>
                    <w:jc w:val="center"/>
                    <w:rPr>
                      <w:rFonts w:ascii="Times New Roman" w:hAnsi="Times New Roman"/>
                      <w:kern w:val="0"/>
                      <w:sz w:val="21"/>
                      <w:szCs w:val="21"/>
                    </w:rPr>
                  </w:pPr>
                  <w:r>
                    <w:rPr>
                      <w:rFonts w:ascii="Times New Roman" w:hAnsi="Times New Roman"/>
                      <w:kern w:val="0"/>
                      <w:sz w:val="21"/>
                      <w:szCs w:val="21"/>
                    </w:rPr>
                    <w:t>t/a</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21" w:hRule="atLeast"/>
              </w:trPr>
              <w:tc>
                <w:tcPr>
                  <w:tcW w:w="873" w:type="dxa"/>
                  <w:shd w:val="clear" w:color="auto" w:fill="auto"/>
                  <w:vAlign w:val="center"/>
                </w:tcPr>
                <w:p>
                  <w:pPr>
                    <w:widowControl/>
                    <w:jc w:val="center"/>
                    <w:rPr>
                      <w:rFonts w:ascii="Times New Roman" w:hAnsi="Times New Roman"/>
                      <w:kern w:val="0"/>
                      <w:sz w:val="21"/>
                      <w:szCs w:val="21"/>
                    </w:rPr>
                  </w:pPr>
                  <w:r>
                    <w:rPr>
                      <w:rFonts w:hint="eastAsia" w:ascii="Times New Roman" w:hAnsi="Times New Roman"/>
                      <w:kern w:val="0"/>
                      <w:sz w:val="21"/>
                      <w:szCs w:val="21"/>
                    </w:rPr>
                    <w:t>有组织废气</w:t>
                  </w:r>
                </w:p>
              </w:tc>
              <w:tc>
                <w:tcPr>
                  <w:tcW w:w="850" w:type="dxa"/>
                  <w:shd w:val="clear" w:color="auto" w:fill="auto"/>
                  <w:vAlign w:val="center"/>
                </w:tcPr>
                <w:p>
                  <w:pPr>
                    <w:jc w:val="center"/>
                    <w:rPr>
                      <w:rFonts w:ascii="Times New Roman" w:hAnsi="Times New Roman"/>
                      <w:sz w:val="21"/>
                      <w:szCs w:val="21"/>
                    </w:rPr>
                  </w:pPr>
                  <w:r>
                    <w:rPr>
                      <w:rFonts w:ascii="Times New Roman" w:hAnsi="Times New Roman"/>
                      <w:sz w:val="21"/>
                      <w:szCs w:val="21"/>
                    </w:rPr>
                    <w:t>VOCs</w:t>
                  </w:r>
                </w:p>
              </w:tc>
              <w:tc>
                <w:tcPr>
                  <w:tcW w:w="709" w:type="dxa"/>
                  <w:shd w:val="clear" w:color="auto" w:fill="auto"/>
                  <w:vAlign w:val="center"/>
                </w:tcPr>
                <w:p>
                  <w:pPr>
                    <w:jc w:val="center"/>
                    <w:rPr>
                      <w:rFonts w:ascii="Times New Roman" w:hAnsi="Times New Roman"/>
                      <w:sz w:val="18"/>
                      <w:szCs w:val="18"/>
                    </w:rPr>
                  </w:pPr>
                  <w:r>
                    <w:rPr>
                      <w:rFonts w:hint="eastAsia" w:ascii="Times New Roman" w:hAnsi="Times New Roman"/>
                      <w:sz w:val="18"/>
                      <w:szCs w:val="18"/>
                    </w:rPr>
                    <w:t>20000</w:t>
                  </w:r>
                </w:p>
              </w:tc>
              <w:tc>
                <w:tcPr>
                  <w:tcW w:w="992" w:type="dxa"/>
                  <w:shd w:val="clear" w:color="auto" w:fill="auto"/>
                  <w:vAlign w:val="center"/>
                </w:tcPr>
                <w:p>
                  <w:pPr>
                    <w:jc w:val="center"/>
                    <w:rPr>
                      <w:rFonts w:ascii="Times New Roman" w:hAnsi="Times New Roman"/>
                      <w:sz w:val="18"/>
                      <w:szCs w:val="21"/>
                    </w:rPr>
                  </w:pPr>
                  <w:r>
                    <w:rPr>
                      <w:rFonts w:ascii="Times New Roman" w:hAnsi="Times New Roman"/>
                      <w:sz w:val="18"/>
                      <w:szCs w:val="21"/>
                    </w:rPr>
                    <w:t>0.90</w:t>
                  </w:r>
                </w:p>
              </w:tc>
              <w:tc>
                <w:tcPr>
                  <w:tcW w:w="832" w:type="dxa"/>
                  <w:shd w:val="clear" w:color="auto" w:fill="auto"/>
                  <w:vAlign w:val="center"/>
                </w:tcPr>
                <w:p>
                  <w:pPr>
                    <w:jc w:val="center"/>
                    <w:rPr>
                      <w:rFonts w:ascii="Times New Roman" w:hAnsi="Times New Roman"/>
                      <w:sz w:val="18"/>
                      <w:szCs w:val="21"/>
                    </w:rPr>
                  </w:pPr>
                  <w:r>
                    <w:rPr>
                      <w:rFonts w:hint="eastAsia" w:ascii="Times New Roman" w:hAnsi="Times New Roman"/>
                      <w:sz w:val="18"/>
                      <w:szCs w:val="21"/>
                    </w:rPr>
                    <w:t>9</w:t>
                  </w:r>
                  <w:r>
                    <w:rPr>
                      <w:rFonts w:ascii="Times New Roman" w:hAnsi="Times New Roman"/>
                      <w:sz w:val="18"/>
                      <w:szCs w:val="21"/>
                    </w:rPr>
                    <w:t>0</w:t>
                  </w:r>
                </w:p>
              </w:tc>
              <w:tc>
                <w:tcPr>
                  <w:tcW w:w="1016" w:type="dxa"/>
                  <w:shd w:val="clear" w:color="auto" w:fill="auto"/>
                  <w:vAlign w:val="center"/>
                </w:tcPr>
                <w:p>
                  <w:pPr>
                    <w:jc w:val="center"/>
                    <w:rPr>
                      <w:rFonts w:ascii="Times New Roman" w:hAnsi="Times New Roman"/>
                      <w:sz w:val="18"/>
                      <w:szCs w:val="18"/>
                    </w:rPr>
                  </w:pPr>
                  <w:r>
                    <w:rPr>
                      <w:rFonts w:hint="eastAsia" w:ascii="Times New Roman" w:hAnsi="Times New Roman"/>
                      <w:sz w:val="18"/>
                      <w:szCs w:val="18"/>
                    </w:rPr>
                    <w:t>2.50</w:t>
                  </w:r>
                </w:p>
              </w:tc>
              <w:tc>
                <w:tcPr>
                  <w:tcW w:w="992" w:type="dxa"/>
                  <w:shd w:val="clear" w:color="auto" w:fill="auto"/>
                  <w:vAlign w:val="center"/>
                </w:tcPr>
                <w:p>
                  <w:pPr>
                    <w:jc w:val="center"/>
                    <w:rPr>
                      <w:rFonts w:ascii="Times New Roman" w:hAnsi="Times New Roman"/>
                      <w:sz w:val="18"/>
                      <w:szCs w:val="18"/>
                    </w:rPr>
                  </w:pPr>
                  <w:r>
                    <w:rPr>
                      <w:rFonts w:ascii="Times New Roman" w:hAnsi="Times New Roman"/>
                      <w:sz w:val="18"/>
                      <w:szCs w:val="18"/>
                    </w:rPr>
                    <w:t>50</w:t>
                  </w:r>
                </w:p>
              </w:tc>
              <w:tc>
                <w:tcPr>
                  <w:tcW w:w="992" w:type="dxa"/>
                  <w:shd w:val="clear" w:color="auto" w:fill="auto"/>
                  <w:vAlign w:val="center"/>
                </w:tcPr>
                <w:p>
                  <w:pPr>
                    <w:jc w:val="center"/>
                    <w:rPr>
                      <w:rFonts w:ascii="Times New Roman" w:hAnsi="Times New Roman"/>
                      <w:sz w:val="18"/>
                      <w:szCs w:val="18"/>
                    </w:rPr>
                  </w:pPr>
                  <w:r>
                    <w:rPr>
                      <w:rFonts w:hint="eastAsia" w:ascii="Times New Roman" w:hAnsi="Times New Roman"/>
                      <w:sz w:val="18"/>
                      <w:szCs w:val="18"/>
                    </w:rPr>
                    <w:t>0</w:t>
                  </w:r>
                  <w:r>
                    <w:rPr>
                      <w:rFonts w:ascii="Times New Roman" w:hAnsi="Times New Roman"/>
                      <w:sz w:val="18"/>
                      <w:szCs w:val="18"/>
                    </w:rPr>
                    <w:t>.10</w:t>
                  </w:r>
                </w:p>
              </w:tc>
              <w:tc>
                <w:tcPr>
                  <w:tcW w:w="993" w:type="dxa"/>
                  <w:shd w:val="clear" w:color="auto" w:fill="auto"/>
                  <w:vAlign w:val="center"/>
                </w:tcPr>
                <w:p>
                  <w:pPr>
                    <w:jc w:val="center"/>
                    <w:rPr>
                      <w:rFonts w:ascii="Times New Roman" w:hAnsi="Times New Roman"/>
                      <w:sz w:val="18"/>
                      <w:szCs w:val="18"/>
                    </w:rPr>
                  </w:pPr>
                  <w:r>
                    <w:rPr>
                      <w:rFonts w:ascii="Times New Roman" w:hAnsi="Times New Roman"/>
                      <w:sz w:val="18"/>
                      <w:szCs w:val="18"/>
                    </w:rPr>
                    <w:t>1.5</w:t>
                  </w:r>
                </w:p>
              </w:tc>
              <w:tc>
                <w:tcPr>
                  <w:tcW w:w="1134" w:type="dxa"/>
                  <w:shd w:val="clear" w:color="auto" w:fill="auto"/>
                  <w:vAlign w:val="center"/>
                </w:tcPr>
                <w:p>
                  <w:pPr>
                    <w:jc w:val="center"/>
                    <w:rPr>
                      <w:rFonts w:ascii="Times New Roman" w:hAnsi="Times New Roman"/>
                      <w:sz w:val="18"/>
                      <w:szCs w:val="18"/>
                    </w:rPr>
                  </w:pPr>
                  <w:r>
                    <w:rPr>
                      <w:rFonts w:hint="eastAsia" w:ascii="Times New Roman" w:hAnsi="Times New Roman"/>
                      <w:sz w:val="18"/>
                      <w:szCs w:val="18"/>
                    </w:rPr>
                    <w:t>0.09</w:t>
                  </w:r>
                </w:p>
              </w:tc>
            </w:tr>
            <w:bookmarkEnd w:id="9"/>
            <w:bookmarkEnd w:id="12"/>
          </w:tbl>
          <w:p>
            <w:pPr>
              <w:ind w:firstLine="440" w:firstLineChars="200"/>
              <w:rPr>
                <w:rFonts w:ascii="Times New Roman" w:hAnsi="Times New Roman"/>
                <w:szCs w:val="24"/>
              </w:rPr>
            </w:pPr>
            <w:bookmarkStart w:id="15" w:name="_Hlk43218717"/>
            <w:r>
              <w:rPr>
                <w:rFonts w:hint="eastAsia" w:ascii="Times New Roman" w:hAnsi="Times New Roman"/>
                <w:sz w:val="22"/>
                <w:szCs w:val="22"/>
              </w:rPr>
              <w:t>注： V</w:t>
            </w:r>
            <w:r>
              <w:rPr>
                <w:rFonts w:ascii="Times New Roman" w:hAnsi="Times New Roman"/>
                <w:sz w:val="22"/>
                <w:szCs w:val="22"/>
              </w:rPr>
              <w:t>OCs</w:t>
            </w:r>
            <w:r>
              <w:rPr>
                <w:rFonts w:hint="eastAsia" w:ascii="Times New Roman" w:hAnsi="Times New Roman"/>
                <w:sz w:val="22"/>
                <w:szCs w:val="22"/>
              </w:rPr>
              <w:t>排放浓度及排放速率均符合《挥发性有机物排放标准第</w:t>
            </w:r>
            <w:r>
              <w:rPr>
                <w:rFonts w:ascii="Times New Roman" w:hAnsi="Times New Roman"/>
                <w:sz w:val="22"/>
                <w:szCs w:val="22"/>
              </w:rPr>
              <w:t>4部分：印刷业》(DB37/2801.4-2017)表2标准要求</w:t>
            </w:r>
            <w:r>
              <w:rPr>
                <w:rFonts w:hint="eastAsia" w:ascii="Times New Roman" w:hAnsi="Times New Roman"/>
                <w:szCs w:val="24"/>
              </w:rPr>
              <w:t>。</w:t>
            </w:r>
          </w:p>
          <w:bookmarkEnd w:id="11"/>
          <w:p>
            <w:pPr>
              <w:spacing w:line="360" w:lineRule="auto"/>
              <w:ind w:firstLine="480" w:firstLineChars="200"/>
              <w:rPr>
                <w:rFonts w:ascii="Times New Roman" w:hAnsi="Times New Roman"/>
                <w:szCs w:val="24"/>
              </w:rPr>
            </w:pPr>
          </w:p>
          <w:p>
            <w:pPr>
              <w:spacing w:line="360" w:lineRule="auto"/>
              <w:ind w:firstLine="480" w:firstLineChars="200"/>
              <w:rPr>
                <w:rFonts w:ascii="Times New Roman" w:hAnsi="Times New Roman"/>
                <w:szCs w:val="24"/>
              </w:rPr>
            </w:pPr>
            <w:r>
              <w:rPr>
                <w:rFonts w:hint="eastAsia" w:ascii="Times New Roman" w:hAnsi="Times New Roman"/>
                <w:szCs w:val="24"/>
              </w:rPr>
              <w:t>（二）无组织废气</w:t>
            </w:r>
          </w:p>
          <w:p>
            <w:pPr>
              <w:pStyle w:val="32"/>
              <w:ind w:firstLine="480"/>
            </w:pPr>
            <w:r>
              <w:rPr>
                <w:rFonts w:hint="eastAsia"/>
                <w:color w:val="auto"/>
                <w:kern w:val="36"/>
              </w:rPr>
              <w:t>项目无组织废气主要为印刷及配制油墨工序中</w:t>
            </w:r>
            <w:r>
              <w:rPr>
                <w:color w:val="auto"/>
                <w:kern w:val="36"/>
              </w:rPr>
              <w:t>未经收集的</w:t>
            </w:r>
            <w:r>
              <w:rPr>
                <w:color w:val="auto"/>
              </w:rPr>
              <w:t>VOCs</w:t>
            </w:r>
            <w:r>
              <w:rPr>
                <w:rFonts w:hint="eastAsia"/>
                <w:color w:val="auto"/>
              </w:rPr>
              <w:t>，收集效率按9</w:t>
            </w:r>
            <w:r>
              <w:rPr>
                <w:color w:val="auto"/>
              </w:rPr>
              <w:t>0</w:t>
            </w:r>
            <w:r>
              <w:rPr>
                <w:rFonts w:hint="eastAsia"/>
                <w:color w:val="auto"/>
              </w:rPr>
              <w:t>%计算，其中V</w:t>
            </w:r>
            <w:r>
              <w:rPr>
                <w:color w:val="auto"/>
              </w:rPr>
              <w:t>OCs</w:t>
            </w:r>
            <w:r>
              <w:rPr>
                <w:rFonts w:hint="eastAsia"/>
                <w:color w:val="auto"/>
              </w:rPr>
              <w:t>无组织排放量为</w:t>
            </w:r>
            <w:r>
              <w:rPr>
                <w:color w:val="auto"/>
              </w:rPr>
              <w:t>0.10</w:t>
            </w:r>
            <w:r>
              <w:rPr>
                <w:color w:val="auto"/>
                <w:kern w:val="36"/>
              </w:rPr>
              <w:t>t/a</w:t>
            </w:r>
            <w:r>
              <w:rPr>
                <w:rFonts w:hint="eastAsia"/>
                <w:color w:val="auto"/>
                <w:kern w:val="36"/>
              </w:rPr>
              <w:t>，排放量较低，对周围大气环境影响很小</w:t>
            </w:r>
            <w:r>
              <w:rPr>
                <w:rFonts w:hint="eastAsia"/>
              </w:rPr>
              <w:t>。</w:t>
            </w:r>
          </w:p>
          <w:bookmarkEnd w:id="14"/>
          <w:bookmarkEnd w:id="15"/>
          <w:p>
            <w:pPr>
              <w:spacing w:line="500" w:lineRule="exact"/>
              <w:ind w:firstLine="480" w:firstLineChars="200"/>
              <w:jc w:val="left"/>
              <w:textAlignment w:val="baseline"/>
              <w:rPr>
                <w:rFonts w:ascii="Times New Roman" w:hAnsi="Times New Roman" w:eastAsia="黑体"/>
                <w:szCs w:val="24"/>
              </w:rPr>
            </w:pPr>
            <w:r>
              <w:rPr>
                <w:rFonts w:hint="eastAsia" w:ascii="Times New Roman" w:hAnsi="Times New Roman" w:eastAsia="黑体"/>
                <w:szCs w:val="24"/>
              </w:rPr>
              <w:t>2、</w:t>
            </w:r>
            <w:r>
              <w:rPr>
                <w:rFonts w:ascii="Times New Roman" w:hAnsi="Times New Roman" w:eastAsia="黑体"/>
                <w:szCs w:val="24"/>
              </w:rPr>
              <w:t>废水</w:t>
            </w:r>
          </w:p>
          <w:p>
            <w:pPr>
              <w:spacing w:line="360" w:lineRule="auto"/>
              <w:ind w:firstLine="480" w:firstLineChars="200"/>
              <w:rPr>
                <w:rFonts w:ascii="Times New Roman" w:hAnsi="Times New Roman"/>
                <w:szCs w:val="24"/>
              </w:rPr>
            </w:pPr>
            <w:r>
              <w:rPr>
                <w:rFonts w:hint="eastAsia" w:ascii="Times New Roman" w:hAnsi="Times New Roman"/>
              </w:rPr>
              <w:t>项目无生产废水产排，</w:t>
            </w:r>
            <w:r>
              <w:rPr>
                <w:rFonts w:hint="eastAsia" w:ascii="Times New Roman" w:hAnsi="Times New Roman"/>
                <w:szCs w:val="24"/>
              </w:rPr>
              <w:t>项目产生的废水主要为生活污水。</w:t>
            </w:r>
            <w:r>
              <w:rPr>
                <w:rFonts w:hint="eastAsia" w:ascii="Times New Roman" w:hAnsi="Times New Roman"/>
              </w:rPr>
              <w:t>本项目生活用水量为</w:t>
            </w:r>
            <w:r>
              <w:rPr>
                <w:rFonts w:ascii="Times New Roman" w:hAnsi="Times New Roman"/>
              </w:rPr>
              <w:t>150t/a，</w:t>
            </w:r>
            <w:r>
              <w:rPr>
                <w:rFonts w:hint="eastAsia" w:ascii="Times New Roman" w:hAnsi="Times New Roman"/>
              </w:rPr>
              <w:t>生活污水按</w:t>
            </w:r>
            <w:r>
              <w:rPr>
                <w:rFonts w:ascii="Times New Roman" w:hAnsi="Times New Roman"/>
              </w:rPr>
              <w:t>生活用水总量为的80%计算，则项目生活污水产生量为120t/a，主要污染物COD和NH</w:t>
            </w:r>
            <w:r>
              <w:rPr>
                <w:rFonts w:ascii="Times New Roman" w:hAnsi="Times New Roman"/>
                <w:vertAlign w:val="subscript"/>
              </w:rPr>
              <w:t>3</w:t>
            </w:r>
            <w:r>
              <w:rPr>
                <w:rFonts w:ascii="Times New Roman" w:hAnsi="Times New Roman"/>
              </w:rPr>
              <w:t>-N经化粪池处理后，</w:t>
            </w:r>
            <w:r>
              <w:rPr>
                <w:rFonts w:hint="eastAsia" w:ascii="Times New Roman" w:hAnsi="Times New Roman"/>
              </w:rPr>
              <w:t>C</w:t>
            </w:r>
            <w:r>
              <w:rPr>
                <w:rFonts w:ascii="Times New Roman" w:hAnsi="Times New Roman"/>
              </w:rPr>
              <w:t>OD</w:t>
            </w:r>
            <w:r>
              <w:rPr>
                <w:rFonts w:hint="eastAsia" w:ascii="Times New Roman" w:hAnsi="Times New Roman"/>
              </w:rPr>
              <w:t>≤</w:t>
            </w:r>
            <w:r>
              <w:rPr>
                <w:rFonts w:ascii="Times New Roman" w:hAnsi="Times New Roman"/>
              </w:rPr>
              <w:t>500mg/L</w:t>
            </w:r>
            <w:r>
              <w:rPr>
                <w:rFonts w:hint="eastAsia" w:ascii="Times New Roman" w:hAnsi="Times New Roman"/>
              </w:rPr>
              <w:t>，</w:t>
            </w:r>
            <w:r>
              <w:rPr>
                <w:rFonts w:ascii="Times New Roman" w:hAnsi="Times New Roman"/>
              </w:rPr>
              <w:t>NH</w:t>
            </w:r>
            <w:r>
              <w:rPr>
                <w:rFonts w:ascii="Times New Roman" w:hAnsi="Times New Roman"/>
                <w:vertAlign w:val="subscript"/>
              </w:rPr>
              <w:t>3</w:t>
            </w:r>
            <w:r>
              <w:rPr>
                <w:rFonts w:ascii="Times New Roman" w:hAnsi="Times New Roman"/>
              </w:rPr>
              <w:t>-N</w:t>
            </w:r>
            <w:r>
              <w:rPr>
                <w:rFonts w:hint="eastAsia" w:ascii="Times New Roman" w:hAnsi="Times New Roman"/>
              </w:rPr>
              <w:t>≤</w:t>
            </w:r>
            <w:r>
              <w:rPr>
                <w:rFonts w:ascii="Times New Roman" w:hAnsi="Times New Roman"/>
              </w:rPr>
              <w:t>45mg/L，</w:t>
            </w:r>
            <w:r>
              <w:rPr>
                <w:rFonts w:ascii="Times New Roman" w:hAnsi="Times New Roman"/>
                <w:szCs w:val="24"/>
              </w:rPr>
              <w:t>能够达到</w:t>
            </w:r>
            <w:r>
              <w:rPr>
                <w:rFonts w:hint="eastAsia" w:ascii="Times New Roman" w:hAnsi="Times New Roman"/>
              </w:rPr>
              <w:t>《污水排入城镇下水道水质标准》（</w:t>
            </w:r>
            <w:r>
              <w:rPr>
                <w:rFonts w:ascii="Times New Roman" w:hAnsi="Times New Roman"/>
              </w:rPr>
              <w:t>GB/T31962-2015）</w:t>
            </w:r>
            <w:r>
              <w:rPr>
                <w:rFonts w:ascii="Times New Roman" w:hAnsi="Times New Roman"/>
                <w:szCs w:val="24"/>
              </w:rPr>
              <w:t>B等级标准</w:t>
            </w:r>
            <w:r>
              <w:rPr>
                <w:rFonts w:ascii="Times New Roman" w:hAnsi="Times New Roman"/>
              </w:rPr>
              <w:t>(COD≤500mg/L、</w:t>
            </w:r>
            <w:r>
              <w:rPr>
                <w:rFonts w:ascii="Times New Roman" w:hAnsi="Times New Roman"/>
                <w:szCs w:val="24"/>
              </w:rPr>
              <w:t>NH</w:t>
            </w:r>
            <w:r>
              <w:rPr>
                <w:rFonts w:ascii="Times New Roman" w:hAnsi="Times New Roman"/>
                <w:szCs w:val="24"/>
                <w:vertAlign w:val="subscript"/>
              </w:rPr>
              <w:t>3</w:t>
            </w:r>
            <w:r>
              <w:rPr>
                <w:rFonts w:ascii="Times New Roman" w:hAnsi="Times New Roman"/>
                <w:szCs w:val="24"/>
              </w:rPr>
              <w:t>-tN</w:t>
            </w:r>
            <w:r>
              <w:rPr>
                <w:rFonts w:ascii="Times New Roman" w:hAnsi="Times New Roman"/>
              </w:rPr>
              <w:t>≤45mg/L)</w:t>
            </w:r>
            <w:r>
              <w:rPr>
                <w:rFonts w:ascii="Times New Roman" w:hAnsi="Times New Roman"/>
                <w:szCs w:val="24"/>
              </w:rPr>
              <w:t>要求</w:t>
            </w:r>
            <w:r>
              <w:rPr>
                <w:rFonts w:hint="eastAsia" w:ascii="Times New Roman" w:hAnsi="Times New Roman"/>
                <w:szCs w:val="24"/>
              </w:rPr>
              <w:t>，</w:t>
            </w:r>
            <w:r>
              <w:rPr>
                <w:rFonts w:ascii="Times New Roman" w:hAnsi="Times New Roman"/>
              </w:rPr>
              <w:t>COD和NH</w:t>
            </w:r>
            <w:r>
              <w:rPr>
                <w:rFonts w:ascii="Times New Roman" w:hAnsi="Times New Roman"/>
                <w:vertAlign w:val="subscript"/>
              </w:rPr>
              <w:t>3</w:t>
            </w:r>
            <w:r>
              <w:rPr>
                <w:rFonts w:ascii="Times New Roman" w:hAnsi="Times New Roman"/>
              </w:rPr>
              <w:t>-N</w:t>
            </w:r>
            <w:r>
              <w:rPr>
                <w:rFonts w:hint="eastAsia" w:ascii="Times New Roman" w:hAnsi="Times New Roman"/>
              </w:rPr>
              <w:t>的产生量分别为</w:t>
            </w:r>
            <w:r>
              <w:rPr>
                <w:rFonts w:ascii="Times New Roman" w:hAnsi="Times New Roman"/>
              </w:rPr>
              <w:t>0.06t/a，0.005t/a</w:t>
            </w:r>
            <w:r>
              <w:rPr>
                <w:rFonts w:hint="eastAsia" w:ascii="Times New Roman" w:hAnsi="Times New Roman"/>
                <w:szCs w:val="24"/>
              </w:rPr>
              <w:t>。</w:t>
            </w:r>
            <w:r>
              <w:rPr>
                <w:rFonts w:hint="eastAsia" w:ascii="Times New Roman" w:hAnsi="Times New Roman"/>
              </w:rPr>
              <w:t>生活污水</w:t>
            </w:r>
            <w:r>
              <w:rPr>
                <w:rFonts w:hint="eastAsia"/>
                <w:kern w:val="2"/>
                <w:szCs w:val="24"/>
              </w:rPr>
              <w:t>排入市政污水管网进入威海水务集团有限公司崮山污水处理厂进一步处理</w:t>
            </w:r>
            <w:r>
              <w:rPr>
                <w:rFonts w:hint="eastAsia" w:ascii="Times New Roman" w:hAnsi="Times New Roman"/>
                <w:szCs w:val="24"/>
              </w:rPr>
              <w:t>，</w:t>
            </w:r>
            <w:r>
              <w:rPr>
                <w:rFonts w:ascii="Times New Roman" w:hAnsi="Times New Roman"/>
                <w:szCs w:val="24"/>
              </w:rPr>
              <w:t>达标排海。</w:t>
            </w:r>
          </w:p>
          <w:p>
            <w:pPr>
              <w:spacing w:line="360" w:lineRule="auto"/>
              <w:ind w:firstLine="480" w:firstLineChars="200"/>
              <w:jc w:val="left"/>
              <w:textAlignment w:val="baseline"/>
              <w:rPr>
                <w:rFonts w:ascii="Times New Roman" w:hAnsi="Times New Roman" w:eastAsia="黑体"/>
                <w:color w:val="000000"/>
              </w:rPr>
            </w:pPr>
            <w:r>
              <w:rPr>
                <w:rFonts w:ascii="Times New Roman" w:hAnsi="Times New Roman" w:eastAsia="黑体"/>
                <w:color w:val="000000"/>
              </w:rPr>
              <w:t>3、噪声</w:t>
            </w:r>
          </w:p>
          <w:p>
            <w:pPr>
              <w:spacing w:line="360" w:lineRule="auto"/>
              <w:ind w:firstLine="480"/>
              <w:rPr>
                <w:kern w:val="2"/>
              </w:rPr>
            </w:pPr>
            <w:r>
              <w:rPr>
                <w:kern w:val="2"/>
              </w:rPr>
              <w:t>本项目主要噪声源为</w:t>
            </w:r>
            <w:r>
              <w:rPr>
                <w:rFonts w:hint="eastAsia"/>
              </w:rPr>
              <w:t>印刷机及风机</w:t>
            </w:r>
            <w:r>
              <w:rPr>
                <w:rFonts w:hint="eastAsia"/>
                <w:kern w:val="2"/>
              </w:rPr>
              <w:t>等设备噪声</w:t>
            </w:r>
            <w:r>
              <w:rPr>
                <w:kern w:val="2"/>
              </w:rPr>
              <w:t>，其源强约在65</w:t>
            </w:r>
            <w:r>
              <w:rPr>
                <w:rFonts w:hint="eastAsia"/>
                <w:kern w:val="2"/>
              </w:rPr>
              <w:t>～</w:t>
            </w:r>
            <w:r>
              <w:rPr>
                <w:kern w:val="2"/>
              </w:rPr>
              <w:t>85dB(A)之间。在合理布局的基础上进行基础减震，再经墙壁阻隔、吸声和距离衰减后，厂界噪声能够达到《工业企业厂界环境噪声排放标准》(GB12348-2008)中3类标准的要求（昼间：65dB（A）、夜间55dB（A））。</w:t>
            </w:r>
          </w:p>
          <w:p>
            <w:pPr>
              <w:spacing w:line="360" w:lineRule="auto"/>
              <w:ind w:firstLine="480"/>
              <w:rPr>
                <w:rFonts w:ascii="Times New Roman" w:hAnsi="Times New Roman" w:eastAsia="黑体"/>
              </w:rPr>
            </w:pPr>
            <w:bookmarkStart w:id="16" w:name="_Hlk43217954"/>
            <w:r>
              <w:rPr>
                <w:rFonts w:ascii="Times New Roman" w:hAnsi="Times New Roman" w:eastAsia="黑体"/>
              </w:rPr>
              <w:t>4、固体废物</w:t>
            </w:r>
          </w:p>
          <w:p>
            <w:pPr>
              <w:spacing w:line="360" w:lineRule="auto"/>
              <w:ind w:firstLine="480" w:firstLineChars="200"/>
              <w:rPr>
                <w:rFonts w:ascii="Times New Roman" w:hAnsi="Times New Roman"/>
                <w:szCs w:val="24"/>
              </w:rPr>
            </w:pPr>
            <w:r>
              <w:rPr>
                <w:rFonts w:ascii="Times New Roman" w:hAnsi="Times New Roman"/>
                <w:szCs w:val="24"/>
              </w:rPr>
              <w:t>本项目产生的固体废物主要是生活垃圾、</w:t>
            </w:r>
            <w:r>
              <w:rPr>
                <w:rFonts w:hint="eastAsia" w:ascii="Times New Roman" w:hAnsi="Times New Roman"/>
                <w:szCs w:val="24"/>
              </w:rPr>
              <w:t>下脚料</w:t>
            </w:r>
            <w:r>
              <w:rPr>
                <w:rFonts w:ascii="Times New Roman" w:hAnsi="Times New Roman"/>
                <w:szCs w:val="24"/>
              </w:rPr>
              <w:t>、废活性炭、</w:t>
            </w:r>
            <w:r>
              <w:rPr>
                <w:rFonts w:hint="eastAsia" w:ascii="Times New Roman" w:hAnsi="Times New Roman"/>
                <w:color w:val="0000FF"/>
                <w:szCs w:val="24"/>
              </w:rPr>
              <w:t>废催化剂、</w:t>
            </w:r>
            <w:r>
              <w:rPr>
                <w:rFonts w:ascii="Times New Roman" w:hAnsi="Times New Roman"/>
                <w:szCs w:val="24"/>
              </w:rPr>
              <w:t>废油墨盒及</w:t>
            </w:r>
            <w:r>
              <w:rPr>
                <w:rFonts w:hint="eastAsia" w:ascii="Times New Roman" w:hAnsi="Times New Roman"/>
                <w:szCs w:val="24"/>
              </w:rPr>
              <w:t>废抹布</w:t>
            </w:r>
            <w:r>
              <w:rPr>
                <w:rFonts w:ascii="Times New Roman" w:hAnsi="Times New Roman"/>
                <w:szCs w:val="24"/>
              </w:rPr>
              <w:t>。</w:t>
            </w:r>
          </w:p>
          <w:p>
            <w:pPr>
              <w:spacing w:line="360" w:lineRule="auto"/>
              <w:ind w:firstLine="480" w:firstLineChars="200"/>
              <w:rPr>
                <w:rFonts w:ascii="Times New Roman" w:hAnsi="Times New Roman"/>
                <w:szCs w:val="24"/>
              </w:rPr>
            </w:pPr>
            <w:r>
              <w:rPr>
                <w:rFonts w:hint="eastAsia" w:ascii="Times New Roman" w:hAnsi="Times New Roman"/>
                <w:szCs w:val="24"/>
              </w:rPr>
              <w:t>（1）生活垃圾</w:t>
            </w:r>
          </w:p>
          <w:p>
            <w:pPr>
              <w:spacing w:line="360" w:lineRule="auto"/>
              <w:ind w:firstLine="480" w:firstLineChars="200"/>
              <w:rPr>
                <w:rFonts w:ascii="Times New Roman" w:hAnsi="Times New Roman"/>
              </w:rPr>
            </w:pPr>
            <w:r>
              <w:rPr>
                <w:rFonts w:ascii="Times New Roman" w:hAnsi="Times New Roman"/>
                <w:szCs w:val="24"/>
              </w:rPr>
              <w:t>生活垃圾产生量按0.5kg/人·d计，</w:t>
            </w:r>
            <w:r>
              <w:rPr>
                <w:rFonts w:hint="eastAsia" w:ascii="Times New Roman" w:hAnsi="Times New Roman"/>
                <w:szCs w:val="24"/>
              </w:rPr>
              <w:t>年工作3</w:t>
            </w:r>
            <w:r>
              <w:rPr>
                <w:rFonts w:ascii="Times New Roman" w:hAnsi="Times New Roman"/>
                <w:szCs w:val="24"/>
              </w:rPr>
              <w:t>00d</w:t>
            </w:r>
            <w:r>
              <w:rPr>
                <w:rFonts w:hint="eastAsia" w:ascii="Times New Roman" w:hAnsi="Times New Roman"/>
                <w:szCs w:val="24"/>
              </w:rPr>
              <w:t>，则生活垃圾年产生量为</w:t>
            </w:r>
            <w:r>
              <w:rPr>
                <w:rFonts w:ascii="Times New Roman" w:hAnsi="Times New Roman"/>
                <w:szCs w:val="24"/>
              </w:rPr>
              <w:t>1.5t/a，由环卫部门清运到垃圾场进行无害化处理</w:t>
            </w:r>
            <w:r>
              <w:rPr>
                <w:rFonts w:hint="eastAsia" w:ascii="Times New Roman" w:hAnsi="Times New Roman"/>
                <w:szCs w:val="24"/>
              </w:rPr>
              <w:t>。</w:t>
            </w:r>
          </w:p>
          <w:p>
            <w:pPr>
              <w:spacing w:line="360" w:lineRule="auto"/>
              <w:ind w:firstLine="480" w:firstLineChars="200"/>
              <w:rPr>
                <w:rFonts w:ascii="Times New Roman" w:hAnsi="Times New Roman"/>
              </w:rPr>
            </w:pPr>
            <w:r>
              <w:rPr>
                <w:rFonts w:hint="eastAsia" w:ascii="Times New Roman" w:hAnsi="Times New Roman"/>
              </w:rPr>
              <w:t>（2）一般固体废物</w:t>
            </w:r>
          </w:p>
          <w:p>
            <w:pPr>
              <w:spacing w:line="360" w:lineRule="auto"/>
              <w:ind w:firstLine="480" w:firstLineChars="200"/>
              <w:rPr>
                <w:rFonts w:ascii="Times New Roman" w:hAnsi="Times New Roman"/>
                <w:szCs w:val="24"/>
              </w:rPr>
            </w:pPr>
            <w:r>
              <w:rPr>
                <w:rFonts w:hint="eastAsia" w:ascii="Times New Roman" w:hAnsi="Times New Roman"/>
              </w:rPr>
              <w:t>切边下脚料</w:t>
            </w:r>
            <w:r>
              <w:rPr>
                <w:rFonts w:ascii="Times New Roman" w:hAnsi="Times New Roman"/>
              </w:rPr>
              <w:t>产生量约0.1t/a，统一收集后运外售回收单位</w:t>
            </w:r>
            <w:r>
              <w:rPr>
                <w:rFonts w:hint="eastAsia" w:ascii="Times New Roman" w:hAnsi="Times New Roman"/>
                <w:szCs w:val="24"/>
              </w:rPr>
              <w:t>。</w:t>
            </w:r>
          </w:p>
          <w:p>
            <w:pPr>
              <w:spacing w:line="360" w:lineRule="auto"/>
              <w:ind w:firstLine="480" w:firstLineChars="200"/>
              <w:rPr>
                <w:rFonts w:ascii="Times New Roman" w:hAnsi="Times New Roman"/>
                <w:szCs w:val="24"/>
              </w:rPr>
            </w:pPr>
            <w:r>
              <w:rPr>
                <w:rFonts w:hint="eastAsia" w:ascii="Times New Roman" w:hAnsi="Times New Roman"/>
                <w:szCs w:val="24"/>
              </w:rPr>
              <w:t>（3）危险废物</w:t>
            </w:r>
          </w:p>
          <w:p>
            <w:pPr>
              <w:spacing w:line="360" w:lineRule="auto"/>
              <w:ind w:firstLine="480" w:firstLineChars="200"/>
              <w:jc w:val="left"/>
              <w:rPr>
                <w:rFonts w:ascii="Times New Roman" w:hAnsi="Times New Roman"/>
              </w:rPr>
            </w:pPr>
            <w:r>
              <w:rPr>
                <w:rFonts w:hint="eastAsia" w:ascii="Times New Roman" w:hAnsi="Times New Roman"/>
              </w:rPr>
              <w:t>本项目危险废物主要包括废活性炭、废油墨盒及废抹布、废催化剂。项目废气处理</w:t>
            </w:r>
            <w:r>
              <w:rPr>
                <w:rFonts w:ascii="Times New Roman" w:hAnsi="Times New Roman"/>
              </w:rPr>
              <w:t>设备内单次填充活性炭0.5t，设备运行5000 h后需对</w:t>
            </w:r>
            <w:r>
              <w:rPr>
                <w:rFonts w:hint="eastAsia" w:ascii="Times New Roman" w:hAnsi="Times New Roman"/>
              </w:rPr>
              <w:t>活性炭</w:t>
            </w:r>
            <w:r>
              <w:rPr>
                <w:rFonts w:ascii="Times New Roman" w:hAnsi="Times New Roman"/>
              </w:rPr>
              <w:t>进行更换，项目运行时间约为1800h/a，约可使用三年，废活性炭产生量约为0.5t/3a</w:t>
            </w:r>
            <w:r>
              <w:rPr>
                <w:rFonts w:hint="eastAsia" w:ascii="Times New Roman" w:hAnsi="Times New Roman"/>
              </w:rPr>
              <w:t>；项目</w:t>
            </w:r>
            <w:r>
              <w:rPr>
                <w:rFonts w:hint="eastAsia" w:ascii="Times New Roman" w:hAnsi="Times New Roman"/>
                <w:szCs w:val="24"/>
              </w:rPr>
              <w:t>废油墨盒等</w:t>
            </w:r>
            <w:r>
              <w:rPr>
                <w:rFonts w:ascii="Times New Roman" w:hAnsi="Times New Roman"/>
                <w:szCs w:val="24"/>
              </w:rPr>
              <w:t>产生量0.15t/a，废活性炭</w:t>
            </w:r>
            <w:r>
              <w:rPr>
                <w:rFonts w:hint="eastAsia" w:ascii="Times New Roman" w:hAnsi="Times New Roman"/>
                <w:szCs w:val="24"/>
              </w:rPr>
              <w:t>、废油墨盒</w:t>
            </w:r>
            <w:r>
              <w:rPr>
                <w:rFonts w:ascii="Times New Roman" w:hAnsi="Times New Roman"/>
                <w:szCs w:val="24"/>
              </w:rPr>
              <w:t>属于HW49，其他废物，危废代码为“900-041-49”，</w:t>
            </w:r>
            <w:r>
              <w:rPr>
                <w:rFonts w:ascii="Times New Roman" w:hAnsi="Times New Roman"/>
                <w:kern w:val="0"/>
                <w:sz w:val="21"/>
                <w:szCs w:val="21"/>
              </w:rPr>
              <w:t>“</w:t>
            </w:r>
            <w:r>
              <w:rPr>
                <w:rFonts w:ascii="Times New Roman" w:hAnsi="Times New Roman"/>
                <w:szCs w:val="24"/>
              </w:rPr>
              <w:t>含有或沾染毒性、感染性危险废物的废弃包装物、容器、过滤吸附介质”</w:t>
            </w:r>
            <w:r>
              <w:rPr>
                <w:rFonts w:hint="eastAsia" w:ascii="Times New Roman" w:hAnsi="Times New Roman"/>
                <w:szCs w:val="24"/>
              </w:rPr>
              <w:t>；</w:t>
            </w:r>
            <w:r>
              <w:rPr>
                <w:kern w:val="0"/>
              </w:rPr>
              <w:t>项目在</w:t>
            </w:r>
            <w:r>
              <w:rPr>
                <w:rFonts w:hint="eastAsia"/>
                <w:kern w:val="0"/>
              </w:rPr>
              <w:t>印版擦拭</w:t>
            </w:r>
            <w:r>
              <w:rPr>
                <w:kern w:val="0"/>
              </w:rPr>
              <w:t>过程会产生</w:t>
            </w:r>
            <w:r>
              <w:rPr>
                <w:rFonts w:hint="eastAsia"/>
                <w:kern w:val="0"/>
              </w:rPr>
              <w:t>废抹布</w:t>
            </w:r>
            <w:r>
              <w:rPr>
                <w:kern w:val="0"/>
              </w:rPr>
              <w:t>，</w:t>
            </w:r>
            <w:r>
              <w:rPr>
                <w:rFonts w:hint="eastAsia"/>
                <w:kern w:val="0"/>
              </w:rPr>
              <w:t>根据建设单位提供的资料，</w:t>
            </w:r>
            <w:r>
              <w:rPr>
                <w:kern w:val="0"/>
              </w:rPr>
              <w:t>该部分废物产生量约为</w:t>
            </w:r>
            <w:r>
              <w:rPr>
                <w:rFonts w:hint="eastAsia"/>
                <w:kern w:val="0"/>
              </w:rPr>
              <w:t>0.05t/a</w:t>
            </w:r>
            <w:r>
              <w:rPr>
                <w:kern w:val="0"/>
              </w:rPr>
              <w:t>，属于HW49类（危废代码</w:t>
            </w:r>
            <w:r>
              <w:rPr>
                <w:rFonts w:hint="eastAsia"/>
                <w:kern w:val="0"/>
              </w:rPr>
              <w:t>9</w:t>
            </w:r>
            <w:r>
              <w:rPr>
                <w:kern w:val="0"/>
              </w:rPr>
              <w:t>00-041-49）危险废物，根据危险废物豁免管理清单，</w:t>
            </w:r>
            <w:r>
              <w:rPr>
                <w:rFonts w:hint="eastAsia"/>
                <w:kern w:val="0"/>
              </w:rPr>
              <w:t>废抹布</w:t>
            </w:r>
            <w:r>
              <w:rPr>
                <w:kern w:val="0"/>
              </w:rPr>
              <w:t>不按照危废管理，因其产生量较少，环评认为其可以随生活垃圾一同收集，由环卫部门清运处理</w:t>
            </w:r>
            <w:r>
              <w:t>。</w:t>
            </w:r>
            <w:r>
              <w:rPr>
                <w:rFonts w:ascii="Times New Roman" w:hAnsi="Times New Roman"/>
                <w:kern w:val="0"/>
              </w:rPr>
              <w:t>项目催化燃烧装置用催化剂采用蜂窝陶瓷体作为第一载体，γ-Al</w:t>
            </w:r>
            <w:r>
              <w:rPr>
                <w:rFonts w:ascii="Times New Roman" w:hAnsi="Times New Roman"/>
                <w:kern w:val="0"/>
                <w:vertAlign w:val="subscript"/>
              </w:rPr>
              <w:t>2</w:t>
            </w:r>
            <w:r>
              <w:rPr>
                <w:rFonts w:ascii="Times New Roman" w:hAnsi="Times New Roman"/>
                <w:kern w:val="0"/>
              </w:rPr>
              <w:t>O</w:t>
            </w:r>
            <w:r>
              <w:rPr>
                <w:rFonts w:ascii="Times New Roman" w:hAnsi="Times New Roman"/>
                <w:kern w:val="0"/>
                <w:vertAlign w:val="subscript"/>
              </w:rPr>
              <w:t>3</w:t>
            </w:r>
            <w:r>
              <w:rPr>
                <w:rFonts w:ascii="Times New Roman" w:hAnsi="Times New Roman"/>
                <w:kern w:val="0"/>
              </w:rPr>
              <w:t>为第二载体，以贵金属 Pd、Pt 等为主要活性组分，是一种新型高效的有机废气净化催化剂。当催化剂使用时间超过8000h，可将上下层催化剂对换并适当提高催化室起燃温度。本项目催化燃烧装置中装填催化剂的量为1.0t，为保证催化剂活性，约3年更换一次，则废催化剂产生量约1.0t/次。即约1t/3a，危废编号为HW50-772-007-50，交由危废资质单位处理</w:t>
            </w:r>
            <w:r>
              <w:rPr>
                <w:rFonts w:ascii="Times New Roman" w:hAnsi="Times New Roman"/>
              </w:rPr>
              <w:t>。</w:t>
            </w:r>
          </w:p>
          <w:p>
            <w:pPr>
              <w:spacing w:line="360" w:lineRule="auto"/>
              <w:ind w:firstLine="480" w:firstLineChars="200"/>
              <w:rPr>
                <w:rFonts w:ascii="Times New Roman" w:hAnsi="Times New Roman"/>
              </w:rPr>
            </w:pPr>
            <w:r>
              <w:t>具体污染物产排情况见下表。</w:t>
            </w:r>
          </w:p>
          <w:p>
            <w:pPr>
              <w:widowControl/>
              <w:jc w:val="center"/>
              <w:rPr>
                <w:rFonts w:ascii="Times New Roman" w:hAnsi="Times New Roman" w:eastAsia="黑体"/>
                <w:bCs/>
                <w:kern w:val="2"/>
                <w:szCs w:val="32"/>
              </w:rPr>
            </w:pPr>
            <w:r>
              <w:rPr>
                <w:rFonts w:ascii="Times New Roman" w:hAnsi="Times New Roman" w:eastAsia="黑体"/>
                <w:bCs/>
                <w:kern w:val="2"/>
                <w:szCs w:val="32"/>
              </w:rPr>
              <w:t>表</w:t>
            </w:r>
            <w:r>
              <w:rPr>
                <w:rFonts w:hint="eastAsia" w:ascii="Times New Roman" w:hAnsi="Times New Roman" w:eastAsia="黑体"/>
                <w:bCs/>
                <w:kern w:val="2"/>
                <w:szCs w:val="32"/>
              </w:rPr>
              <w:t>18</w:t>
            </w:r>
            <w:r>
              <w:rPr>
                <w:rFonts w:ascii="Times New Roman" w:hAnsi="Times New Roman" w:eastAsia="黑体"/>
                <w:bCs/>
                <w:kern w:val="2"/>
                <w:szCs w:val="32"/>
              </w:rPr>
              <w:t xml:space="preserve"> 项目固废产生及处理情况</w:t>
            </w:r>
          </w:p>
          <w:tbl>
            <w:tblPr>
              <w:tblStyle w:val="30"/>
              <w:tblW w:w="929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78"/>
              <w:gridCol w:w="2618"/>
              <w:gridCol w:w="1831"/>
              <w:gridCol w:w="1746"/>
              <w:gridCol w:w="25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82" w:hRule="atLeast"/>
              </w:trPr>
              <w:tc>
                <w:tcPr>
                  <w:tcW w:w="578" w:type="dxa"/>
                  <w:vAlign w:val="center"/>
                </w:tcPr>
                <w:p>
                  <w:pPr>
                    <w:snapToGrid w:val="0"/>
                    <w:spacing w:line="0" w:lineRule="atLeast"/>
                    <w:jc w:val="center"/>
                    <w:rPr>
                      <w:rFonts w:ascii="Times New Roman" w:hAnsi="Times New Roman" w:eastAsiaTheme="minorEastAsia"/>
                      <w:sz w:val="21"/>
                      <w:szCs w:val="21"/>
                    </w:rPr>
                  </w:pPr>
                  <w:r>
                    <w:rPr>
                      <w:rFonts w:ascii="Times New Roman" w:hAnsi="Times New Roman"/>
                      <w:sz w:val="21"/>
                      <w:szCs w:val="21"/>
                    </w:rPr>
                    <w:t>序号</w:t>
                  </w:r>
                </w:p>
              </w:tc>
              <w:tc>
                <w:tcPr>
                  <w:tcW w:w="2618" w:type="dxa"/>
                  <w:vAlign w:val="center"/>
                </w:tcPr>
                <w:p>
                  <w:pPr>
                    <w:snapToGrid w:val="0"/>
                    <w:spacing w:line="0" w:lineRule="atLeast"/>
                    <w:jc w:val="center"/>
                    <w:rPr>
                      <w:rFonts w:ascii="Times New Roman" w:hAnsi="Times New Roman"/>
                      <w:sz w:val="21"/>
                      <w:szCs w:val="21"/>
                    </w:rPr>
                  </w:pPr>
                  <w:r>
                    <w:rPr>
                      <w:rFonts w:ascii="Times New Roman" w:hAnsi="Times New Roman"/>
                      <w:sz w:val="21"/>
                      <w:szCs w:val="21"/>
                    </w:rPr>
                    <w:t>名称</w:t>
                  </w:r>
                </w:p>
              </w:tc>
              <w:tc>
                <w:tcPr>
                  <w:tcW w:w="1831" w:type="dxa"/>
                </w:tcPr>
                <w:p>
                  <w:pPr>
                    <w:snapToGrid w:val="0"/>
                    <w:spacing w:line="0" w:lineRule="atLeast"/>
                    <w:jc w:val="center"/>
                    <w:rPr>
                      <w:rFonts w:ascii="Times New Roman" w:hAnsi="Times New Roman"/>
                      <w:sz w:val="21"/>
                      <w:szCs w:val="21"/>
                    </w:rPr>
                  </w:pPr>
                  <w:r>
                    <w:rPr>
                      <w:rFonts w:ascii="Times New Roman" w:hAnsi="Times New Roman"/>
                      <w:sz w:val="21"/>
                      <w:szCs w:val="21"/>
                    </w:rPr>
                    <w:t>固废属性</w:t>
                  </w:r>
                </w:p>
              </w:tc>
              <w:tc>
                <w:tcPr>
                  <w:tcW w:w="1746" w:type="dxa"/>
                  <w:vAlign w:val="center"/>
                </w:tcPr>
                <w:p>
                  <w:pPr>
                    <w:snapToGrid w:val="0"/>
                    <w:spacing w:line="0" w:lineRule="atLeast"/>
                    <w:jc w:val="center"/>
                    <w:rPr>
                      <w:rFonts w:ascii="Times New Roman" w:hAnsi="Times New Roman"/>
                      <w:sz w:val="21"/>
                      <w:szCs w:val="21"/>
                      <w:vertAlign w:val="superscript"/>
                    </w:rPr>
                  </w:pPr>
                  <w:r>
                    <w:rPr>
                      <w:rFonts w:ascii="Times New Roman" w:hAnsi="Times New Roman"/>
                      <w:sz w:val="21"/>
                      <w:szCs w:val="21"/>
                    </w:rPr>
                    <w:t>产生量</w:t>
                  </w:r>
                </w:p>
              </w:tc>
              <w:tc>
                <w:tcPr>
                  <w:tcW w:w="2521" w:type="dxa"/>
                  <w:vAlign w:val="center"/>
                </w:tcPr>
                <w:p>
                  <w:pPr>
                    <w:snapToGrid w:val="0"/>
                    <w:spacing w:line="0" w:lineRule="atLeast"/>
                    <w:jc w:val="center"/>
                    <w:rPr>
                      <w:rFonts w:ascii="Times New Roman" w:hAnsi="Times New Roman"/>
                      <w:sz w:val="21"/>
                      <w:szCs w:val="21"/>
                    </w:rPr>
                  </w:pPr>
                  <w:r>
                    <w:rPr>
                      <w:rFonts w:ascii="Times New Roman" w:hAnsi="Times New Roman"/>
                      <w:sz w:val="21"/>
                      <w:szCs w:val="21"/>
                    </w:rPr>
                    <w:t>处理措施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c>
                <w:tcPr>
                  <w:tcW w:w="578" w:type="dxa"/>
                  <w:vAlign w:val="center"/>
                </w:tcPr>
                <w:p>
                  <w:pPr>
                    <w:snapToGrid w:val="0"/>
                    <w:spacing w:line="0" w:lineRule="atLeast"/>
                    <w:jc w:val="center"/>
                    <w:rPr>
                      <w:rFonts w:ascii="Times New Roman" w:hAnsi="Times New Roman"/>
                      <w:sz w:val="21"/>
                      <w:szCs w:val="21"/>
                    </w:rPr>
                  </w:pPr>
                  <w:r>
                    <w:rPr>
                      <w:rFonts w:ascii="Times New Roman" w:hAnsi="Times New Roman"/>
                      <w:sz w:val="21"/>
                      <w:szCs w:val="21"/>
                    </w:rPr>
                    <w:t>1</w:t>
                  </w:r>
                </w:p>
              </w:tc>
              <w:tc>
                <w:tcPr>
                  <w:tcW w:w="2618" w:type="dxa"/>
                </w:tcPr>
                <w:p>
                  <w:pPr>
                    <w:pStyle w:val="22"/>
                  </w:pPr>
                  <w:r>
                    <w:rPr>
                      <w:szCs w:val="21"/>
                    </w:rPr>
                    <w:t>生活垃圾</w:t>
                  </w:r>
                </w:p>
              </w:tc>
              <w:tc>
                <w:tcPr>
                  <w:tcW w:w="1831" w:type="dxa"/>
                  <w:vMerge w:val="restart"/>
                  <w:vAlign w:val="center"/>
                </w:tcPr>
                <w:p>
                  <w:pPr>
                    <w:snapToGrid w:val="0"/>
                    <w:spacing w:line="0" w:lineRule="atLeast"/>
                    <w:jc w:val="center"/>
                    <w:rPr>
                      <w:rFonts w:ascii="Times New Roman" w:hAnsi="Times New Roman"/>
                      <w:sz w:val="21"/>
                      <w:szCs w:val="21"/>
                    </w:rPr>
                  </w:pPr>
                  <w:r>
                    <w:rPr>
                      <w:rFonts w:ascii="Times New Roman" w:hAnsi="Times New Roman"/>
                      <w:sz w:val="21"/>
                      <w:szCs w:val="21"/>
                    </w:rPr>
                    <w:t>一般固废</w:t>
                  </w:r>
                </w:p>
              </w:tc>
              <w:tc>
                <w:tcPr>
                  <w:tcW w:w="1746" w:type="dxa"/>
                  <w:vAlign w:val="center"/>
                </w:tcPr>
                <w:p>
                  <w:pPr>
                    <w:pStyle w:val="22"/>
                  </w:pPr>
                  <w:r>
                    <w:t>1.5t/a</w:t>
                  </w:r>
                </w:p>
              </w:tc>
              <w:tc>
                <w:tcPr>
                  <w:tcW w:w="2521" w:type="dxa"/>
                  <w:vMerge w:val="restart"/>
                  <w:vAlign w:val="center"/>
                </w:tcPr>
                <w:p>
                  <w:pPr>
                    <w:snapToGrid w:val="0"/>
                    <w:spacing w:line="0" w:lineRule="atLeast"/>
                    <w:jc w:val="center"/>
                    <w:rPr>
                      <w:rFonts w:ascii="Times New Roman" w:hAnsi="Times New Roman"/>
                      <w:sz w:val="21"/>
                      <w:szCs w:val="21"/>
                    </w:rPr>
                  </w:pPr>
                  <w:r>
                    <w:rPr>
                      <w:rFonts w:ascii="Times New Roman" w:hAnsi="Times New Roman"/>
                      <w:sz w:val="21"/>
                      <w:szCs w:val="21"/>
                    </w:rPr>
                    <w:t>由环卫部门统一清运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c>
                <w:tcPr>
                  <w:tcW w:w="578" w:type="dxa"/>
                  <w:vAlign w:val="center"/>
                </w:tcPr>
                <w:p>
                  <w:pPr>
                    <w:snapToGrid w:val="0"/>
                    <w:spacing w:line="0" w:lineRule="atLeast"/>
                    <w:jc w:val="center"/>
                    <w:rPr>
                      <w:rFonts w:ascii="Times New Roman" w:hAnsi="Times New Roman"/>
                      <w:sz w:val="21"/>
                      <w:szCs w:val="21"/>
                    </w:rPr>
                  </w:pPr>
                  <w:r>
                    <w:rPr>
                      <w:rFonts w:ascii="Times New Roman" w:hAnsi="Times New Roman"/>
                      <w:sz w:val="21"/>
                      <w:szCs w:val="21"/>
                    </w:rPr>
                    <w:t>2</w:t>
                  </w:r>
                </w:p>
              </w:tc>
              <w:tc>
                <w:tcPr>
                  <w:tcW w:w="2618" w:type="dxa"/>
                </w:tcPr>
                <w:p>
                  <w:pPr>
                    <w:pStyle w:val="22"/>
                    <w:rPr>
                      <w:szCs w:val="21"/>
                    </w:rPr>
                  </w:pPr>
                  <w:r>
                    <w:rPr>
                      <w:rFonts w:hint="eastAsia"/>
                      <w:szCs w:val="21"/>
                    </w:rPr>
                    <w:t>下脚料</w:t>
                  </w:r>
                </w:p>
              </w:tc>
              <w:tc>
                <w:tcPr>
                  <w:tcW w:w="1831" w:type="dxa"/>
                  <w:vMerge w:val="continue"/>
                  <w:vAlign w:val="center"/>
                </w:tcPr>
                <w:p>
                  <w:pPr>
                    <w:snapToGrid w:val="0"/>
                    <w:spacing w:line="0" w:lineRule="atLeast"/>
                    <w:jc w:val="center"/>
                    <w:rPr>
                      <w:rFonts w:ascii="Times New Roman" w:hAnsi="Times New Roman"/>
                      <w:sz w:val="21"/>
                      <w:szCs w:val="21"/>
                    </w:rPr>
                  </w:pPr>
                </w:p>
              </w:tc>
              <w:tc>
                <w:tcPr>
                  <w:tcW w:w="1746" w:type="dxa"/>
                  <w:vAlign w:val="center"/>
                </w:tcPr>
                <w:p>
                  <w:pPr>
                    <w:pStyle w:val="22"/>
                  </w:pPr>
                  <w:r>
                    <w:rPr>
                      <w:rFonts w:hint="eastAsia"/>
                    </w:rPr>
                    <w:t>0</w:t>
                  </w:r>
                  <w:r>
                    <w:t xml:space="preserve">.1 </w:t>
                  </w:r>
                  <w:r>
                    <w:rPr>
                      <w:rFonts w:hint="eastAsia"/>
                    </w:rPr>
                    <w:t>t/a</w:t>
                  </w:r>
                </w:p>
              </w:tc>
              <w:tc>
                <w:tcPr>
                  <w:tcW w:w="2521" w:type="dxa"/>
                  <w:vMerge w:val="continue"/>
                  <w:vAlign w:val="center"/>
                </w:tcPr>
                <w:p>
                  <w:pPr>
                    <w:snapToGrid w:val="0"/>
                    <w:spacing w:line="0" w:lineRule="atLeast"/>
                    <w:jc w:val="center"/>
                    <w:rPr>
                      <w:rFonts w:ascii="Times New Roman" w:hAnsi="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c>
                <w:tcPr>
                  <w:tcW w:w="578" w:type="dxa"/>
                  <w:vAlign w:val="center"/>
                </w:tcPr>
                <w:p>
                  <w:pPr>
                    <w:snapToGrid w:val="0"/>
                    <w:spacing w:line="0" w:lineRule="atLeast"/>
                    <w:jc w:val="center"/>
                    <w:rPr>
                      <w:rFonts w:ascii="Times New Roman" w:hAnsi="Times New Roman"/>
                      <w:sz w:val="21"/>
                      <w:szCs w:val="21"/>
                    </w:rPr>
                  </w:pPr>
                  <w:r>
                    <w:rPr>
                      <w:rFonts w:ascii="Times New Roman" w:hAnsi="Times New Roman"/>
                      <w:sz w:val="21"/>
                      <w:szCs w:val="21"/>
                    </w:rPr>
                    <w:t>3</w:t>
                  </w:r>
                </w:p>
              </w:tc>
              <w:tc>
                <w:tcPr>
                  <w:tcW w:w="2618" w:type="dxa"/>
                </w:tcPr>
                <w:p>
                  <w:pPr>
                    <w:pStyle w:val="22"/>
                  </w:pPr>
                  <w:r>
                    <w:rPr>
                      <w:szCs w:val="21"/>
                    </w:rPr>
                    <w:t>废活性炭</w:t>
                  </w:r>
                </w:p>
              </w:tc>
              <w:tc>
                <w:tcPr>
                  <w:tcW w:w="1831" w:type="dxa"/>
                  <w:vMerge w:val="restart"/>
                </w:tcPr>
                <w:p>
                  <w:pPr>
                    <w:pStyle w:val="22"/>
                    <w:rPr>
                      <w:szCs w:val="21"/>
                    </w:rPr>
                  </w:pPr>
                  <w:r>
                    <w:t>危险废物（危废代码为</w:t>
                  </w:r>
                  <w:r>
                    <w:rPr>
                      <w:rStyle w:val="39"/>
                      <w:bCs w:val="0"/>
                    </w:rPr>
                    <w:t>900-041-49</w:t>
                  </w:r>
                  <w:r>
                    <w:t>）</w:t>
                  </w:r>
                </w:p>
              </w:tc>
              <w:tc>
                <w:tcPr>
                  <w:tcW w:w="1746" w:type="dxa"/>
                  <w:vAlign w:val="center"/>
                </w:tcPr>
                <w:p>
                  <w:pPr>
                    <w:pStyle w:val="22"/>
                  </w:pPr>
                  <w:r>
                    <w:rPr>
                      <w:rFonts w:hint="eastAsia"/>
                    </w:rPr>
                    <w:t>0</w:t>
                  </w:r>
                  <w:r>
                    <w:t>.5t/3a</w:t>
                  </w:r>
                </w:p>
              </w:tc>
              <w:tc>
                <w:tcPr>
                  <w:tcW w:w="2521" w:type="dxa"/>
                  <w:vMerge w:val="restart"/>
                  <w:vAlign w:val="center"/>
                </w:tcPr>
                <w:p>
                  <w:pPr>
                    <w:snapToGrid w:val="0"/>
                    <w:spacing w:line="0" w:lineRule="atLeast"/>
                    <w:jc w:val="center"/>
                    <w:rPr>
                      <w:rFonts w:ascii="Times New Roman" w:hAnsi="Times New Roman"/>
                      <w:sz w:val="21"/>
                      <w:szCs w:val="21"/>
                    </w:rPr>
                  </w:pPr>
                  <w:r>
                    <w:rPr>
                      <w:rFonts w:ascii="Times New Roman" w:hAnsi="Times New Roman"/>
                      <w:sz w:val="21"/>
                      <w:szCs w:val="21"/>
                    </w:rPr>
                    <w:t>暂存于危废库，由具有危险废物处理资质的单位拉走处理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c>
                <w:tcPr>
                  <w:tcW w:w="578" w:type="dxa"/>
                  <w:vAlign w:val="center"/>
                </w:tcPr>
                <w:p>
                  <w:pPr>
                    <w:snapToGrid w:val="0"/>
                    <w:spacing w:line="0" w:lineRule="atLeast"/>
                    <w:jc w:val="center"/>
                    <w:rPr>
                      <w:rFonts w:ascii="Times New Roman" w:hAnsi="Times New Roman"/>
                      <w:sz w:val="21"/>
                      <w:szCs w:val="21"/>
                    </w:rPr>
                  </w:pPr>
                  <w:r>
                    <w:rPr>
                      <w:rFonts w:ascii="Times New Roman" w:hAnsi="Times New Roman"/>
                      <w:sz w:val="21"/>
                      <w:szCs w:val="21"/>
                    </w:rPr>
                    <w:t>4</w:t>
                  </w:r>
                </w:p>
              </w:tc>
              <w:tc>
                <w:tcPr>
                  <w:tcW w:w="2618" w:type="dxa"/>
                </w:tcPr>
                <w:p>
                  <w:pPr>
                    <w:pStyle w:val="22"/>
                    <w:rPr>
                      <w:szCs w:val="21"/>
                    </w:rPr>
                  </w:pPr>
                  <w:r>
                    <w:rPr>
                      <w:szCs w:val="21"/>
                    </w:rPr>
                    <w:t>废</w:t>
                  </w:r>
                  <w:r>
                    <w:rPr>
                      <w:rFonts w:hint="eastAsia"/>
                      <w:szCs w:val="21"/>
                    </w:rPr>
                    <w:t>油墨盒</w:t>
                  </w:r>
                </w:p>
              </w:tc>
              <w:tc>
                <w:tcPr>
                  <w:tcW w:w="1831" w:type="dxa"/>
                  <w:vMerge w:val="continue"/>
                </w:tcPr>
                <w:p>
                  <w:pPr>
                    <w:pStyle w:val="22"/>
                  </w:pPr>
                </w:p>
              </w:tc>
              <w:tc>
                <w:tcPr>
                  <w:tcW w:w="1746" w:type="dxa"/>
                  <w:vAlign w:val="center"/>
                </w:tcPr>
                <w:p>
                  <w:pPr>
                    <w:pStyle w:val="22"/>
                  </w:pPr>
                  <w:r>
                    <w:t>0.15</w:t>
                  </w:r>
                  <w:r>
                    <w:rPr>
                      <w:rFonts w:hint="eastAsia"/>
                    </w:rPr>
                    <w:t>t/a</w:t>
                  </w:r>
                </w:p>
              </w:tc>
              <w:tc>
                <w:tcPr>
                  <w:tcW w:w="2521" w:type="dxa"/>
                  <w:vMerge w:val="continue"/>
                  <w:vAlign w:val="center"/>
                </w:tcPr>
                <w:p>
                  <w:pPr>
                    <w:snapToGrid w:val="0"/>
                    <w:spacing w:line="0" w:lineRule="atLeast"/>
                    <w:jc w:val="center"/>
                    <w:rPr>
                      <w:rFonts w:ascii="Times New Roman" w:hAnsi="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c>
                <w:tcPr>
                  <w:tcW w:w="578" w:type="dxa"/>
                  <w:vAlign w:val="center"/>
                </w:tcPr>
                <w:p>
                  <w:pPr>
                    <w:snapToGrid w:val="0"/>
                    <w:spacing w:line="0" w:lineRule="atLeast"/>
                    <w:jc w:val="center"/>
                    <w:rPr>
                      <w:rFonts w:ascii="Times New Roman" w:hAnsi="Times New Roman"/>
                      <w:sz w:val="21"/>
                      <w:szCs w:val="21"/>
                    </w:rPr>
                  </w:pPr>
                  <w:r>
                    <w:rPr>
                      <w:rFonts w:ascii="Times New Roman" w:hAnsi="Times New Roman"/>
                      <w:sz w:val="21"/>
                      <w:szCs w:val="21"/>
                    </w:rPr>
                    <w:t>5</w:t>
                  </w:r>
                </w:p>
              </w:tc>
              <w:tc>
                <w:tcPr>
                  <w:tcW w:w="2618" w:type="dxa"/>
                </w:tcPr>
                <w:p>
                  <w:pPr>
                    <w:pStyle w:val="22"/>
                  </w:pPr>
                  <w:r>
                    <w:rPr>
                      <w:rFonts w:hint="eastAsia"/>
                    </w:rPr>
                    <w:t>废抹布</w:t>
                  </w:r>
                </w:p>
              </w:tc>
              <w:tc>
                <w:tcPr>
                  <w:tcW w:w="1831" w:type="dxa"/>
                  <w:vMerge w:val="continue"/>
                  <w:vAlign w:val="center"/>
                </w:tcPr>
                <w:p>
                  <w:pPr>
                    <w:pStyle w:val="22"/>
                  </w:pPr>
                </w:p>
              </w:tc>
              <w:tc>
                <w:tcPr>
                  <w:tcW w:w="1746" w:type="dxa"/>
                  <w:vAlign w:val="center"/>
                </w:tcPr>
                <w:p>
                  <w:pPr>
                    <w:pStyle w:val="22"/>
                  </w:pPr>
                  <w:r>
                    <w:rPr>
                      <w:rFonts w:hint="eastAsia"/>
                    </w:rPr>
                    <w:t>0.05</w:t>
                  </w:r>
                  <w:r>
                    <w:t>t/a</w:t>
                  </w:r>
                </w:p>
              </w:tc>
              <w:tc>
                <w:tcPr>
                  <w:tcW w:w="2521" w:type="dxa"/>
                  <w:vAlign w:val="center"/>
                </w:tcPr>
                <w:p>
                  <w:pPr>
                    <w:snapToGrid w:val="0"/>
                    <w:spacing w:line="0" w:lineRule="atLeast"/>
                    <w:jc w:val="center"/>
                    <w:rPr>
                      <w:rFonts w:ascii="Times New Roman" w:hAnsi="Times New Roman"/>
                      <w:sz w:val="21"/>
                      <w:szCs w:val="21"/>
                    </w:rPr>
                  </w:pPr>
                  <w:r>
                    <w:rPr>
                      <w:rFonts w:hint="eastAsia" w:ascii="Times New Roman" w:hAnsi="Times New Roman"/>
                      <w:sz w:val="21"/>
                      <w:szCs w:val="21"/>
                    </w:rPr>
                    <w:t>随生活垃圾一同收集，由环卫部门清运处理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c>
                <w:tcPr>
                  <w:tcW w:w="578" w:type="dxa"/>
                  <w:vAlign w:val="center"/>
                </w:tcPr>
                <w:p>
                  <w:pPr>
                    <w:snapToGrid w:val="0"/>
                    <w:spacing w:line="0" w:lineRule="atLeast"/>
                    <w:jc w:val="center"/>
                    <w:rPr>
                      <w:rFonts w:ascii="Times New Roman" w:hAnsi="Times New Roman"/>
                      <w:sz w:val="21"/>
                      <w:szCs w:val="21"/>
                    </w:rPr>
                  </w:pPr>
                  <w:r>
                    <w:rPr>
                      <w:rFonts w:hint="eastAsia" w:ascii="Times New Roman" w:hAnsi="Times New Roman"/>
                      <w:sz w:val="21"/>
                      <w:szCs w:val="21"/>
                    </w:rPr>
                    <w:t>6</w:t>
                  </w:r>
                </w:p>
              </w:tc>
              <w:tc>
                <w:tcPr>
                  <w:tcW w:w="2618" w:type="dxa"/>
                </w:tcPr>
                <w:p>
                  <w:pPr>
                    <w:pStyle w:val="22"/>
                  </w:pPr>
                  <w:r>
                    <w:rPr>
                      <w:rFonts w:hint="eastAsia"/>
                      <w:szCs w:val="21"/>
                    </w:rPr>
                    <w:t>废催化剂</w:t>
                  </w:r>
                </w:p>
              </w:tc>
              <w:tc>
                <w:tcPr>
                  <w:tcW w:w="1831" w:type="dxa"/>
                  <w:vAlign w:val="center"/>
                </w:tcPr>
                <w:p>
                  <w:pPr>
                    <w:pStyle w:val="22"/>
                  </w:pPr>
                  <w:r>
                    <w:t>危险废物（危废代码为</w:t>
                  </w:r>
                  <w:r>
                    <w:rPr>
                      <w:rStyle w:val="39"/>
                      <w:rFonts w:hint="eastAsia"/>
                      <w:bCs w:val="0"/>
                    </w:rPr>
                    <w:t>772-007-50</w:t>
                  </w:r>
                  <w:r>
                    <w:t>）</w:t>
                  </w:r>
                </w:p>
              </w:tc>
              <w:tc>
                <w:tcPr>
                  <w:tcW w:w="1746" w:type="dxa"/>
                  <w:vAlign w:val="center"/>
                </w:tcPr>
                <w:p>
                  <w:pPr>
                    <w:pStyle w:val="22"/>
                  </w:pPr>
                  <w:r>
                    <w:rPr>
                      <w:rFonts w:hint="eastAsia"/>
                    </w:rPr>
                    <w:t>1t/3a</w:t>
                  </w:r>
                </w:p>
              </w:tc>
              <w:tc>
                <w:tcPr>
                  <w:tcW w:w="2521" w:type="dxa"/>
                  <w:vAlign w:val="center"/>
                </w:tcPr>
                <w:p>
                  <w:pPr>
                    <w:snapToGrid w:val="0"/>
                    <w:spacing w:line="0" w:lineRule="atLeast"/>
                    <w:jc w:val="center"/>
                    <w:rPr>
                      <w:rFonts w:ascii="Times New Roman" w:hAnsi="Times New Roman"/>
                      <w:sz w:val="21"/>
                      <w:szCs w:val="21"/>
                    </w:rPr>
                  </w:pPr>
                  <w:r>
                    <w:rPr>
                      <w:rFonts w:ascii="Times New Roman" w:hAnsi="Times New Roman"/>
                      <w:sz w:val="21"/>
                      <w:szCs w:val="21"/>
                    </w:rPr>
                    <w:t>暂存于危废库，由具有危险废物处理资质的单位拉走处理</w:t>
                  </w:r>
                </w:p>
              </w:tc>
            </w:tr>
          </w:tbl>
          <w:p>
            <w:pPr>
              <w:adjustRightInd w:val="0"/>
              <w:spacing w:line="360" w:lineRule="auto"/>
              <w:ind w:firstLine="480" w:firstLineChars="200"/>
              <w:textAlignment w:val="center"/>
              <w:rPr>
                <w:rFonts w:ascii="Times New Roman" w:hAnsi="Times New Roman"/>
                <w:szCs w:val="24"/>
              </w:rPr>
            </w:pPr>
            <w:r>
              <w:rPr>
                <w:rFonts w:hint="eastAsia" w:ascii="Times New Roman" w:hAnsi="Times New Roman"/>
                <w:szCs w:val="24"/>
              </w:rPr>
              <w:t>废活性炭、废油墨盒、废催化剂暂存于厂区西侧危废库，</w:t>
            </w:r>
            <w:r>
              <w:rPr>
                <w:rFonts w:hint="eastAsia" w:ascii="Times New Roman" w:hAnsi="Times New Roman"/>
                <w:kern w:val="2"/>
                <w:szCs w:val="24"/>
              </w:rPr>
              <w:t>项目危险废物产生基本情况及贮存场所基本情况见</w:t>
            </w:r>
            <w:r>
              <w:rPr>
                <w:rFonts w:hint="eastAsia" w:ascii="Times New Roman" w:hAnsi="Times New Roman"/>
                <w:b/>
                <w:kern w:val="2"/>
                <w:szCs w:val="24"/>
              </w:rPr>
              <w:t>表19</w:t>
            </w:r>
            <w:r>
              <w:rPr>
                <w:rFonts w:hint="eastAsia" w:ascii="Times New Roman" w:hAnsi="Times New Roman"/>
                <w:kern w:val="2"/>
                <w:szCs w:val="24"/>
              </w:rPr>
              <w:t>、</w:t>
            </w:r>
            <w:r>
              <w:rPr>
                <w:rFonts w:hint="eastAsia" w:ascii="Times New Roman" w:hAnsi="Times New Roman"/>
                <w:b/>
                <w:kern w:val="2"/>
                <w:szCs w:val="24"/>
              </w:rPr>
              <w:t>表20。</w:t>
            </w:r>
          </w:p>
          <w:p>
            <w:pPr>
              <w:topLinePunct/>
              <w:adjustRightInd w:val="0"/>
              <w:snapToGrid w:val="0"/>
              <w:spacing w:beforeLines="50" w:afterLines="60"/>
              <w:jc w:val="center"/>
              <w:rPr>
                <w:rFonts w:ascii="黑体" w:hAnsi="黑体" w:eastAsia="黑体"/>
                <w:szCs w:val="24"/>
              </w:rPr>
            </w:pPr>
            <w:r>
              <w:rPr>
                <w:rFonts w:hint="eastAsia" w:ascii="黑体" w:hAnsi="黑体" w:eastAsia="黑体"/>
                <w:szCs w:val="24"/>
              </w:rPr>
              <w:t>表19 工程分析中危险废物汇总样表</w:t>
            </w:r>
          </w:p>
          <w:tbl>
            <w:tblPr>
              <w:tblStyle w:val="30"/>
              <w:tblW w:w="9261" w:type="dxa"/>
              <w:jc w:val="center"/>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61"/>
              <w:gridCol w:w="1484"/>
              <w:gridCol w:w="1684"/>
              <w:gridCol w:w="1276"/>
              <w:gridCol w:w="997"/>
              <w:gridCol w:w="1276"/>
              <w:gridCol w:w="754"/>
              <w:gridCol w:w="112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82" w:hRule="atLeast"/>
                <w:jc w:val="center"/>
              </w:trPr>
              <w:tc>
                <w:tcPr>
                  <w:tcW w:w="661" w:type="dxa"/>
                  <w:tcBorders>
                    <w:top w:val="single" w:color="auto" w:sz="8" w:space="0"/>
                    <w:left w:val="single" w:color="auto" w:sz="8" w:space="0"/>
                    <w:bottom w:val="single" w:color="auto" w:sz="4" w:space="0"/>
                    <w:right w:val="single" w:color="auto" w:sz="4" w:space="0"/>
                  </w:tcBorders>
                  <w:vAlign w:val="center"/>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序号</w:t>
                  </w:r>
                </w:p>
              </w:tc>
              <w:tc>
                <w:tcPr>
                  <w:tcW w:w="1484" w:type="dxa"/>
                  <w:tcBorders>
                    <w:top w:val="single" w:color="auto" w:sz="8" w:space="0"/>
                    <w:left w:val="single" w:color="auto" w:sz="4" w:space="0"/>
                    <w:bottom w:val="single" w:color="auto" w:sz="4" w:space="0"/>
                    <w:right w:val="single" w:color="auto" w:sz="4" w:space="0"/>
                  </w:tcBorders>
                  <w:vAlign w:val="center"/>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危险废物名称</w:t>
                  </w:r>
                </w:p>
              </w:tc>
              <w:tc>
                <w:tcPr>
                  <w:tcW w:w="1684" w:type="dxa"/>
                  <w:tcBorders>
                    <w:top w:val="single" w:color="auto" w:sz="8" w:space="0"/>
                    <w:left w:val="single" w:color="auto" w:sz="4" w:space="0"/>
                    <w:bottom w:val="single" w:color="auto" w:sz="4" w:space="0"/>
                    <w:right w:val="single" w:color="auto" w:sz="4" w:space="0"/>
                  </w:tcBorders>
                  <w:vAlign w:val="center"/>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危险废物类别</w:t>
                  </w:r>
                </w:p>
              </w:tc>
              <w:tc>
                <w:tcPr>
                  <w:tcW w:w="1276" w:type="dxa"/>
                  <w:tcBorders>
                    <w:top w:val="single" w:color="auto" w:sz="8" w:space="0"/>
                    <w:left w:val="single" w:color="auto" w:sz="4" w:space="0"/>
                    <w:bottom w:val="single" w:color="auto" w:sz="4" w:space="0"/>
                    <w:right w:val="single" w:color="auto" w:sz="4" w:space="0"/>
                  </w:tcBorders>
                  <w:vAlign w:val="center"/>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危险废物代码</w:t>
                  </w:r>
                </w:p>
              </w:tc>
              <w:tc>
                <w:tcPr>
                  <w:tcW w:w="997" w:type="dxa"/>
                  <w:tcBorders>
                    <w:top w:val="single" w:color="auto" w:sz="8" w:space="0"/>
                    <w:left w:val="single" w:color="auto" w:sz="4" w:space="0"/>
                    <w:bottom w:val="single" w:color="auto" w:sz="4" w:space="0"/>
                    <w:right w:val="single" w:color="auto" w:sz="4" w:space="0"/>
                  </w:tcBorders>
                  <w:vAlign w:val="center"/>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产生量（</w:t>
                  </w:r>
                  <w:r>
                    <w:rPr>
                      <w:rFonts w:ascii="Times New Roman" w:hAnsi="Times New Roman"/>
                      <w:kern w:val="0"/>
                      <w:sz w:val="21"/>
                      <w:szCs w:val="21"/>
                    </w:rPr>
                    <w:t>t/a</w:t>
                  </w:r>
                  <w:r>
                    <w:rPr>
                      <w:rFonts w:hint="eastAsia" w:ascii="Times New Roman" w:hAnsi="Times New Roman"/>
                      <w:kern w:val="0"/>
                      <w:sz w:val="21"/>
                      <w:szCs w:val="21"/>
                    </w:rPr>
                    <w:t>）</w:t>
                  </w:r>
                </w:p>
              </w:tc>
              <w:tc>
                <w:tcPr>
                  <w:tcW w:w="1276" w:type="dxa"/>
                  <w:tcBorders>
                    <w:top w:val="single" w:color="auto" w:sz="8" w:space="0"/>
                    <w:left w:val="single" w:color="auto" w:sz="4" w:space="0"/>
                    <w:bottom w:val="single" w:color="auto" w:sz="4" w:space="0"/>
                    <w:right w:val="single" w:color="auto" w:sz="4" w:space="0"/>
                  </w:tcBorders>
                  <w:vAlign w:val="center"/>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产生工序及装置</w:t>
                  </w:r>
                </w:p>
              </w:tc>
              <w:tc>
                <w:tcPr>
                  <w:tcW w:w="754" w:type="dxa"/>
                  <w:tcBorders>
                    <w:top w:val="single" w:color="auto" w:sz="8" w:space="0"/>
                    <w:left w:val="single" w:color="auto" w:sz="4" w:space="0"/>
                    <w:bottom w:val="single" w:color="auto" w:sz="4" w:space="0"/>
                    <w:right w:val="single" w:color="auto" w:sz="4" w:space="0"/>
                  </w:tcBorders>
                  <w:vAlign w:val="center"/>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形态</w:t>
                  </w:r>
                </w:p>
              </w:tc>
              <w:tc>
                <w:tcPr>
                  <w:tcW w:w="1129" w:type="dxa"/>
                  <w:tcBorders>
                    <w:top w:val="single" w:color="auto" w:sz="8" w:space="0"/>
                    <w:left w:val="single" w:color="auto" w:sz="4" w:space="0"/>
                    <w:bottom w:val="single" w:color="auto" w:sz="4" w:space="0"/>
                    <w:right w:val="single" w:color="auto" w:sz="8" w:space="0"/>
                  </w:tcBorders>
                  <w:vAlign w:val="center"/>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危险</w:t>
                  </w:r>
                </w:p>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特性</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661" w:type="dxa"/>
                  <w:tcBorders>
                    <w:top w:val="single" w:color="auto" w:sz="4" w:space="0"/>
                    <w:left w:val="single" w:color="auto" w:sz="8" w:space="0"/>
                    <w:bottom w:val="single" w:color="auto" w:sz="4" w:space="0"/>
                    <w:right w:val="single" w:color="auto" w:sz="4" w:space="0"/>
                  </w:tcBorders>
                  <w:vAlign w:val="center"/>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1</w:t>
                  </w:r>
                </w:p>
              </w:tc>
              <w:tc>
                <w:tcPr>
                  <w:tcW w:w="1484" w:type="dxa"/>
                  <w:tcBorders>
                    <w:top w:val="single" w:color="auto" w:sz="4" w:space="0"/>
                    <w:left w:val="single" w:color="auto" w:sz="4" w:space="0"/>
                    <w:bottom w:val="single" w:color="auto" w:sz="4" w:space="0"/>
                    <w:right w:val="single" w:color="auto" w:sz="4" w:space="0"/>
                  </w:tcBorders>
                </w:tcPr>
                <w:p>
                  <w:pPr>
                    <w:pStyle w:val="22"/>
                    <w:rPr>
                      <w:szCs w:val="21"/>
                    </w:rPr>
                  </w:pPr>
                  <w:r>
                    <w:rPr>
                      <w:szCs w:val="21"/>
                    </w:rPr>
                    <w:t>废活性炭</w:t>
                  </w:r>
                </w:p>
              </w:tc>
              <w:tc>
                <w:tcPr>
                  <w:tcW w:w="1684" w:type="dxa"/>
                  <w:tcBorders>
                    <w:top w:val="single" w:color="auto" w:sz="4" w:space="0"/>
                    <w:left w:val="single" w:color="auto" w:sz="4" w:space="0"/>
                    <w:bottom w:val="single" w:color="auto" w:sz="4" w:space="0"/>
                    <w:right w:val="single" w:color="auto" w:sz="4" w:space="0"/>
                  </w:tcBorders>
                  <w:vAlign w:val="center"/>
                </w:tcPr>
                <w:p>
                  <w:pPr>
                    <w:topLinePunct/>
                    <w:adjustRightInd w:val="0"/>
                    <w:snapToGrid w:val="0"/>
                    <w:jc w:val="center"/>
                    <w:rPr>
                      <w:rFonts w:ascii="Times New Roman" w:hAnsi="Times New Roman"/>
                      <w:sz w:val="21"/>
                      <w:szCs w:val="21"/>
                    </w:rPr>
                  </w:pPr>
                  <w:r>
                    <w:rPr>
                      <w:rFonts w:ascii="Times New Roman" w:hAnsi="Times New Roman"/>
                      <w:sz w:val="21"/>
                      <w:szCs w:val="21"/>
                    </w:rPr>
                    <w:t>HW49其他废物</w:t>
                  </w:r>
                </w:p>
              </w:tc>
              <w:tc>
                <w:tcPr>
                  <w:tcW w:w="1276" w:type="dxa"/>
                  <w:tcBorders>
                    <w:top w:val="single" w:color="auto" w:sz="4" w:space="0"/>
                    <w:left w:val="single" w:color="auto" w:sz="4" w:space="0"/>
                    <w:bottom w:val="single" w:color="auto" w:sz="4" w:space="0"/>
                    <w:right w:val="single" w:color="auto" w:sz="4" w:space="0"/>
                  </w:tcBorders>
                  <w:vAlign w:val="center"/>
                </w:tcPr>
                <w:p>
                  <w:pPr>
                    <w:topLinePunct/>
                    <w:adjustRightInd w:val="0"/>
                    <w:snapToGrid w:val="0"/>
                    <w:jc w:val="center"/>
                    <w:rPr>
                      <w:rFonts w:ascii="Times New Roman" w:hAnsi="Times New Roman"/>
                      <w:sz w:val="21"/>
                      <w:szCs w:val="21"/>
                    </w:rPr>
                  </w:pPr>
                  <w:r>
                    <w:rPr>
                      <w:rFonts w:ascii="Times New Roman" w:hAnsi="Times New Roman"/>
                      <w:sz w:val="21"/>
                      <w:szCs w:val="21"/>
                    </w:rPr>
                    <w:t>900-041-49</w:t>
                  </w:r>
                </w:p>
              </w:tc>
              <w:tc>
                <w:tcPr>
                  <w:tcW w:w="997" w:type="dxa"/>
                  <w:tcBorders>
                    <w:top w:val="single" w:color="auto" w:sz="4" w:space="0"/>
                    <w:left w:val="single" w:color="auto" w:sz="4" w:space="0"/>
                    <w:bottom w:val="single" w:color="auto" w:sz="4" w:space="0"/>
                    <w:right w:val="single" w:color="auto" w:sz="4" w:space="0"/>
                  </w:tcBorders>
                  <w:vAlign w:val="center"/>
                </w:tcPr>
                <w:p>
                  <w:pPr>
                    <w:topLinePunct/>
                    <w:adjustRightInd w:val="0"/>
                    <w:snapToGrid w:val="0"/>
                    <w:jc w:val="center"/>
                    <w:rPr>
                      <w:rFonts w:ascii="Times New Roman" w:hAnsi="Times New Roman"/>
                      <w:kern w:val="0"/>
                      <w:sz w:val="21"/>
                      <w:szCs w:val="21"/>
                    </w:rPr>
                  </w:pPr>
                  <w:r>
                    <w:rPr>
                      <w:rFonts w:ascii="Times New Roman" w:hAnsi="Times New Roman"/>
                      <w:kern w:val="0"/>
                      <w:sz w:val="21"/>
                      <w:szCs w:val="21"/>
                    </w:rPr>
                    <w:t>0.5</w:t>
                  </w:r>
                  <w:r>
                    <w:rPr>
                      <w:rFonts w:ascii="Times New Roman" w:hAnsi="Times New Roman"/>
                      <w:sz w:val="21"/>
                      <w:szCs w:val="21"/>
                    </w:rPr>
                    <w:t xml:space="preserve"> t/3a</w:t>
                  </w:r>
                </w:p>
              </w:tc>
              <w:tc>
                <w:tcPr>
                  <w:tcW w:w="1276" w:type="dxa"/>
                  <w:tcBorders>
                    <w:top w:val="single" w:color="auto" w:sz="4" w:space="0"/>
                    <w:left w:val="single" w:color="auto" w:sz="4" w:space="0"/>
                    <w:bottom w:val="single" w:color="auto" w:sz="4" w:space="0"/>
                    <w:right w:val="single" w:color="auto" w:sz="4" w:space="0"/>
                  </w:tcBorders>
                  <w:vAlign w:val="center"/>
                </w:tcPr>
                <w:p>
                  <w:pPr>
                    <w:topLinePunct/>
                    <w:adjustRightInd w:val="0"/>
                    <w:snapToGrid w:val="0"/>
                    <w:jc w:val="center"/>
                    <w:rPr>
                      <w:rFonts w:ascii="Times New Roman" w:hAnsi="Times New Roman"/>
                      <w:kern w:val="0"/>
                      <w:sz w:val="21"/>
                      <w:szCs w:val="21"/>
                    </w:rPr>
                  </w:pPr>
                  <w:r>
                    <w:rPr>
                      <w:rFonts w:ascii="Times New Roman" w:hAnsi="Times New Roman"/>
                      <w:kern w:val="0"/>
                      <w:sz w:val="21"/>
                      <w:szCs w:val="21"/>
                    </w:rPr>
                    <w:t>废气处理</w:t>
                  </w:r>
                </w:p>
              </w:tc>
              <w:tc>
                <w:tcPr>
                  <w:tcW w:w="754" w:type="dxa"/>
                  <w:tcBorders>
                    <w:top w:val="single" w:color="auto" w:sz="4" w:space="0"/>
                    <w:left w:val="single" w:color="auto" w:sz="4" w:space="0"/>
                    <w:bottom w:val="single" w:color="auto" w:sz="4" w:space="0"/>
                    <w:right w:val="single" w:color="auto" w:sz="4" w:space="0"/>
                  </w:tcBorders>
                  <w:vAlign w:val="center"/>
                </w:tcPr>
                <w:p>
                  <w:pPr>
                    <w:topLinePunct/>
                    <w:adjustRightInd w:val="0"/>
                    <w:snapToGrid w:val="0"/>
                    <w:jc w:val="center"/>
                    <w:rPr>
                      <w:rFonts w:ascii="Times New Roman" w:hAnsi="Times New Roman"/>
                      <w:kern w:val="0"/>
                      <w:sz w:val="21"/>
                      <w:szCs w:val="21"/>
                    </w:rPr>
                  </w:pPr>
                  <w:r>
                    <w:rPr>
                      <w:rFonts w:ascii="Times New Roman" w:hAnsi="Times New Roman"/>
                      <w:kern w:val="0"/>
                      <w:sz w:val="21"/>
                      <w:szCs w:val="21"/>
                    </w:rPr>
                    <w:t>固态</w:t>
                  </w:r>
                </w:p>
              </w:tc>
              <w:tc>
                <w:tcPr>
                  <w:tcW w:w="1129" w:type="dxa"/>
                  <w:tcBorders>
                    <w:top w:val="single" w:color="auto" w:sz="4" w:space="0"/>
                    <w:left w:val="single" w:color="auto" w:sz="4" w:space="0"/>
                    <w:bottom w:val="single" w:color="auto" w:sz="4" w:space="0"/>
                    <w:right w:val="single" w:color="auto" w:sz="8" w:space="0"/>
                  </w:tcBorders>
                  <w:vAlign w:val="center"/>
                </w:tcPr>
                <w:p>
                  <w:pPr>
                    <w:topLinePunct/>
                    <w:adjustRightInd w:val="0"/>
                    <w:snapToGrid w:val="0"/>
                    <w:jc w:val="center"/>
                    <w:rPr>
                      <w:rFonts w:ascii="Times New Roman" w:hAnsi="Times New Roman"/>
                      <w:kern w:val="0"/>
                      <w:sz w:val="21"/>
                      <w:szCs w:val="21"/>
                    </w:rPr>
                  </w:pPr>
                  <w:r>
                    <w:rPr>
                      <w:rFonts w:ascii="Times New Roman" w:hAnsi="Times New Roman"/>
                      <w:kern w:val="0"/>
                      <w:sz w:val="21"/>
                      <w:szCs w:val="21"/>
                    </w:rPr>
                    <w:t>T/In</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661" w:type="dxa"/>
                  <w:tcBorders>
                    <w:top w:val="single" w:color="auto" w:sz="4" w:space="0"/>
                    <w:left w:val="single" w:color="auto" w:sz="8" w:space="0"/>
                    <w:bottom w:val="single" w:color="auto" w:sz="4" w:space="0"/>
                    <w:right w:val="single" w:color="auto" w:sz="4" w:space="0"/>
                  </w:tcBorders>
                  <w:vAlign w:val="center"/>
                </w:tcPr>
                <w:p>
                  <w:pPr>
                    <w:topLinePunct/>
                    <w:adjustRightInd w:val="0"/>
                    <w:snapToGrid w:val="0"/>
                    <w:jc w:val="center"/>
                    <w:rPr>
                      <w:rFonts w:ascii="Times New Roman" w:hAnsi="Times New Roman"/>
                      <w:kern w:val="0"/>
                      <w:sz w:val="21"/>
                      <w:szCs w:val="21"/>
                    </w:rPr>
                  </w:pPr>
                  <w:r>
                    <w:rPr>
                      <w:rFonts w:ascii="Times New Roman" w:hAnsi="Times New Roman"/>
                      <w:kern w:val="0"/>
                      <w:sz w:val="21"/>
                      <w:szCs w:val="21"/>
                    </w:rPr>
                    <w:t>2</w:t>
                  </w:r>
                </w:p>
              </w:tc>
              <w:tc>
                <w:tcPr>
                  <w:tcW w:w="1484" w:type="dxa"/>
                  <w:tcBorders>
                    <w:top w:val="single" w:color="auto" w:sz="4" w:space="0"/>
                    <w:left w:val="single" w:color="auto" w:sz="4" w:space="0"/>
                    <w:bottom w:val="single" w:color="auto" w:sz="4" w:space="0"/>
                    <w:right w:val="single" w:color="auto" w:sz="4" w:space="0"/>
                  </w:tcBorders>
                </w:tcPr>
                <w:p>
                  <w:pPr>
                    <w:pStyle w:val="22"/>
                    <w:rPr>
                      <w:szCs w:val="21"/>
                    </w:rPr>
                  </w:pPr>
                  <w:r>
                    <w:rPr>
                      <w:szCs w:val="21"/>
                    </w:rPr>
                    <w:t>废油墨盒</w:t>
                  </w:r>
                </w:p>
              </w:tc>
              <w:tc>
                <w:tcPr>
                  <w:tcW w:w="1684" w:type="dxa"/>
                  <w:tcBorders>
                    <w:top w:val="single" w:color="auto" w:sz="4" w:space="0"/>
                    <w:left w:val="single" w:color="auto" w:sz="4" w:space="0"/>
                    <w:bottom w:val="single" w:color="auto" w:sz="4" w:space="0"/>
                    <w:right w:val="single" w:color="auto" w:sz="4" w:space="0"/>
                  </w:tcBorders>
                  <w:vAlign w:val="center"/>
                </w:tcPr>
                <w:p>
                  <w:pPr>
                    <w:topLinePunct/>
                    <w:adjustRightInd w:val="0"/>
                    <w:snapToGrid w:val="0"/>
                    <w:jc w:val="center"/>
                    <w:rPr>
                      <w:rFonts w:ascii="Times New Roman" w:hAnsi="Times New Roman"/>
                      <w:kern w:val="0"/>
                      <w:sz w:val="21"/>
                      <w:szCs w:val="21"/>
                    </w:rPr>
                  </w:pPr>
                  <w:r>
                    <w:rPr>
                      <w:rFonts w:ascii="Times New Roman" w:hAnsi="Times New Roman"/>
                      <w:sz w:val="21"/>
                      <w:szCs w:val="21"/>
                    </w:rPr>
                    <w:t>HW49其他废物</w:t>
                  </w:r>
                </w:p>
              </w:tc>
              <w:tc>
                <w:tcPr>
                  <w:tcW w:w="1276" w:type="dxa"/>
                  <w:tcBorders>
                    <w:top w:val="single" w:color="auto" w:sz="4" w:space="0"/>
                    <w:left w:val="single" w:color="auto" w:sz="4" w:space="0"/>
                    <w:bottom w:val="single" w:color="auto" w:sz="4" w:space="0"/>
                    <w:right w:val="single" w:color="auto" w:sz="4" w:space="0"/>
                  </w:tcBorders>
                  <w:vAlign w:val="center"/>
                </w:tcPr>
                <w:p>
                  <w:pPr>
                    <w:topLinePunct/>
                    <w:adjustRightInd w:val="0"/>
                    <w:snapToGrid w:val="0"/>
                    <w:jc w:val="center"/>
                    <w:rPr>
                      <w:rFonts w:ascii="Times New Roman" w:hAnsi="Times New Roman"/>
                      <w:kern w:val="0"/>
                      <w:sz w:val="21"/>
                      <w:szCs w:val="21"/>
                    </w:rPr>
                  </w:pPr>
                  <w:r>
                    <w:rPr>
                      <w:rFonts w:ascii="Times New Roman" w:hAnsi="Times New Roman"/>
                      <w:sz w:val="21"/>
                      <w:szCs w:val="21"/>
                    </w:rPr>
                    <w:t>900-041-49</w:t>
                  </w:r>
                </w:p>
              </w:tc>
              <w:tc>
                <w:tcPr>
                  <w:tcW w:w="997" w:type="dxa"/>
                  <w:tcBorders>
                    <w:top w:val="single" w:color="auto" w:sz="4" w:space="0"/>
                    <w:left w:val="single" w:color="auto" w:sz="4" w:space="0"/>
                    <w:bottom w:val="single" w:color="auto" w:sz="4" w:space="0"/>
                    <w:right w:val="single" w:color="auto" w:sz="4" w:space="0"/>
                  </w:tcBorders>
                  <w:vAlign w:val="center"/>
                </w:tcPr>
                <w:p>
                  <w:pPr>
                    <w:topLinePunct/>
                    <w:adjustRightInd w:val="0"/>
                    <w:snapToGrid w:val="0"/>
                    <w:jc w:val="center"/>
                    <w:rPr>
                      <w:rFonts w:ascii="Times New Roman" w:hAnsi="Times New Roman"/>
                      <w:kern w:val="0"/>
                      <w:sz w:val="21"/>
                      <w:szCs w:val="21"/>
                    </w:rPr>
                  </w:pPr>
                  <w:r>
                    <w:rPr>
                      <w:rFonts w:ascii="Times New Roman" w:hAnsi="Times New Roman"/>
                      <w:kern w:val="0"/>
                      <w:sz w:val="21"/>
                      <w:szCs w:val="21"/>
                    </w:rPr>
                    <w:t>0.15t/a</w:t>
                  </w:r>
                </w:p>
              </w:tc>
              <w:tc>
                <w:tcPr>
                  <w:tcW w:w="1276" w:type="dxa"/>
                  <w:tcBorders>
                    <w:top w:val="single" w:color="auto" w:sz="4" w:space="0"/>
                    <w:left w:val="single" w:color="auto" w:sz="4" w:space="0"/>
                    <w:bottom w:val="single" w:color="auto" w:sz="4" w:space="0"/>
                    <w:right w:val="single" w:color="auto" w:sz="4" w:space="0"/>
                  </w:tcBorders>
                  <w:vAlign w:val="center"/>
                </w:tcPr>
                <w:p>
                  <w:pPr>
                    <w:topLinePunct/>
                    <w:adjustRightInd w:val="0"/>
                    <w:snapToGrid w:val="0"/>
                    <w:jc w:val="center"/>
                    <w:rPr>
                      <w:rFonts w:ascii="Times New Roman" w:hAnsi="Times New Roman"/>
                      <w:kern w:val="0"/>
                      <w:sz w:val="21"/>
                      <w:szCs w:val="21"/>
                    </w:rPr>
                  </w:pPr>
                  <w:r>
                    <w:rPr>
                      <w:rFonts w:ascii="Times New Roman" w:hAnsi="Times New Roman"/>
                      <w:kern w:val="0"/>
                      <w:sz w:val="21"/>
                      <w:szCs w:val="21"/>
                    </w:rPr>
                    <w:t>印刷</w:t>
                  </w:r>
                </w:p>
              </w:tc>
              <w:tc>
                <w:tcPr>
                  <w:tcW w:w="754" w:type="dxa"/>
                  <w:tcBorders>
                    <w:top w:val="single" w:color="auto" w:sz="4" w:space="0"/>
                    <w:left w:val="single" w:color="auto" w:sz="4" w:space="0"/>
                    <w:bottom w:val="single" w:color="auto" w:sz="4" w:space="0"/>
                    <w:right w:val="single" w:color="auto" w:sz="4" w:space="0"/>
                  </w:tcBorders>
                  <w:vAlign w:val="center"/>
                </w:tcPr>
                <w:p>
                  <w:pPr>
                    <w:topLinePunct/>
                    <w:adjustRightInd w:val="0"/>
                    <w:snapToGrid w:val="0"/>
                    <w:jc w:val="center"/>
                    <w:rPr>
                      <w:rFonts w:ascii="Times New Roman" w:hAnsi="Times New Roman"/>
                      <w:kern w:val="0"/>
                      <w:sz w:val="21"/>
                      <w:szCs w:val="21"/>
                    </w:rPr>
                  </w:pPr>
                  <w:r>
                    <w:rPr>
                      <w:rFonts w:ascii="Times New Roman" w:hAnsi="Times New Roman"/>
                      <w:kern w:val="0"/>
                      <w:sz w:val="21"/>
                      <w:szCs w:val="21"/>
                    </w:rPr>
                    <w:t>固态</w:t>
                  </w:r>
                </w:p>
              </w:tc>
              <w:tc>
                <w:tcPr>
                  <w:tcW w:w="1129" w:type="dxa"/>
                  <w:tcBorders>
                    <w:top w:val="single" w:color="auto" w:sz="4" w:space="0"/>
                    <w:left w:val="single" w:color="auto" w:sz="4" w:space="0"/>
                    <w:bottom w:val="single" w:color="auto" w:sz="4" w:space="0"/>
                    <w:right w:val="single" w:color="auto" w:sz="8" w:space="0"/>
                  </w:tcBorders>
                  <w:vAlign w:val="center"/>
                </w:tcPr>
                <w:p>
                  <w:pPr>
                    <w:topLinePunct/>
                    <w:adjustRightInd w:val="0"/>
                    <w:snapToGrid w:val="0"/>
                    <w:jc w:val="center"/>
                    <w:rPr>
                      <w:rFonts w:ascii="Times New Roman" w:hAnsi="Times New Roman"/>
                      <w:kern w:val="0"/>
                      <w:sz w:val="21"/>
                      <w:szCs w:val="21"/>
                    </w:rPr>
                  </w:pPr>
                  <w:r>
                    <w:rPr>
                      <w:rFonts w:ascii="Times New Roman" w:hAnsi="Times New Roman"/>
                      <w:kern w:val="0"/>
                      <w:sz w:val="21"/>
                      <w:szCs w:val="21"/>
                    </w:rPr>
                    <w:t>T/In</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661" w:type="dxa"/>
                  <w:tcBorders>
                    <w:top w:val="single" w:color="auto" w:sz="4" w:space="0"/>
                    <w:left w:val="single" w:color="auto" w:sz="8" w:space="0"/>
                    <w:bottom w:val="single" w:color="auto" w:sz="8" w:space="0"/>
                    <w:right w:val="single" w:color="auto" w:sz="4" w:space="0"/>
                  </w:tcBorders>
                  <w:vAlign w:val="center"/>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3</w:t>
                  </w:r>
                </w:p>
              </w:tc>
              <w:tc>
                <w:tcPr>
                  <w:tcW w:w="1484" w:type="dxa"/>
                  <w:tcBorders>
                    <w:top w:val="single" w:color="auto" w:sz="4" w:space="0"/>
                    <w:left w:val="single" w:color="auto" w:sz="4" w:space="0"/>
                    <w:bottom w:val="single" w:color="auto" w:sz="8" w:space="0"/>
                    <w:right w:val="single" w:color="auto" w:sz="4" w:space="0"/>
                  </w:tcBorders>
                  <w:vAlign w:val="center"/>
                </w:tcPr>
                <w:p>
                  <w:pPr>
                    <w:topLinePunct/>
                    <w:adjustRightInd w:val="0"/>
                    <w:snapToGrid w:val="0"/>
                    <w:spacing w:line="240" w:lineRule="exact"/>
                    <w:jc w:val="center"/>
                    <w:rPr>
                      <w:rFonts w:ascii="Times New Roman" w:hAnsi="Times New Roman"/>
                      <w:kern w:val="0"/>
                      <w:sz w:val="21"/>
                      <w:szCs w:val="21"/>
                    </w:rPr>
                  </w:pPr>
                  <w:r>
                    <w:rPr>
                      <w:rFonts w:ascii="Times New Roman" w:hAnsi="Times New Roman"/>
                      <w:sz w:val="21"/>
                      <w:szCs w:val="21"/>
                    </w:rPr>
                    <w:t>废催化剂</w:t>
                  </w:r>
                </w:p>
              </w:tc>
              <w:tc>
                <w:tcPr>
                  <w:tcW w:w="1684" w:type="dxa"/>
                  <w:tcBorders>
                    <w:top w:val="single" w:color="auto" w:sz="4" w:space="0"/>
                    <w:left w:val="single" w:color="auto" w:sz="4" w:space="0"/>
                    <w:bottom w:val="single" w:color="auto" w:sz="8" w:space="0"/>
                    <w:right w:val="single" w:color="auto" w:sz="4" w:space="0"/>
                  </w:tcBorders>
                  <w:vAlign w:val="center"/>
                </w:tcPr>
                <w:p>
                  <w:pPr>
                    <w:snapToGrid w:val="0"/>
                    <w:jc w:val="center"/>
                    <w:rPr>
                      <w:rFonts w:ascii="Times New Roman" w:hAnsi="Times New Roman"/>
                      <w:kern w:val="2"/>
                      <w:sz w:val="21"/>
                      <w:szCs w:val="21"/>
                    </w:rPr>
                  </w:pPr>
                  <w:r>
                    <w:rPr>
                      <w:rFonts w:ascii="Times New Roman" w:hAnsi="Times New Roman"/>
                      <w:sz w:val="21"/>
                      <w:szCs w:val="21"/>
                    </w:rPr>
                    <w:t>HW50，废催化剂</w:t>
                  </w:r>
                </w:p>
              </w:tc>
              <w:tc>
                <w:tcPr>
                  <w:tcW w:w="1276" w:type="dxa"/>
                  <w:tcBorders>
                    <w:top w:val="single" w:color="auto" w:sz="4" w:space="0"/>
                    <w:left w:val="single" w:color="auto" w:sz="4" w:space="0"/>
                    <w:bottom w:val="single" w:color="auto" w:sz="8" w:space="0"/>
                    <w:right w:val="single" w:color="auto" w:sz="4" w:space="0"/>
                  </w:tcBorders>
                  <w:vAlign w:val="center"/>
                </w:tcPr>
                <w:p>
                  <w:pPr>
                    <w:snapToGrid w:val="0"/>
                    <w:jc w:val="center"/>
                    <w:rPr>
                      <w:rFonts w:ascii="Times New Roman" w:hAnsi="Times New Roman"/>
                      <w:kern w:val="0"/>
                      <w:sz w:val="21"/>
                      <w:szCs w:val="21"/>
                    </w:rPr>
                  </w:pPr>
                  <w:r>
                    <w:rPr>
                      <w:rFonts w:ascii="Times New Roman" w:hAnsi="Times New Roman"/>
                      <w:kern w:val="0"/>
                      <w:sz w:val="21"/>
                      <w:szCs w:val="21"/>
                    </w:rPr>
                    <w:t>772-007-50</w:t>
                  </w:r>
                </w:p>
              </w:tc>
              <w:tc>
                <w:tcPr>
                  <w:tcW w:w="997" w:type="dxa"/>
                  <w:tcBorders>
                    <w:top w:val="single" w:color="auto" w:sz="4" w:space="0"/>
                    <w:left w:val="single" w:color="auto" w:sz="4" w:space="0"/>
                    <w:bottom w:val="single" w:color="auto" w:sz="8" w:space="0"/>
                    <w:right w:val="single" w:color="auto" w:sz="4" w:space="0"/>
                  </w:tcBorders>
                  <w:vAlign w:val="center"/>
                </w:tcPr>
                <w:p>
                  <w:pPr>
                    <w:topLinePunct/>
                    <w:adjustRightInd w:val="0"/>
                    <w:snapToGrid w:val="0"/>
                    <w:spacing w:line="240" w:lineRule="exact"/>
                    <w:jc w:val="center"/>
                    <w:rPr>
                      <w:rFonts w:ascii="Times New Roman" w:hAnsi="Times New Roman"/>
                      <w:kern w:val="0"/>
                      <w:sz w:val="21"/>
                      <w:szCs w:val="21"/>
                    </w:rPr>
                  </w:pPr>
                  <w:r>
                    <w:rPr>
                      <w:rFonts w:ascii="Times New Roman" w:hAnsi="Times New Roman"/>
                      <w:kern w:val="0"/>
                      <w:sz w:val="21"/>
                      <w:szCs w:val="21"/>
                    </w:rPr>
                    <w:t>1t/3a</w:t>
                  </w:r>
                </w:p>
              </w:tc>
              <w:tc>
                <w:tcPr>
                  <w:tcW w:w="1276" w:type="dxa"/>
                  <w:tcBorders>
                    <w:top w:val="single" w:color="auto" w:sz="4" w:space="0"/>
                    <w:left w:val="single" w:color="auto" w:sz="4" w:space="0"/>
                    <w:bottom w:val="single" w:color="auto" w:sz="8" w:space="0"/>
                    <w:right w:val="single" w:color="auto" w:sz="4" w:space="0"/>
                  </w:tcBorders>
                  <w:vAlign w:val="center"/>
                </w:tcPr>
                <w:p>
                  <w:pPr>
                    <w:topLinePunct/>
                    <w:adjustRightInd w:val="0"/>
                    <w:snapToGrid w:val="0"/>
                    <w:spacing w:line="240" w:lineRule="exact"/>
                    <w:jc w:val="center"/>
                    <w:rPr>
                      <w:rFonts w:ascii="Times New Roman" w:hAnsi="Times New Roman"/>
                      <w:kern w:val="0"/>
                      <w:sz w:val="21"/>
                      <w:szCs w:val="21"/>
                    </w:rPr>
                  </w:pPr>
                  <w:r>
                    <w:rPr>
                      <w:rFonts w:ascii="Times New Roman" w:hAnsi="Times New Roman"/>
                      <w:kern w:val="0"/>
                      <w:sz w:val="21"/>
                      <w:szCs w:val="21"/>
                    </w:rPr>
                    <w:t>废气处理装置</w:t>
                  </w:r>
                </w:p>
              </w:tc>
              <w:tc>
                <w:tcPr>
                  <w:tcW w:w="754" w:type="dxa"/>
                  <w:tcBorders>
                    <w:top w:val="single" w:color="auto" w:sz="4" w:space="0"/>
                    <w:left w:val="single" w:color="auto" w:sz="4" w:space="0"/>
                    <w:bottom w:val="single" w:color="auto" w:sz="8" w:space="0"/>
                    <w:right w:val="single" w:color="auto" w:sz="4" w:space="0"/>
                  </w:tcBorders>
                  <w:vAlign w:val="center"/>
                </w:tcPr>
                <w:p>
                  <w:pPr>
                    <w:topLinePunct/>
                    <w:adjustRightInd w:val="0"/>
                    <w:snapToGrid w:val="0"/>
                    <w:spacing w:line="240" w:lineRule="exact"/>
                    <w:jc w:val="center"/>
                    <w:rPr>
                      <w:rFonts w:ascii="Times New Roman" w:hAnsi="Times New Roman"/>
                      <w:kern w:val="0"/>
                      <w:sz w:val="21"/>
                      <w:szCs w:val="21"/>
                    </w:rPr>
                  </w:pPr>
                  <w:r>
                    <w:rPr>
                      <w:rFonts w:ascii="Times New Roman" w:hAnsi="Times New Roman"/>
                      <w:kern w:val="0"/>
                      <w:sz w:val="21"/>
                      <w:szCs w:val="21"/>
                    </w:rPr>
                    <w:t>固态</w:t>
                  </w:r>
                </w:p>
              </w:tc>
              <w:tc>
                <w:tcPr>
                  <w:tcW w:w="1129" w:type="dxa"/>
                  <w:tcBorders>
                    <w:top w:val="single" w:color="auto" w:sz="4" w:space="0"/>
                    <w:left w:val="single" w:color="auto" w:sz="4" w:space="0"/>
                    <w:bottom w:val="single" w:color="auto" w:sz="8" w:space="0"/>
                    <w:right w:val="single" w:color="auto" w:sz="8" w:space="0"/>
                  </w:tcBorders>
                  <w:vAlign w:val="center"/>
                </w:tcPr>
                <w:p>
                  <w:pPr>
                    <w:topLinePunct/>
                    <w:adjustRightInd w:val="0"/>
                    <w:snapToGrid w:val="0"/>
                    <w:spacing w:line="240" w:lineRule="exact"/>
                    <w:jc w:val="center"/>
                    <w:rPr>
                      <w:rFonts w:ascii="Times New Roman" w:hAnsi="Times New Roman"/>
                      <w:kern w:val="0"/>
                      <w:sz w:val="21"/>
                      <w:szCs w:val="21"/>
                    </w:rPr>
                  </w:pPr>
                  <w:r>
                    <w:rPr>
                      <w:rFonts w:ascii="Times New Roman" w:hAnsi="Times New Roman"/>
                      <w:sz w:val="21"/>
                      <w:szCs w:val="21"/>
                    </w:rPr>
                    <w:t>T</w:t>
                  </w:r>
                </w:p>
              </w:tc>
            </w:tr>
          </w:tbl>
          <w:p>
            <w:pPr>
              <w:topLinePunct/>
              <w:adjustRightInd w:val="0"/>
              <w:snapToGrid w:val="0"/>
              <w:spacing w:afterLines="60"/>
              <w:ind w:firstLine="480" w:firstLineChars="200"/>
              <w:jc w:val="center"/>
              <w:rPr>
                <w:rFonts w:ascii="黑体" w:hAnsi="黑体" w:eastAsia="黑体"/>
                <w:sz w:val="22"/>
                <w:szCs w:val="24"/>
              </w:rPr>
            </w:pPr>
            <w:r>
              <w:rPr>
                <w:rFonts w:hint="eastAsia" w:ascii="黑体" w:hAnsi="黑体" w:eastAsia="黑体"/>
                <w:szCs w:val="24"/>
              </w:rPr>
              <w:t>表20 建设项目危险废物贮存场所（设施）基本情况样</w:t>
            </w:r>
            <w:r>
              <w:rPr>
                <w:rFonts w:hint="eastAsia" w:ascii="黑体" w:hAnsi="黑体" w:eastAsia="黑体"/>
                <w:sz w:val="22"/>
                <w:szCs w:val="24"/>
              </w:rPr>
              <w:t>表</w:t>
            </w:r>
          </w:p>
          <w:tbl>
            <w:tblPr>
              <w:tblStyle w:val="30"/>
              <w:tblW w:w="9532"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85"/>
              <w:gridCol w:w="1119"/>
              <w:gridCol w:w="1166"/>
              <w:gridCol w:w="1984"/>
              <w:gridCol w:w="1276"/>
              <w:gridCol w:w="992"/>
              <w:gridCol w:w="709"/>
              <w:gridCol w:w="709"/>
              <w:gridCol w:w="99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52" w:hRule="atLeast"/>
              </w:trPr>
              <w:tc>
                <w:tcPr>
                  <w:tcW w:w="585" w:type="dxa"/>
                  <w:tcBorders>
                    <w:tl2br w:val="nil"/>
                    <w:tr2bl w:val="nil"/>
                  </w:tcBorders>
                  <w:vAlign w:val="center"/>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序号</w:t>
                  </w:r>
                </w:p>
              </w:tc>
              <w:tc>
                <w:tcPr>
                  <w:tcW w:w="1119" w:type="dxa"/>
                  <w:tcBorders>
                    <w:tl2br w:val="nil"/>
                    <w:tr2bl w:val="nil"/>
                  </w:tcBorders>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贮存场所</w:t>
                  </w:r>
                </w:p>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名称</w:t>
                  </w:r>
                </w:p>
              </w:tc>
              <w:tc>
                <w:tcPr>
                  <w:tcW w:w="1166" w:type="dxa"/>
                  <w:tcBorders>
                    <w:tl2br w:val="nil"/>
                    <w:tr2bl w:val="nil"/>
                  </w:tcBorders>
                  <w:vAlign w:val="center"/>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危险废物名称</w:t>
                  </w:r>
                </w:p>
              </w:tc>
              <w:tc>
                <w:tcPr>
                  <w:tcW w:w="1984" w:type="dxa"/>
                  <w:tcBorders>
                    <w:tl2br w:val="nil"/>
                    <w:tr2bl w:val="nil"/>
                  </w:tcBorders>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危险废</w:t>
                  </w:r>
                </w:p>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物类别</w:t>
                  </w:r>
                </w:p>
              </w:tc>
              <w:tc>
                <w:tcPr>
                  <w:tcW w:w="1276" w:type="dxa"/>
                  <w:tcBorders>
                    <w:tl2br w:val="nil"/>
                    <w:tr2bl w:val="nil"/>
                  </w:tcBorders>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危险废物代码</w:t>
                  </w:r>
                </w:p>
              </w:tc>
              <w:tc>
                <w:tcPr>
                  <w:tcW w:w="992" w:type="dxa"/>
                  <w:tcBorders>
                    <w:tl2br w:val="nil"/>
                    <w:tr2bl w:val="nil"/>
                  </w:tcBorders>
                  <w:vAlign w:val="center"/>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位置</w:t>
                  </w:r>
                </w:p>
              </w:tc>
              <w:tc>
                <w:tcPr>
                  <w:tcW w:w="709" w:type="dxa"/>
                  <w:tcBorders>
                    <w:tl2br w:val="nil"/>
                    <w:tr2bl w:val="nil"/>
                  </w:tcBorders>
                  <w:vAlign w:val="center"/>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占地面积</w:t>
                  </w:r>
                </w:p>
              </w:tc>
              <w:tc>
                <w:tcPr>
                  <w:tcW w:w="709" w:type="dxa"/>
                  <w:tcBorders>
                    <w:tl2br w:val="nil"/>
                    <w:tr2bl w:val="nil"/>
                  </w:tcBorders>
                  <w:vAlign w:val="center"/>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贮存方式</w:t>
                  </w:r>
                </w:p>
              </w:tc>
              <w:tc>
                <w:tcPr>
                  <w:tcW w:w="992" w:type="dxa"/>
                  <w:tcBorders>
                    <w:tl2br w:val="nil"/>
                    <w:tr2bl w:val="nil"/>
                  </w:tcBorders>
                  <w:vAlign w:val="center"/>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贮存</w:t>
                  </w:r>
                </w:p>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周期</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544" w:hRule="atLeast"/>
              </w:trPr>
              <w:tc>
                <w:tcPr>
                  <w:tcW w:w="585" w:type="dxa"/>
                  <w:tcBorders>
                    <w:tl2br w:val="nil"/>
                    <w:tr2bl w:val="nil"/>
                  </w:tcBorders>
                  <w:vAlign w:val="center"/>
                </w:tcPr>
                <w:p>
                  <w:pPr>
                    <w:topLinePunct/>
                    <w:adjustRightInd w:val="0"/>
                    <w:snapToGrid w:val="0"/>
                    <w:jc w:val="center"/>
                    <w:rPr>
                      <w:rFonts w:ascii="Times New Roman" w:hAnsi="Times New Roman"/>
                      <w:kern w:val="0"/>
                      <w:sz w:val="21"/>
                      <w:szCs w:val="21"/>
                    </w:rPr>
                  </w:pPr>
                  <w:r>
                    <w:rPr>
                      <w:rFonts w:ascii="Times New Roman" w:hAnsi="Times New Roman"/>
                      <w:kern w:val="0"/>
                      <w:sz w:val="21"/>
                      <w:szCs w:val="21"/>
                    </w:rPr>
                    <w:t>1</w:t>
                  </w:r>
                </w:p>
              </w:tc>
              <w:tc>
                <w:tcPr>
                  <w:tcW w:w="1119" w:type="dxa"/>
                  <w:vMerge w:val="restart"/>
                  <w:tcBorders>
                    <w:tl2br w:val="nil"/>
                    <w:tr2bl w:val="nil"/>
                  </w:tcBorders>
                </w:tcPr>
                <w:p>
                  <w:pPr>
                    <w:topLinePunct/>
                    <w:adjustRightInd w:val="0"/>
                    <w:snapToGrid w:val="0"/>
                    <w:jc w:val="center"/>
                    <w:rPr>
                      <w:rFonts w:ascii="Times New Roman" w:hAnsi="Times New Roman"/>
                      <w:kern w:val="0"/>
                      <w:sz w:val="21"/>
                      <w:szCs w:val="21"/>
                    </w:rPr>
                  </w:pPr>
                </w:p>
                <w:p>
                  <w:pPr>
                    <w:topLinePunct/>
                    <w:adjustRightInd w:val="0"/>
                    <w:snapToGrid w:val="0"/>
                    <w:jc w:val="center"/>
                    <w:rPr>
                      <w:rFonts w:ascii="Times New Roman" w:hAnsi="Times New Roman"/>
                      <w:kern w:val="0"/>
                      <w:sz w:val="21"/>
                      <w:szCs w:val="21"/>
                    </w:rPr>
                  </w:pPr>
                </w:p>
                <w:p>
                  <w:pPr>
                    <w:topLinePunct/>
                    <w:adjustRightInd w:val="0"/>
                    <w:snapToGrid w:val="0"/>
                    <w:jc w:val="center"/>
                    <w:rPr>
                      <w:rFonts w:ascii="Times New Roman" w:hAnsi="Times New Roman"/>
                      <w:kern w:val="0"/>
                      <w:sz w:val="21"/>
                      <w:szCs w:val="21"/>
                    </w:rPr>
                  </w:pPr>
                </w:p>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危废库</w:t>
                  </w:r>
                </w:p>
              </w:tc>
              <w:tc>
                <w:tcPr>
                  <w:tcW w:w="1166" w:type="dxa"/>
                  <w:tcBorders>
                    <w:tl2br w:val="nil"/>
                    <w:tr2bl w:val="nil"/>
                  </w:tcBorders>
                </w:tcPr>
                <w:p>
                  <w:pPr>
                    <w:topLinePunct/>
                    <w:adjustRightInd w:val="0"/>
                    <w:snapToGrid w:val="0"/>
                    <w:jc w:val="center"/>
                    <w:rPr>
                      <w:rFonts w:ascii="Times New Roman" w:hAnsi="Times New Roman"/>
                      <w:kern w:val="0"/>
                      <w:sz w:val="21"/>
                      <w:szCs w:val="21"/>
                    </w:rPr>
                  </w:pPr>
                  <w:r>
                    <w:rPr>
                      <w:sz w:val="21"/>
                      <w:szCs w:val="21"/>
                    </w:rPr>
                    <w:t>废活性炭</w:t>
                  </w:r>
                </w:p>
              </w:tc>
              <w:tc>
                <w:tcPr>
                  <w:tcW w:w="1984" w:type="dxa"/>
                  <w:tcBorders>
                    <w:tl2br w:val="nil"/>
                    <w:tr2bl w:val="nil"/>
                  </w:tcBorders>
                  <w:vAlign w:val="center"/>
                </w:tcPr>
                <w:p>
                  <w:pPr>
                    <w:topLinePunct/>
                    <w:adjustRightInd w:val="0"/>
                    <w:snapToGrid w:val="0"/>
                    <w:jc w:val="center"/>
                    <w:rPr>
                      <w:rFonts w:ascii="Times New Roman" w:hAnsi="Times New Roman"/>
                      <w:kern w:val="0"/>
                      <w:sz w:val="21"/>
                      <w:szCs w:val="21"/>
                    </w:rPr>
                  </w:pPr>
                  <w:r>
                    <w:rPr>
                      <w:rFonts w:ascii="Times New Roman" w:hAnsi="Times New Roman"/>
                      <w:sz w:val="21"/>
                      <w:szCs w:val="21"/>
                    </w:rPr>
                    <w:t>HW49</w:t>
                  </w:r>
                  <w:r>
                    <w:rPr>
                      <w:rFonts w:hint="eastAsia" w:ascii="Times New Roman" w:hAnsi="Times New Roman"/>
                      <w:sz w:val="21"/>
                      <w:szCs w:val="21"/>
                    </w:rPr>
                    <w:t>其他废物</w:t>
                  </w:r>
                </w:p>
              </w:tc>
              <w:tc>
                <w:tcPr>
                  <w:tcW w:w="1276" w:type="dxa"/>
                  <w:tcBorders>
                    <w:tl2br w:val="nil"/>
                    <w:tr2bl w:val="nil"/>
                  </w:tcBorders>
                  <w:vAlign w:val="center"/>
                </w:tcPr>
                <w:p>
                  <w:pPr>
                    <w:topLinePunct/>
                    <w:adjustRightInd w:val="0"/>
                    <w:snapToGrid w:val="0"/>
                    <w:jc w:val="center"/>
                    <w:rPr>
                      <w:rFonts w:ascii="Times New Roman" w:hAnsi="Times New Roman"/>
                      <w:kern w:val="0"/>
                      <w:sz w:val="21"/>
                      <w:szCs w:val="21"/>
                    </w:rPr>
                  </w:pPr>
                  <w:r>
                    <w:rPr>
                      <w:rFonts w:ascii="Times New Roman" w:hAnsi="Times New Roman"/>
                      <w:sz w:val="21"/>
                      <w:szCs w:val="21"/>
                    </w:rPr>
                    <w:t>900-041-49</w:t>
                  </w:r>
                </w:p>
              </w:tc>
              <w:tc>
                <w:tcPr>
                  <w:tcW w:w="992" w:type="dxa"/>
                  <w:vMerge w:val="restart"/>
                  <w:tcBorders>
                    <w:tl2br w:val="nil"/>
                    <w:tr2bl w:val="nil"/>
                  </w:tcBorders>
                  <w:vAlign w:val="center"/>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厂区西侧</w:t>
                  </w:r>
                </w:p>
              </w:tc>
              <w:tc>
                <w:tcPr>
                  <w:tcW w:w="709" w:type="dxa"/>
                  <w:vMerge w:val="restart"/>
                  <w:tcBorders>
                    <w:tl2br w:val="nil"/>
                    <w:tr2bl w:val="nil"/>
                  </w:tcBorders>
                  <w:vAlign w:val="center"/>
                </w:tcPr>
                <w:p>
                  <w:pPr>
                    <w:topLinePunct/>
                    <w:adjustRightInd w:val="0"/>
                    <w:snapToGrid w:val="0"/>
                    <w:jc w:val="center"/>
                    <w:rPr>
                      <w:rFonts w:ascii="Times New Roman" w:hAnsi="Times New Roman"/>
                      <w:kern w:val="0"/>
                      <w:sz w:val="21"/>
                      <w:szCs w:val="21"/>
                    </w:rPr>
                  </w:pPr>
                  <w:r>
                    <w:rPr>
                      <w:rFonts w:ascii="Times New Roman" w:hAnsi="Times New Roman"/>
                      <w:kern w:val="0"/>
                      <w:sz w:val="21"/>
                      <w:szCs w:val="21"/>
                    </w:rPr>
                    <w:t>10m</w:t>
                  </w:r>
                  <w:r>
                    <w:rPr>
                      <w:rFonts w:ascii="Times New Roman" w:hAnsi="Times New Roman"/>
                      <w:kern w:val="0"/>
                      <w:sz w:val="21"/>
                      <w:szCs w:val="21"/>
                      <w:vertAlign w:val="superscript"/>
                    </w:rPr>
                    <w:t>2</w:t>
                  </w:r>
                </w:p>
              </w:tc>
              <w:tc>
                <w:tcPr>
                  <w:tcW w:w="709" w:type="dxa"/>
                  <w:vMerge w:val="restart"/>
                  <w:tcBorders>
                    <w:tl2br w:val="nil"/>
                    <w:tr2bl w:val="nil"/>
                  </w:tcBorders>
                  <w:vAlign w:val="center"/>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桶装</w:t>
                  </w:r>
                </w:p>
              </w:tc>
              <w:tc>
                <w:tcPr>
                  <w:tcW w:w="992" w:type="dxa"/>
                  <w:tcBorders>
                    <w:tl2br w:val="nil"/>
                    <w:tr2bl w:val="nil"/>
                  </w:tcBorders>
                  <w:vAlign w:val="center"/>
                </w:tcPr>
                <w:p>
                  <w:pPr>
                    <w:topLinePunct/>
                    <w:adjustRightInd w:val="0"/>
                    <w:snapToGrid w:val="0"/>
                    <w:jc w:val="center"/>
                    <w:rPr>
                      <w:rFonts w:ascii="Times New Roman" w:hAnsi="Times New Roman"/>
                      <w:kern w:val="0"/>
                      <w:sz w:val="21"/>
                      <w:szCs w:val="21"/>
                    </w:rPr>
                  </w:pPr>
                  <w:r>
                    <w:rPr>
                      <w:rFonts w:ascii="Times New Roman" w:hAnsi="Times New Roman"/>
                      <w:kern w:val="0"/>
                      <w:sz w:val="21"/>
                      <w:szCs w:val="21"/>
                    </w:rPr>
                    <w:t>1</w:t>
                  </w:r>
                  <w:r>
                    <w:rPr>
                      <w:rFonts w:hint="eastAsia" w:ascii="Times New Roman" w:hAnsi="Times New Roman"/>
                      <w:kern w:val="0"/>
                      <w:sz w:val="21"/>
                      <w:szCs w:val="21"/>
                    </w:rPr>
                    <w:t>年</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544" w:hRule="atLeast"/>
              </w:trPr>
              <w:tc>
                <w:tcPr>
                  <w:tcW w:w="585" w:type="dxa"/>
                  <w:tcBorders>
                    <w:tl2br w:val="nil"/>
                    <w:tr2bl w:val="nil"/>
                  </w:tcBorders>
                  <w:vAlign w:val="center"/>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2</w:t>
                  </w:r>
                </w:p>
              </w:tc>
              <w:tc>
                <w:tcPr>
                  <w:tcW w:w="1119" w:type="dxa"/>
                  <w:vMerge w:val="continue"/>
                  <w:tcBorders>
                    <w:tl2br w:val="nil"/>
                    <w:tr2bl w:val="nil"/>
                  </w:tcBorders>
                </w:tcPr>
                <w:p>
                  <w:pPr>
                    <w:topLinePunct/>
                    <w:adjustRightInd w:val="0"/>
                    <w:snapToGrid w:val="0"/>
                    <w:jc w:val="center"/>
                    <w:rPr>
                      <w:rFonts w:ascii="Times New Roman" w:hAnsi="Times New Roman"/>
                      <w:kern w:val="0"/>
                      <w:sz w:val="21"/>
                      <w:szCs w:val="21"/>
                    </w:rPr>
                  </w:pPr>
                </w:p>
              </w:tc>
              <w:tc>
                <w:tcPr>
                  <w:tcW w:w="1166" w:type="dxa"/>
                  <w:tcBorders>
                    <w:tl2br w:val="nil"/>
                    <w:tr2bl w:val="nil"/>
                  </w:tcBorders>
                </w:tcPr>
                <w:p>
                  <w:pPr>
                    <w:topLinePunct/>
                    <w:adjustRightInd w:val="0"/>
                    <w:snapToGrid w:val="0"/>
                    <w:jc w:val="center"/>
                    <w:rPr>
                      <w:rFonts w:ascii="Times New Roman" w:hAnsi="Times New Roman"/>
                      <w:kern w:val="0"/>
                      <w:sz w:val="21"/>
                      <w:szCs w:val="21"/>
                    </w:rPr>
                  </w:pPr>
                  <w:r>
                    <w:rPr>
                      <w:sz w:val="21"/>
                      <w:szCs w:val="21"/>
                    </w:rPr>
                    <w:t>废</w:t>
                  </w:r>
                  <w:r>
                    <w:rPr>
                      <w:rFonts w:hint="eastAsia"/>
                      <w:sz w:val="21"/>
                      <w:szCs w:val="21"/>
                    </w:rPr>
                    <w:t>油墨盒</w:t>
                  </w:r>
                </w:p>
              </w:tc>
              <w:tc>
                <w:tcPr>
                  <w:tcW w:w="1984" w:type="dxa"/>
                  <w:tcBorders>
                    <w:tl2br w:val="nil"/>
                    <w:tr2bl w:val="nil"/>
                  </w:tcBorders>
                  <w:vAlign w:val="center"/>
                </w:tcPr>
                <w:p>
                  <w:pPr>
                    <w:topLinePunct/>
                    <w:adjustRightInd w:val="0"/>
                    <w:snapToGrid w:val="0"/>
                    <w:jc w:val="center"/>
                    <w:rPr>
                      <w:rFonts w:ascii="Times New Roman" w:hAnsi="Times New Roman"/>
                      <w:kern w:val="0"/>
                      <w:sz w:val="21"/>
                      <w:szCs w:val="21"/>
                    </w:rPr>
                  </w:pPr>
                  <w:r>
                    <w:rPr>
                      <w:rFonts w:ascii="Times New Roman" w:hAnsi="Times New Roman"/>
                      <w:sz w:val="21"/>
                      <w:szCs w:val="21"/>
                    </w:rPr>
                    <w:t>HW49</w:t>
                  </w:r>
                  <w:r>
                    <w:rPr>
                      <w:rFonts w:hint="eastAsia" w:ascii="Times New Roman" w:hAnsi="Times New Roman"/>
                      <w:sz w:val="21"/>
                      <w:szCs w:val="21"/>
                    </w:rPr>
                    <w:t>其他废物</w:t>
                  </w:r>
                </w:p>
              </w:tc>
              <w:tc>
                <w:tcPr>
                  <w:tcW w:w="1276" w:type="dxa"/>
                  <w:tcBorders>
                    <w:tl2br w:val="nil"/>
                    <w:tr2bl w:val="nil"/>
                  </w:tcBorders>
                  <w:vAlign w:val="center"/>
                </w:tcPr>
                <w:p>
                  <w:pPr>
                    <w:topLinePunct/>
                    <w:adjustRightInd w:val="0"/>
                    <w:snapToGrid w:val="0"/>
                    <w:jc w:val="center"/>
                    <w:rPr>
                      <w:rFonts w:ascii="Times New Roman" w:hAnsi="Times New Roman"/>
                      <w:kern w:val="0"/>
                      <w:sz w:val="21"/>
                      <w:szCs w:val="21"/>
                    </w:rPr>
                  </w:pPr>
                  <w:r>
                    <w:rPr>
                      <w:rFonts w:ascii="Times New Roman" w:hAnsi="Times New Roman"/>
                      <w:sz w:val="21"/>
                      <w:szCs w:val="21"/>
                    </w:rPr>
                    <w:t>900-041-49</w:t>
                  </w:r>
                </w:p>
              </w:tc>
              <w:tc>
                <w:tcPr>
                  <w:tcW w:w="992" w:type="dxa"/>
                  <w:vMerge w:val="continue"/>
                  <w:tcBorders>
                    <w:tl2br w:val="nil"/>
                    <w:tr2bl w:val="nil"/>
                  </w:tcBorders>
                  <w:vAlign w:val="center"/>
                </w:tcPr>
                <w:p>
                  <w:pPr>
                    <w:topLinePunct/>
                    <w:adjustRightInd w:val="0"/>
                    <w:snapToGrid w:val="0"/>
                    <w:jc w:val="center"/>
                    <w:rPr>
                      <w:rFonts w:ascii="Times New Roman" w:hAnsi="Times New Roman"/>
                      <w:kern w:val="0"/>
                      <w:sz w:val="21"/>
                      <w:szCs w:val="21"/>
                    </w:rPr>
                  </w:pPr>
                </w:p>
              </w:tc>
              <w:tc>
                <w:tcPr>
                  <w:tcW w:w="709" w:type="dxa"/>
                  <w:vMerge w:val="continue"/>
                  <w:tcBorders>
                    <w:tl2br w:val="nil"/>
                    <w:tr2bl w:val="nil"/>
                  </w:tcBorders>
                  <w:vAlign w:val="center"/>
                </w:tcPr>
                <w:p>
                  <w:pPr>
                    <w:topLinePunct/>
                    <w:adjustRightInd w:val="0"/>
                    <w:snapToGrid w:val="0"/>
                    <w:jc w:val="center"/>
                    <w:rPr>
                      <w:rFonts w:ascii="Times New Roman" w:hAnsi="Times New Roman"/>
                      <w:kern w:val="0"/>
                      <w:sz w:val="21"/>
                      <w:szCs w:val="21"/>
                    </w:rPr>
                  </w:pPr>
                </w:p>
              </w:tc>
              <w:tc>
                <w:tcPr>
                  <w:tcW w:w="709" w:type="dxa"/>
                  <w:vMerge w:val="continue"/>
                  <w:tcBorders>
                    <w:tl2br w:val="nil"/>
                    <w:tr2bl w:val="nil"/>
                  </w:tcBorders>
                  <w:vAlign w:val="center"/>
                </w:tcPr>
                <w:p>
                  <w:pPr>
                    <w:topLinePunct/>
                    <w:adjustRightInd w:val="0"/>
                    <w:snapToGrid w:val="0"/>
                    <w:jc w:val="center"/>
                    <w:rPr>
                      <w:rFonts w:ascii="Times New Roman" w:hAnsi="Times New Roman"/>
                      <w:kern w:val="0"/>
                      <w:sz w:val="21"/>
                      <w:szCs w:val="21"/>
                    </w:rPr>
                  </w:pPr>
                </w:p>
              </w:tc>
              <w:tc>
                <w:tcPr>
                  <w:tcW w:w="992" w:type="dxa"/>
                  <w:tcBorders>
                    <w:tl2br w:val="nil"/>
                    <w:tr2bl w:val="nil"/>
                  </w:tcBorders>
                  <w:vAlign w:val="center"/>
                </w:tcPr>
                <w:p>
                  <w:pPr>
                    <w:topLinePunct/>
                    <w:adjustRightInd w:val="0"/>
                    <w:snapToGrid w:val="0"/>
                    <w:jc w:val="center"/>
                    <w:rPr>
                      <w:rFonts w:ascii="Times New Roman" w:hAnsi="Times New Roman"/>
                      <w:kern w:val="0"/>
                      <w:sz w:val="21"/>
                      <w:szCs w:val="21"/>
                    </w:rPr>
                  </w:pPr>
                  <w:r>
                    <w:rPr>
                      <w:rFonts w:ascii="Times New Roman" w:hAnsi="Times New Roman"/>
                      <w:kern w:val="0"/>
                      <w:sz w:val="21"/>
                      <w:szCs w:val="21"/>
                    </w:rPr>
                    <w:t>1</w:t>
                  </w:r>
                  <w:r>
                    <w:rPr>
                      <w:rFonts w:hint="eastAsia" w:ascii="Times New Roman" w:hAnsi="Times New Roman"/>
                      <w:kern w:val="0"/>
                      <w:sz w:val="21"/>
                      <w:szCs w:val="21"/>
                    </w:rPr>
                    <w:t>年</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544" w:hRule="atLeast"/>
              </w:trPr>
              <w:tc>
                <w:tcPr>
                  <w:tcW w:w="585" w:type="dxa"/>
                  <w:tcBorders>
                    <w:tl2br w:val="nil"/>
                    <w:tr2bl w:val="nil"/>
                  </w:tcBorders>
                  <w:vAlign w:val="center"/>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3</w:t>
                  </w:r>
                </w:p>
              </w:tc>
              <w:tc>
                <w:tcPr>
                  <w:tcW w:w="1119" w:type="dxa"/>
                  <w:vMerge w:val="continue"/>
                  <w:tcBorders>
                    <w:tl2br w:val="nil"/>
                    <w:tr2bl w:val="nil"/>
                  </w:tcBorders>
                  <w:vAlign w:val="center"/>
                </w:tcPr>
                <w:p>
                  <w:pPr>
                    <w:topLinePunct/>
                    <w:adjustRightInd w:val="0"/>
                    <w:snapToGrid w:val="0"/>
                    <w:spacing w:line="240" w:lineRule="exact"/>
                    <w:jc w:val="center"/>
                    <w:rPr>
                      <w:rFonts w:ascii="Times New Roman" w:hAnsi="Times New Roman"/>
                      <w:kern w:val="0"/>
                      <w:sz w:val="21"/>
                      <w:szCs w:val="21"/>
                    </w:rPr>
                  </w:pPr>
                </w:p>
              </w:tc>
              <w:tc>
                <w:tcPr>
                  <w:tcW w:w="1166" w:type="dxa"/>
                  <w:tcBorders>
                    <w:tl2br w:val="nil"/>
                    <w:tr2bl w:val="nil"/>
                  </w:tcBorders>
                  <w:vAlign w:val="center"/>
                </w:tcPr>
                <w:p>
                  <w:pPr>
                    <w:topLinePunct/>
                    <w:adjustRightInd w:val="0"/>
                    <w:snapToGrid w:val="0"/>
                    <w:spacing w:line="240" w:lineRule="exact"/>
                    <w:jc w:val="center"/>
                    <w:rPr>
                      <w:rFonts w:ascii="Times New Roman" w:hAnsi="Times New Roman"/>
                      <w:kern w:val="0"/>
                      <w:sz w:val="21"/>
                      <w:szCs w:val="21"/>
                    </w:rPr>
                  </w:pPr>
                  <w:r>
                    <w:rPr>
                      <w:rFonts w:ascii="Times New Roman" w:hAnsi="Times New Roman"/>
                      <w:sz w:val="21"/>
                      <w:szCs w:val="21"/>
                    </w:rPr>
                    <w:t>废催化剂</w:t>
                  </w:r>
                </w:p>
              </w:tc>
              <w:tc>
                <w:tcPr>
                  <w:tcW w:w="1984" w:type="dxa"/>
                  <w:tcBorders>
                    <w:tl2br w:val="nil"/>
                    <w:tr2bl w:val="nil"/>
                  </w:tcBorders>
                  <w:vAlign w:val="center"/>
                </w:tcPr>
                <w:p>
                  <w:pPr>
                    <w:snapToGrid w:val="0"/>
                    <w:jc w:val="center"/>
                    <w:rPr>
                      <w:rFonts w:ascii="Times New Roman" w:hAnsi="Times New Roman"/>
                      <w:kern w:val="2"/>
                      <w:sz w:val="21"/>
                      <w:szCs w:val="21"/>
                    </w:rPr>
                  </w:pPr>
                  <w:r>
                    <w:rPr>
                      <w:rFonts w:ascii="Times New Roman" w:hAnsi="Times New Roman"/>
                      <w:sz w:val="21"/>
                      <w:szCs w:val="21"/>
                    </w:rPr>
                    <w:t>HW50，废催化剂</w:t>
                  </w:r>
                </w:p>
              </w:tc>
              <w:tc>
                <w:tcPr>
                  <w:tcW w:w="1276" w:type="dxa"/>
                  <w:tcBorders>
                    <w:tl2br w:val="nil"/>
                    <w:tr2bl w:val="nil"/>
                  </w:tcBorders>
                  <w:vAlign w:val="center"/>
                </w:tcPr>
                <w:p>
                  <w:pPr>
                    <w:snapToGrid w:val="0"/>
                    <w:jc w:val="center"/>
                    <w:rPr>
                      <w:rFonts w:ascii="Times New Roman" w:hAnsi="Times New Roman"/>
                      <w:kern w:val="0"/>
                      <w:sz w:val="21"/>
                      <w:szCs w:val="21"/>
                    </w:rPr>
                  </w:pPr>
                  <w:r>
                    <w:rPr>
                      <w:rFonts w:ascii="Times New Roman" w:hAnsi="Times New Roman"/>
                      <w:kern w:val="0"/>
                      <w:sz w:val="21"/>
                      <w:szCs w:val="21"/>
                    </w:rPr>
                    <w:t>772-007-50</w:t>
                  </w:r>
                </w:p>
              </w:tc>
              <w:tc>
                <w:tcPr>
                  <w:tcW w:w="992" w:type="dxa"/>
                  <w:vMerge w:val="continue"/>
                  <w:tcBorders>
                    <w:tl2br w:val="nil"/>
                    <w:tr2bl w:val="nil"/>
                  </w:tcBorders>
                  <w:vAlign w:val="center"/>
                </w:tcPr>
                <w:p>
                  <w:pPr>
                    <w:topLinePunct/>
                    <w:adjustRightInd w:val="0"/>
                    <w:snapToGrid w:val="0"/>
                    <w:spacing w:line="240" w:lineRule="exact"/>
                    <w:jc w:val="center"/>
                    <w:rPr>
                      <w:rFonts w:ascii="Times New Roman" w:hAnsi="Times New Roman"/>
                      <w:kern w:val="0"/>
                      <w:sz w:val="21"/>
                      <w:szCs w:val="21"/>
                    </w:rPr>
                  </w:pPr>
                </w:p>
              </w:tc>
              <w:tc>
                <w:tcPr>
                  <w:tcW w:w="709" w:type="dxa"/>
                  <w:vMerge w:val="continue"/>
                  <w:tcBorders>
                    <w:tl2br w:val="nil"/>
                    <w:tr2bl w:val="nil"/>
                  </w:tcBorders>
                  <w:vAlign w:val="center"/>
                </w:tcPr>
                <w:p>
                  <w:pPr>
                    <w:topLinePunct/>
                    <w:adjustRightInd w:val="0"/>
                    <w:snapToGrid w:val="0"/>
                    <w:jc w:val="center"/>
                    <w:rPr>
                      <w:rFonts w:ascii="Times New Roman" w:hAnsi="Times New Roman"/>
                      <w:kern w:val="0"/>
                      <w:sz w:val="21"/>
                      <w:szCs w:val="21"/>
                    </w:rPr>
                  </w:pPr>
                </w:p>
              </w:tc>
              <w:tc>
                <w:tcPr>
                  <w:tcW w:w="709" w:type="dxa"/>
                  <w:vMerge w:val="continue"/>
                  <w:tcBorders>
                    <w:tl2br w:val="nil"/>
                    <w:tr2bl w:val="nil"/>
                  </w:tcBorders>
                  <w:vAlign w:val="center"/>
                </w:tcPr>
                <w:p>
                  <w:pPr>
                    <w:topLinePunct/>
                    <w:adjustRightInd w:val="0"/>
                    <w:snapToGrid w:val="0"/>
                    <w:jc w:val="center"/>
                    <w:rPr>
                      <w:rFonts w:ascii="Times New Roman" w:hAnsi="Times New Roman"/>
                      <w:kern w:val="0"/>
                      <w:sz w:val="21"/>
                      <w:szCs w:val="21"/>
                    </w:rPr>
                  </w:pPr>
                </w:p>
              </w:tc>
              <w:tc>
                <w:tcPr>
                  <w:tcW w:w="992" w:type="dxa"/>
                  <w:tcBorders>
                    <w:tl2br w:val="nil"/>
                    <w:tr2bl w:val="nil"/>
                  </w:tcBorders>
                  <w:vAlign w:val="center"/>
                </w:tcPr>
                <w:p>
                  <w:pPr>
                    <w:topLinePunct/>
                    <w:adjustRightInd w:val="0"/>
                    <w:snapToGrid w:val="0"/>
                    <w:jc w:val="center"/>
                    <w:rPr>
                      <w:rFonts w:ascii="Times New Roman" w:hAnsi="Times New Roman"/>
                      <w:kern w:val="0"/>
                      <w:sz w:val="21"/>
                      <w:szCs w:val="21"/>
                    </w:rPr>
                  </w:pPr>
                  <w:r>
                    <w:rPr>
                      <w:rFonts w:ascii="Times New Roman" w:hAnsi="Times New Roman"/>
                      <w:kern w:val="0"/>
                      <w:sz w:val="21"/>
                      <w:szCs w:val="21"/>
                    </w:rPr>
                    <w:t>1</w:t>
                  </w:r>
                  <w:r>
                    <w:rPr>
                      <w:rFonts w:hint="eastAsia" w:ascii="Times New Roman" w:hAnsi="Times New Roman"/>
                      <w:kern w:val="0"/>
                      <w:sz w:val="21"/>
                      <w:szCs w:val="21"/>
                    </w:rPr>
                    <w:t>年</w:t>
                  </w:r>
                </w:p>
              </w:tc>
            </w:tr>
          </w:tbl>
          <w:p>
            <w:pPr>
              <w:spacing w:line="360" w:lineRule="auto"/>
              <w:ind w:firstLine="480" w:firstLineChars="200"/>
              <w:rPr>
                <w:rFonts w:ascii="Times New Roman" w:hAnsi="Times New Roman" w:eastAsia="黑体"/>
              </w:rPr>
            </w:pPr>
            <w:r>
              <w:rPr>
                <w:rFonts w:ascii="Times New Roman" w:hAnsi="Times New Roman" w:eastAsia="黑体"/>
              </w:rPr>
              <w:t>5、环境风险分析</w:t>
            </w:r>
          </w:p>
          <w:p>
            <w:pPr>
              <w:spacing w:line="360" w:lineRule="auto"/>
              <w:ind w:firstLine="480" w:firstLineChars="200"/>
              <w:rPr>
                <w:rFonts w:ascii="Times New Roman" w:hAnsi="Times New Roman"/>
              </w:rPr>
            </w:pPr>
            <w:r>
              <w:rPr>
                <w:rFonts w:ascii="Times New Roman" w:hAnsi="Times New Roman"/>
              </w:rPr>
              <w:t>根据《建设项目环境风险评价技术导则》（HJ169-2018），项目化学品存储量较低，风险潜势为I，不构成重大风险源，</w:t>
            </w:r>
            <w:r>
              <w:rPr>
                <w:rFonts w:ascii="Times New Roman" w:hAnsi="Times New Roman"/>
                <w:kern w:val="2"/>
              </w:rPr>
              <w:t>但是存在</w:t>
            </w:r>
            <w:r>
              <w:rPr>
                <w:rFonts w:hint="eastAsia" w:ascii="Times New Roman" w:hAnsi="Times New Roman"/>
                <w:kern w:val="2"/>
              </w:rPr>
              <w:t>油墨</w:t>
            </w:r>
            <w:r>
              <w:rPr>
                <w:rFonts w:ascii="Times New Roman" w:hAnsi="Times New Roman"/>
                <w:kern w:val="2"/>
              </w:rPr>
              <w:t>等液态物料的泄露风险，因此必须加强风险管理。在加强监管的前提下，液态物料泄漏的可能性较低，对周围环境影响较小。</w:t>
            </w:r>
            <w:bookmarkEnd w:id="10"/>
            <w:bookmarkEnd w:id="13"/>
            <w:bookmarkEnd w:id="16"/>
          </w:p>
        </w:tc>
      </w:tr>
      <w:bookmarkEnd w:id="8"/>
    </w:tbl>
    <w:p>
      <w:pPr>
        <w:spacing w:line="540" w:lineRule="exact"/>
        <w:jc w:val="center"/>
        <w:rPr>
          <w:rFonts w:ascii="Times New Roman" w:hAnsi="Times New Roman"/>
          <w:spacing w:val="20"/>
        </w:rPr>
        <w:sectPr>
          <w:pgSz w:w="11906" w:h="16838"/>
          <w:pgMar w:top="1440" w:right="964" w:bottom="1440" w:left="964" w:header="851" w:footer="992" w:gutter="397"/>
          <w:cols w:space="720" w:num="1"/>
          <w:docGrid w:linePitch="312" w:charSpace="0"/>
        </w:sectPr>
      </w:pPr>
    </w:p>
    <w:p>
      <w:pPr>
        <w:spacing w:afterLines="50" w:line="540" w:lineRule="exact"/>
        <w:outlineLvl w:val="0"/>
        <w:rPr>
          <w:rFonts w:ascii="Times New Roman" w:hAnsi="Times New Roman" w:eastAsia="黑体"/>
          <w:spacing w:val="20"/>
          <w:sz w:val="28"/>
        </w:rPr>
      </w:pPr>
      <w:r>
        <w:rPr>
          <w:rFonts w:ascii="Times New Roman" w:hAnsi="Times New Roman" w:eastAsia="黑体"/>
          <w:spacing w:val="20"/>
          <w:sz w:val="28"/>
        </w:rPr>
        <w:t>项目主要污染物产生及预计排放情况</w:t>
      </w:r>
    </w:p>
    <w:tbl>
      <w:tblPr>
        <w:tblStyle w:val="30"/>
        <w:tblW w:w="956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080"/>
        <w:gridCol w:w="608"/>
        <w:gridCol w:w="467"/>
        <w:gridCol w:w="1985"/>
        <w:gridCol w:w="2551"/>
        <w:gridCol w:w="28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c>
          <w:tcPr>
            <w:tcW w:w="1080" w:type="dxa"/>
            <w:tcBorders>
              <w:tl2br w:val="single" w:color="auto" w:sz="4" w:space="0"/>
            </w:tcBorders>
            <w:vAlign w:val="center"/>
          </w:tcPr>
          <w:p>
            <w:pPr>
              <w:spacing w:line="360" w:lineRule="auto"/>
              <w:jc w:val="center"/>
              <w:rPr>
                <w:rFonts w:ascii="Times New Roman" w:hAnsi="Times New Roman"/>
                <w:spacing w:val="-10"/>
                <w:szCs w:val="24"/>
              </w:rPr>
            </w:pPr>
            <w:r>
              <w:rPr>
                <w:rFonts w:ascii="Times New Roman" w:hAnsi="Times New Roman"/>
                <w:spacing w:val="-10"/>
                <w:szCs w:val="24"/>
              </w:rPr>
              <w:t xml:space="preserve">   内容</w:t>
            </w:r>
          </w:p>
          <w:p>
            <w:pPr>
              <w:spacing w:line="360" w:lineRule="auto"/>
              <w:rPr>
                <w:rFonts w:ascii="Times New Roman" w:hAnsi="Times New Roman"/>
                <w:spacing w:val="-10"/>
                <w:szCs w:val="24"/>
              </w:rPr>
            </w:pPr>
            <w:r>
              <w:rPr>
                <w:rFonts w:ascii="Times New Roman" w:hAnsi="Times New Roman"/>
                <w:spacing w:val="-10"/>
                <w:szCs w:val="24"/>
              </w:rPr>
              <w:t>类型</w:t>
            </w:r>
          </w:p>
        </w:tc>
        <w:tc>
          <w:tcPr>
            <w:tcW w:w="1075" w:type="dxa"/>
            <w:gridSpan w:val="2"/>
            <w:vAlign w:val="center"/>
          </w:tcPr>
          <w:p>
            <w:pPr>
              <w:spacing w:line="360" w:lineRule="auto"/>
              <w:jc w:val="center"/>
              <w:rPr>
                <w:rFonts w:ascii="Times New Roman" w:hAnsi="Times New Roman"/>
                <w:spacing w:val="-10"/>
                <w:szCs w:val="24"/>
              </w:rPr>
            </w:pPr>
            <w:r>
              <w:rPr>
                <w:rFonts w:ascii="Times New Roman" w:hAnsi="Times New Roman"/>
                <w:spacing w:val="-10"/>
                <w:szCs w:val="24"/>
              </w:rPr>
              <w:t>排放源</w:t>
            </w:r>
          </w:p>
          <w:p>
            <w:pPr>
              <w:spacing w:line="360" w:lineRule="auto"/>
              <w:jc w:val="center"/>
              <w:rPr>
                <w:rFonts w:ascii="Times New Roman" w:hAnsi="Times New Roman"/>
                <w:spacing w:val="-10"/>
                <w:szCs w:val="24"/>
              </w:rPr>
            </w:pPr>
            <w:r>
              <w:rPr>
                <w:rFonts w:ascii="Times New Roman" w:hAnsi="Times New Roman"/>
                <w:spacing w:val="-10"/>
                <w:szCs w:val="24"/>
              </w:rPr>
              <w:t>（编号）</w:t>
            </w:r>
          </w:p>
        </w:tc>
        <w:tc>
          <w:tcPr>
            <w:tcW w:w="1985" w:type="dxa"/>
            <w:vAlign w:val="center"/>
          </w:tcPr>
          <w:p>
            <w:pPr>
              <w:spacing w:line="360" w:lineRule="auto"/>
              <w:jc w:val="center"/>
              <w:rPr>
                <w:rFonts w:ascii="Times New Roman" w:hAnsi="Times New Roman"/>
                <w:spacing w:val="-10"/>
                <w:szCs w:val="24"/>
              </w:rPr>
            </w:pPr>
            <w:r>
              <w:rPr>
                <w:rFonts w:ascii="Times New Roman" w:hAnsi="Times New Roman"/>
                <w:spacing w:val="-10"/>
                <w:szCs w:val="24"/>
              </w:rPr>
              <w:t>污染物名称</w:t>
            </w:r>
          </w:p>
        </w:tc>
        <w:tc>
          <w:tcPr>
            <w:tcW w:w="2551" w:type="dxa"/>
            <w:vAlign w:val="center"/>
          </w:tcPr>
          <w:p>
            <w:pPr>
              <w:spacing w:line="360" w:lineRule="auto"/>
              <w:jc w:val="center"/>
              <w:rPr>
                <w:rFonts w:ascii="Times New Roman" w:hAnsi="Times New Roman"/>
                <w:spacing w:val="-10"/>
                <w:szCs w:val="24"/>
              </w:rPr>
            </w:pPr>
            <w:r>
              <w:rPr>
                <w:rFonts w:ascii="Times New Roman" w:hAnsi="Times New Roman"/>
                <w:spacing w:val="-10"/>
                <w:szCs w:val="24"/>
              </w:rPr>
              <w:t>处理前产生浓度及产生量</w:t>
            </w:r>
          </w:p>
          <w:p>
            <w:pPr>
              <w:spacing w:line="360" w:lineRule="auto"/>
              <w:jc w:val="center"/>
              <w:rPr>
                <w:rFonts w:ascii="Times New Roman" w:hAnsi="Times New Roman"/>
                <w:spacing w:val="-10"/>
                <w:szCs w:val="24"/>
              </w:rPr>
            </w:pPr>
            <w:r>
              <w:rPr>
                <w:rFonts w:ascii="Times New Roman" w:hAnsi="Times New Roman"/>
                <w:spacing w:val="-10"/>
                <w:szCs w:val="24"/>
              </w:rPr>
              <w:t>（单位）</w:t>
            </w:r>
          </w:p>
        </w:tc>
        <w:tc>
          <w:tcPr>
            <w:tcW w:w="2869" w:type="dxa"/>
            <w:vAlign w:val="center"/>
          </w:tcPr>
          <w:p>
            <w:pPr>
              <w:spacing w:line="360" w:lineRule="auto"/>
              <w:jc w:val="center"/>
              <w:rPr>
                <w:rFonts w:ascii="Times New Roman" w:hAnsi="Times New Roman"/>
                <w:spacing w:val="-10"/>
                <w:szCs w:val="24"/>
              </w:rPr>
            </w:pPr>
            <w:r>
              <w:rPr>
                <w:rFonts w:ascii="Times New Roman" w:hAnsi="Times New Roman"/>
                <w:spacing w:val="-10"/>
                <w:szCs w:val="24"/>
              </w:rPr>
              <w:t>排放浓度及排放量</w:t>
            </w:r>
          </w:p>
          <w:p>
            <w:pPr>
              <w:spacing w:line="360" w:lineRule="auto"/>
              <w:jc w:val="center"/>
              <w:rPr>
                <w:rFonts w:ascii="Times New Roman" w:hAnsi="Times New Roman"/>
                <w:spacing w:val="-10"/>
                <w:szCs w:val="24"/>
              </w:rPr>
            </w:pPr>
            <w:r>
              <w:rPr>
                <w:rFonts w:ascii="Times New Roman" w:hAnsi="Times New Roman"/>
                <w:spacing w:val="-10"/>
                <w:szCs w:val="24"/>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032" w:hRule="atLeast"/>
        </w:trPr>
        <w:tc>
          <w:tcPr>
            <w:tcW w:w="1080" w:type="dxa"/>
            <w:vMerge w:val="restart"/>
            <w:vAlign w:val="center"/>
          </w:tcPr>
          <w:p>
            <w:pPr>
              <w:spacing w:line="360" w:lineRule="auto"/>
              <w:jc w:val="center"/>
              <w:rPr>
                <w:rFonts w:ascii="Times New Roman" w:hAnsi="Times New Roman"/>
                <w:spacing w:val="-10"/>
                <w:szCs w:val="24"/>
              </w:rPr>
            </w:pPr>
            <w:r>
              <w:rPr>
                <w:rFonts w:hint="eastAsia" w:ascii="Times New Roman" w:hAnsi="Times New Roman"/>
                <w:spacing w:val="-10"/>
                <w:szCs w:val="24"/>
              </w:rPr>
              <w:t>大</w:t>
            </w:r>
          </w:p>
          <w:p>
            <w:pPr>
              <w:spacing w:line="360" w:lineRule="auto"/>
              <w:jc w:val="center"/>
              <w:rPr>
                <w:rFonts w:ascii="Times New Roman" w:hAnsi="Times New Roman"/>
                <w:spacing w:val="-10"/>
                <w:szCs w:val="24"/>
              </w:rPr>
            </w:pPr>
            <w:r>
              <w:rPr>
                <w:rFonts w:hint="eastAsia" w:ascii="Times New Roman" w:hAnsi="Times New Roman"/>
                <w:spacing w:val="-10"/>
                <w:szCs w:val="24"/>
              </w:rPr>
              <w:t>气</w:t>
            </w:r>
          </w:p>
          <w:p>
            <w:pPr>
              <w:spacing w:line="360" w:lineRule="auto"/>
              <w:jc w:val="center"/>
              <w:rPr>
                <w:rFonts w:ascii="Times New Roman" w:hAnsi="Times New Roman"/>
                <w:spacing w:val="-10"/>
                <w:szCs w:val="24"/>
              </w:rPr>
            </w:pPr>
            <w:r>
              <w:rPr>
                <w:rFonts w:hint="eastAsia" w:ascii="Times New Roman" w:hAnsi="Times New Roman"/>
                <w:spacing w:val="-10"/>
                <w:szCs w:val="24"/>
              </w:rPr>
              <w:t>污</w:t>
            </w:r>
          </w:p>
          <w:p>
            <w:pPr>
              <w:spacing w:line="360" w:lineRule="auto"/>
              <w:jc w:val="center"/>
              <w:rPr>
                <w:rFonts w:ascii="Times New Roman" w:hAnsi="Times New Roman"/>
                <w:spacing w:val="-10"/>
                <w:szCs w:val="24"/>
              </w:rPr>
            </w:pPr>
            <w:r>
              <w:rPr>
                <w:rFonts w:hint="eastAsia" w:ascii="Times New Roman" w:hAnsi="Times New Roman"/>
                <w:spacing w:val="-10"/>
                <w:szCs w:val="24"/>
              </w:rPr>
              <w:t>染</w:t>
            </w:r>
          </w:p>
          <w:p>
            <w:pPr>
              <w:spacing w:line="360" w:lineRule="auto"/>
              <w:jc w:val="center"/>
              <w:rPr>
                <w:rFonts w:ascii="Times New Roman" w:hAnsi="Times New Roman"/>
                <w:spacing w:val="-10"/>
                <w:szCs w:val="24"/>
              </w:rPr>
            </w:pPr>
            <w:r>
              <w:rPr>
                <w:rFonts w:hint="eastAsia" w:ascii="Times New Roman" w:hAnsi="Times New Roman"/>
                <w:spacing w:val="-10"/>
                <w:szCs w:val="24"/>
              </w:rPr>
              <w:t>物</w:t>
            </w:r>
          </w:p>
        </w:tc>
        <w:tc>
          <w:tcPr>
            <w:tcW w:w="1075" w:type="dxa"/>
            <w:gridSpan w:val="2"/>
            <w:vMerge w:val="restart"/>
            <w:vAlign w:val="center"/>
          </w:tcPr>
          <w:p>
            <w:pPr>
              <w:spacing w:line="360" w:lineRule="auto"/>
              <w:jc w:val="center"/>
              <w:rPr>
                <w:rFonts w:ascii="Times New Roman" w:hAnsi="Times New Roman"/>
                <w:spacing w:val="-10"/>
                <w:szCs w:val="24"/>
              </w:rPr>
            </w:pPr>
            <w:r>
              <w:rPr>
                <w:rFonts w:hint="eastAsia" w:ascii="Times New Roman" w:hAnsi="Times New Roman"/>
                <w:kern w:val="2"/>
                <w:szCs w:val="24"/>
              </w:rPr>
              <w:t>印刷</w:t>
            </w:r>
          </w:p>
        </w:tc>
        <w:tc>
          <w:tcPr>
            <w:tcW w:w="1985" w:type="dxa"/>
            <w:vAlign w:val="center"/>
          </w:tcPr>
          <w:p>
            <w:pPr>
              <w:spacing w:line="360" w:lineRule="auto"/>
              <w:jc w:val="center"/>
              <w:rPr>
                <w:rFonts w:ascii="Times New Roman" w:hAnsi="Times New Roman"/>
                <w:spacing w:val="-10"/>
                <w:szCs w:val="24"/>
              </w:rPr>
            </w:pPr>
            <w:r>
              <w:rPr>
                <w:rFonts w:ascii="Times New Roman" w:hAnsi="Times New Roman"/>
                <w:kern w:val="2"/>
                <w:szCs w:val="24"/>
              </w:rPr>
              <w:t>VOCs</w:t>
            </w:r>
            <w:r>
              <w:rPr>
                <w:rFonts w:hint="eastAsia" w:ascii="Times New Roman" w:hAnsi="Times New Roman"/>
                <w:kern w:val="2"/>
                <w:szCs w:val="24"/>
              </w:rPr>
              <w:t>（有组织）</w:t>
            </w:r>
          </w:p>
        </w:tc>
        <w:tc>
          <w:tcPr>
            <w:tcW w:w="2551" w:type="dxa"/>
            <w:vAlign w:val="center"/>
          </w:tcPr>
          <w:p>
            <w:pPr>
              <w:spacing w:line="360" w:lineRule="auto"/>
              <w:jc w:val="center"/>
              <w:rPr>
                <w:rFonts w:ascii="Times New Roman" w:hAnsi="Times New Roman"/>
                <w:szCs w:val="24"/>
              </w:rPr>
            </w:pPr>
            <w:r>
              <w:rPr>
                <w:rFonts w:ascii="Times New Roman" w:hAnsi="Times New Roman"/>
                <w:szCs w:val="24"/>
              </w:rPr>
              <w:t>0.90t/a，</w:t>
            </w:r>
            <w:r>
              <w:rPr>
                <w:rFonts w:hint="eastAsia" w:ascii="Times New Roman" w:hAnsi="Times New Roman"/>
                <w:szCs w:val="24"/>
              </w:rPr>
              <w:t>25.0</w:t>
            </w:r>
            <w:r>
              <w:rPr>
                <w:rFonts w:ascii="Times New Roman" w:hAnsi="Times New Roman"/>
                <w:szCs w:val="24"/>
              </w:rPr>
              <w:t>mg/m</w:t>
            </w:r>
            <w:r>
              <w:rPr>
                <w:rFonts w:ascii="Times New Roman" w:hAnsi="Times New Roman"/>
                <w:szCs w:val="24"/>
                <w:vertAlign w:val="superscript"/>
              </w:rPr>
              <w:t>3</w:t>
            </w:r>
          </w:p>
        </w:tc>
        <w:tc>
          <w:tcPr>
            <w:tcW w:w="2869" w:type="dxa"/>
            <w:vAlign w:val="center"/>
          </w:tcPr>
          <w:p>
            <w:pPr>
              <w:spacing w:line="360" w:lineRule="auto"/>
              <w:jc w:val="center"/>
              <w:rPr>
                <w:rFonts w:ascii="Times New Roman" w:hAnsi="Times New Roman"/>
                <w:szCs w:val="24"/>
              </w:rPr>
            </w:pPr>
            <w:r>
              <w:rPr>
                <w:rFonts w:hint="eastAsia" w:ascii="Times New Roman" w:hAnsi="Times New Roman"/>
                <w:szCs w:val="24"/>
              </w:rPr>
              <w:t>0.09</w:t>
            </w:r>
            <w:r>
              <w:rPr>
                <w:rFonts w:ascii="Times New Roman" w:hAnsi="Times New Roman"/>
                <w:szCs w:val="24"/>
              </w:rPr>
              <w:t>t/a，</w:t>
            </w:r>
            <w:r>
              <w:rPr>
                <w:rFonts w:hint="eastAsia" w:ascii="Times New Roman" w:hAnsi="Times New Roman"/>
                <w:szCs w:val="24"/>
              </w:rPr>
              <w:t>2.50</w:t>
            </w:r>
            <w:r>
              <w:rPr>
                <w:rFonts w:ascii="Times New Roman" w:hAnsi="Times New Roman"/>
                <w:szCs w:val="24"/>
              </w:rPr>
              <w:t>mg/m</w:t>
            </w:r>
            <w:r>
              <w:rPr>
                <w:rFonts w:ascii="Times New Roman" w:hAnsi="Times New Roman"/>
                <w:szCs w:val="24"/>
                <w:vertAlign w:val="superscript"/>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836" w:hRule="atLeast"/>
        </w:trPr>
        <w:tc>
          <w:tcPr>
            <w:tcW w:w="1080" w:type="dxa"/>
            <w:vMerge w:val="continue"/>
            <w:vAlign w:val="center"/>
          </w:tcPr>
          <w:p>
            <w:pPr>
              <w:spacing w:line="360" w:lineRule="auto"/>
              <w:jc w:val="center"/>
              <w:rPr>
                <w:rFonts w:ascii="Times New Roman" w:hAnsi="Times New Roman"/>
                <w:spacing w:val="-10"/>
                <w:szCs w:val="24"/>
              </w:rPr>
            </w:pPr>
          </w:p>
        </w:tc>
        <w:tc>
          <w:tcPr>
            <w:tcW w:w="1075" w:type="dxa"/>
            <w:gridSpan w:val="2"/>
            <w:vMerge w:val="continue"/>
            <w:vAlign w:val="center"/>
          </w:tcPr>
          <w:p>
            <w:pPr>
              <w:spacing w:line="360" w:lineRule="auto"/>
              <w:jc w:val="center"/>
              <w:rPr>
                <w:rFonts w:ascii="Times New Roman" w:hAnsi="Times New Roman"/>
                <w:kern w:val="2"/>
                <w:szCs w:val="24"/>
              </w:rPr>
            </w:pPr>
          </w:p>
        </w:tc>
        <w:tc>
          <w:tcPr>
            <w:tcW w:w="1985" w:type="dxa"/>
            <w:vAlign w:val="center"/>
          </w:tcPr>
          <w:p>
            <w:pPr>
              <w:spacing w:line="360" w:lineRule="auto"/>
              <w:jc w:val="center"/>
              <w:rPr>
                <w:rFonts w:ascii="Times New Roman" w:hAnsi="Times New Roman"/>
                <w:kern w:val="2"/>
                <w:szCs w:val="24"/>
              </w:rPr>
            </w:pPr>
            <w:r>
              <w:rPr>
                <w:rFonts w:ascii="Times New Roman" w:hAnsi="Times New Roman"/>
                <w:kern w:val="2"/>
                <w:szCs w:val="24"/>
              </w:rPr>
              <w:t>VOCs</w:t>
            </w:r>
            <w:r>
              <w:rPr>
                <w:rFonts w:hint="eastAsia" w:ascii="Times New Roman" w:hAnsi="Times New Roman"/>
                <w:kern w:val="2"/>
                <w:szCs w:val="24"/>
              </w:rPr>
              <w:t>（无组织）</w:t>
            </w:r>
          </w:p>
        </w:tc>
        <w:tc>
          <w:tcPr>
            <w:tcW w:w="2551" w:type="dxa"/>
            <w:vAlign w:val="center"/>
          </w:tcPr>
          <w:p>
            <w:pPr>
              <w:spacing w:line="360" w:lineRule="auto"/>
              <w:jc w:val="center"/>
              <w:rPr>
                <w:rFonts w:ascii="Times New Roman" w:hAnsi="Times New Roman"/>
                <w:szCs w:val="24"/>
              </w:rPr>
            </w:pPr>
            <w:r>
              <w:rPr>
                <w:rFonts w:ascii="Times New Roman" w:hAnsi="Times New Roman"/>
                <w:kern w:val="2"/>
                <w:szCs w:val="24"/>
              </w:rPr>
              <w:t>0.10t/a</w:t>
            </w:r>
          </w:p>
        </w:tc>
        <w:tc>
          <w:tcPr>
            <w:tcW w:w="2869" w:type="dxa"/>
            <w:vAlign w:val="center"/>
          </w:tcPr>
          <w:p>
            <w:pPr>
              <w:spacing w:line="360" w:lineRule="auto"/>
              <w:jc w:val="center"/>
              <w:rPr>
                <w:rFonts w:ascii="Times New Roman" w:hAnsi="Times New Roman"/>
                <w:szCs w:val="24"/>
              </w:rPr>
            </w:pPr>
            <w:r>
              <w:rPr>
                <w:rFonts w:ascii="Times New Roman" w:hAnsi="Times New Roman"/>
                <w:kern w:val="2"/>
                <w:szCs w:val="24"/>
              </w:rPr>
              <w:t>0.10t/a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764" w:hRule="atLeast"/>
        </w:trPr>
        <w:tc>
          <w:tcPr>
            <w:tcW w:w="1080" w:type="dxa"/>
            <w:vMerge w:val="restart"/>
            <w:vAlign w:val="center"/>
          </w:tcPr>
          <w:p>
            <w:pPr>
              <w:spacing w:line="360" w:lineRule="auto"/>
              <w:jc w:val="center"/>
              <w:rPr>
                <w:rFonts w:ascii="Times New Roman" w:hAnsi="Times New Roman"/>
                <w:spacing w:val="-10"/>
                <w:szCs w:val="24"/>
              </w:rPr>
            </w:pPr>
            <w:r>
              <w:rPr>
                <w:rFonts w:ascii="Times New Roman" w:hAnsi="Times New Roman"/>
                <w:spacing w:val="-10"/>
                <w:szCs w:val="24"/>
              </w:rPr>
              <w:t>水</w:t>
            </w:r>
          </w:p>
          <w:p>
            <w:pPr>
              <w:spacing w:line="360" w:lineRule="auto"/>
              <w:jc w:val="center"/>
              <w:rPr>
                <w:rFonts w:ascii="Times New Roman" w:hAnsi="Times New Roman"/>
                <w:spacing w:val="-10"/>
                <w:szCs w:val="24"/>
              </w:rPr>
            </w:pPr>
            <w:r>
              <w:rPr>
                <w:rFonts w:ascii="Times New Roman" w:hAnsi="Times New Roman"/>
                <w:spacing w:val="-10"/>
                <w:szCs w:val="24"/>
              </w:rPr>
              <w:t>污</w:t>
            </w:r>
          </w:p>
          <w:p>
            <w:pPr>
              <w:spacing w:line="360" w:lineRule="auto"/>
              <w:jc w:val="center"/>
              <w:rPr>
                <w:rFonts w:ascii="Times New Roman" w:hAnsi="Times New Roman"/>
                <w:spacing w:val="-10"/>
                <w:szCs w:val="24"/>
              </w:rPr>
            </w:pPr>
            <w:r>
              <w:rPr>
                <w:rFonts w:ascii="Times New Roman" w:hAnsi="Times New Roman"/>
                <w:spacing w:val="-10"/>
                <w:szCs w:val="24"/>
              </w:rPr>
              <w:t>染</w:t>
            </w:r>
          </w:p>
          <w:p>
            <w:pPr>
              <w:spacing w:line="360" w:lineRule="auto"/>
              <w:jc w:val="center"/>
              <w:rPr>
                <w:rFonts w:ascii="Times New Roman" w:hAnsi="Times New Roman"/>
                <w:spacing w:val="-10"/>
                <w:szCs w:val="24"/>
              </w:rPr>
            </w:pPr>
            <w:r>
              <w:rPr>
                <w:rFonts w:ascii="Times New Roman" w:hAnsi="Times New Roman"/>
                <w:spacing w:val="-10"/>
                <w:szCs w:val="24"/>
              </w:rPr>
              <w:t>物</w:t>
            </w:r>
          </w:p>
        </w:tc>
        <w:tc>
          <w:tcPr>
            <w:tcW w:w="1075" w:type="dxa"/>
            <w:gridSpan w:val="2"/>
            <w:vMerge w:val="restart"/>
            <w:vAlign w:val="center"/>
          </w:tcPr>
          <w:p>
            <w:pPr>
              <w:spacing w:line="360" w:lineRule="auto"/>
              <w:jc w:val="center"/>
              <w:rPr>
                <w:rFonts w:ascii="Times New Roman" w:hAnsi="Times New Roman"/>
                <w:spacing w:val="-10"/>
                <w:szCs w:val="24"/>
              </w:rPr>
            </w:pPr>
            <w:r>
              <w:rPr>
                <w:rFonts w:ascii="Times New Roman" w:hAnsi="Times New Roman"/>
                <w:spacing w:val="-10"/>
                <w:szCs w:val="24"/>
              </w:rPr>
              <w:t>生活污水</w:t>
            </w:r>
          </w:p>
        </w:tc>
        <w:tc>
          <w:tcPr>
            <w:tcW w:w="1985" w:type="dxa"/>
            <w:vAlign w:val="center"/>
          </w:tcPr>
          <w:p>
            <w:pPr>
              <w:spacing w:line="360" w:lineRule="auto"/>
              <w:jc w:val="center"/>
              <w:rPr>
                <w:rFonts w:ascii="Times New Roman" w:hAnsi="Times New Roman"/>
                <w:spacing w:val="-10"/>
                <w:szCs w:val="24"/>
              </w:rPr>
            </w:pPr>
            <w:r>
              <w:rPr>
                <w:rFonts w:ascii="Times New Roman" w:hAnsi="Times New Roman"/>
                <w:spacing w:val="-10"/>
                <w:szCs w:val="24"/>
              </w:rPr>
              <w:t>COD</w:t>
            </w:r>
          </w:p>
        </w:tc>
        <w:tc>
          <w:tcPr>
            <w:tcW w:w="2551" w:type="dxa"/>
            <w:vAlign w:val="center"/>
          </w:tcPr>
          <w:p>
            <w:pPr>
              <w:spacing w:line="360" w:lineRule="auto"/>
              <w:jc w:val="center"/>
              <w:rPr>
                <w:rFonts w:ascii="Times New Roman" w:hAnsi="Times New Roman"/>
                <w:spacing w:val="-10"/>
                <w:szCs w:val="24"/>
              </w:rPr>
            </w:pPr>
            <w:r>
              <w:rPr>
                <w:rFonts w:ascii="Times New Roman" w:hAnsi="Times New Roman"/>
                <w:spacing w:val="-10"/>
                <w:szCs w:val="24"/>
              </w:rPr>
              <w:t>500 mg/L，0.06 t/a</w:t>
            </w:r>
          </w:p>
        </w:tc>
        <w:tc>
          <w:tcPr>
            <w:tcW w:w="2869" w:type="dxa"/>
            <w:vAlign w:val="center"/>
          </w:tcPr>
          <w:p>
            <w:pPr>
              <w:spacing w:line="360" w:lineRule="auto"/>
              <w:jc w:val="center"/>
              <w:rPr>
                <w:rFonts w:ascii="Times New Roman" w:hAnsi="Times New Roman"/>
                <w:spacing w:val="-10"/>
                <w:szCs w:val="24"/>
              </w:rPr>
            </w:pPr>
            <w:r>
              <w:rPr>
                <w:rFonts w:ascii="Times New Roman" w:hAnsi="Times New Roman"/>
                <w:spacing w:val="-10"/>
                <w:szCs w:val="24"/>
              </w:rPr>
              <w:t>500 mg/L，0.06t/a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454" w:hRule="atLeast"/>
        </w:trPr>
        <w:tc>
          <w:tcPr>
            <w:tcW w:w="1080" w:type="dxa"/>
            <w:vMerge w:val="continue"/>
            <w:vAlign w:val="center"/>
          </w:tcPr>
          <w:p>
            <w:pPr>
              <w:spacing w:line="360" w:lineRule="auto"/>
              <w:jc w:val="center"/>
              <w:rPr>
                <w:rFonts w:ascii="Times New Roman" w:hAnsi="Times New Roman"/>
                <w:szCs w:val="24"/>
              </w:rPr>
            </w:pPr>
          </w:p>
        </w:tc>
        <w:tc>
          <w:tcPr>
            <w:tcW w:w="1075" w:type="dxa"/>
            <w:gridSpan w:val="2"/>
            <w:vMerge w:val="continue"/>
            <w:vAlign w:val="center"/>
          </w:tcPr>
          <w:p>
            <w:pPr>
              <w:spacing w:line="360" w:lineRule="auto"/>
              <w:jc w:val="center"/>
              <w:rPr>
                <w:rFonts w:ascii="Times New Roman" w:hAnsi="Times New Roman"/>
                <w:szCs w:val="24"/>
              </w:rPr>
            </w:pPr>
          </w:p>
        </w:tc>
        <w:tc>
          <w:tcPr>
            <w:tcW w:w="1985" w:type="dxa"/>
            <w:vAlign w:val="center"/>
          </w:tcPr>
          <w:p>
            <w:pPr>
              <w:spacing w:line="360" w:lineRule="auto"/>
              <w:jc w:val="center"/>
              <w:rPr>
                <w:rFonts w:ascii="Times New Roman" w:hAnsi="Times New Roman"/>
                <w:spacing w:val="-10"/>
                <w:szCs w:val="24"/>
              </w:rPr>
            </w:pPr>
            <w:r>
              <w:rPr>
                <w:rFonts w:ascii="Times New Roman" w:hAnsi="Times New Roman"/>
                <w:spacing w:val="-10"/>
                <w:szCs w:val="24"/>
              </w:rPr>
              <w:t>NH</w:t>
            </w:r>
            <w:r>
              <w:rPr>
                <w:rFonts w:ascii="Times New Roman" w:hAnsi="Times New Roman"/>
                <w:spacing w:val="-10"/>
                <w:szCs w:val="24"/>
                <w:vertAlign w:val="subscript"/>
              </w:rPr>
              <w:t>3</w:t>
            </w:r>
            <w:r>
              <w:rPr>
                <w:rFonts w:ascii="Times New Roman" w:hAnsi="Times New Roman"/>
                <w:spacing w:val="-10"/>
                <w:szCs w:val="24"/>
              </w:rPr>
              <w:t>-N</w:t>
            </w:r>
          </w:p>
        </w:tc>
        <w:tc>
          <w:tcPr>
            <w:tcW w:w="2551" w:type="dxa"/>
            <w:vAlign w:val="center"/>
          </w:tcPr>
          <w:p>
            <w:pPr>
              <w:spacing w:line="360" w:lineRule="auto"/>
              <w:jc w:val="center"/>
              <w:rPr>
                <w:rFonts w:ascii="Times New Roman" w:hAnsi="Times New Roman"/>
                <w:spacing w:val="-10"/>
                <w:szCs w:val="24"/>
              </w:rPr>
            </w:pPr>
            <w:r>
              <w:rPr>
                <w:rFonts w:ascii="Times New Roman" w:hAnsi="Times New Roman"/>
                <w:spacing w:val="-10"/>
                <w:szCs w:val="24"/>
              </w:rPr>
              <w:t>45 mg/L，0.005 t/a</w:t>
            </w:r>
          </w:p>
        </w:tc>
        <w:tc>
          <w:tcPr>
            <w:tcW w:w="2869" w:type="dxa"/>
            <w:vAlign w:val="center"/>
          </w:tcPr>
          <w:p>
            <w:pPr>
              <w:spacing w:line="360" w:lineRule="auto"/>
              <w:jc w:val="center"/>
              <w:rPr>
                <w:rFonts w:ascii="Times New Roman" w:hAnsi="Times New Roman"/>
                <w:spacing w:val="-10"/>
                <w:szCs w:val="24"/>
              </w:rPr>
            </w:pPr>
            <w:r>
              <w:rPr>
                <w:rFonts w:ascii="Times New Roman" w:hAnsi="Times New Roman"/>
                <w:spacing w:val="-10"/>
                <w:szCs w:val="24"/>
              </w:rPr>
              <w:t>45 mg/L，0.005 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c>
          <w:tcPr>
            <w:tcW w:w="1080" w:type="dxa"/>
            <w:vMerge w:val="restart"/>
            <w:vAlign w:val="center"/>
          </w:tcPr>
          <w:p>
            <w:pPr>
              <w:spacing w:line="360" w:lineRule="auto"/>
              <w:jc w:val="center"/>
              <w:rPr>
                <w:rFonts w:ascii="Times New Roman" w:hAnsi="Times New Roman"/>
                <w:spacing w:val="-10"/>
                <w:szCs w:val="24"/>
              </w:rPr>
            </w:pPr>
            <w:r>
              <w:rPr>
                <w:rFonts w:ascii="Times New Roman" w:hAnsi="Times New Roman"/>
                <w:spacing w:val="-10"/>
                <w:szCs w:val="24"/>
              </w:rPr>
              <w:t>固</w:t>
            </w:r>
          </w:p>
          <w:p>
            <w:pPr>
              <w:spacing w:line="360" w:lineRule="auto"/>
              <w:jc w:val="center"/>
              <w:rPr>
                <w:rFonts w:ascii="Times New Roman" w:hAnsi="Times New Roman"/>
                <w:spacing w:val="-10"/>
                <w:szCs w:val="24"/>
              </w:rPr>
            </w:pPr>
            <w:r>
              <w:rPr>
                <w:rFonts w:ascii="Times New Roman" w:hAnsi="Times New Roman"/>
                <w:spacing w:val="-10"/>
                <w:szCs w:val="24"/>
              </w:rPr>
              <w:t>体</w:t>
            </w:r>
          </w:p>
          <w:p>
            <w:pPr>
              <w:spacing w:line="360" w:lineRule="auto"/>
              <w:jc w:val="center"/>
              <w:rPr>
                <w:rFonts w:ascii="Times New Roman" w:hAnsi="Times New Roman"/>
                <w:spacing w:val="-10"/>
                <w:szCs w:val="24"/>
              </w:rPr>
            </w:pPr>
            <w:r>
              <w:rPr>
                <w:rFonts w:ascii="Times New Roman" w:hAnsi="Times New Roman"/>
                <w:spacing w:val="-10"/>
                <w:szCs w:val="24"/>
              </w:rPr>
              <w:t>废</w:t>
            </w:r>
          </w:p>
          <w:p>
            <w:pPr>
              <w:spacing w:line="360" w:lineRule="auto"/>
              <w:jc w:val="center"/>
              <w:rPr>
                <w:rFonts w:ascii="Times New Roman" w:hAnsi="Times New Roman"/>
                <w:spacing w:val="-10"/>
                <w:szCs w:val="24"/>
              </w:rPr>
            </w:pPr>
            <w:r>
              <w:rPr>
                <w:rFonts w:ascii="Times New Roman" w:hAnsi="Times New Roman"/>
                <w:spacing w:val="-10"/>
                <w:szCs w:val="24"/>
              </w:rPr>
              <w:t>物</w:t>
            </w:r>
          </w:p>
        </w:tc>
        <w:tc>
          <w:tcPr>
            <w:tcW w:w="1075" w:type="dxa"/>
            <w:gridSpan w:val="2"/>
            <w:vAlign w:val="center"/>
          </w:tcPr>
          <w:p>
            <w:pPr>
              <w:spacing w:line="360" w:lineRule="auto"/>
              <w:jc w:val="center"/>
              <w:rPr>
                <w:rFonts w:ascii="Times New Roman" w:hAnsi="Times New Roman"/>
                <w:color w:val="FF0000"/>
                <w:spacing w:val="-10"/>
                <w:szCs w:val="24"/>
              </w:rPr>
            </w:pPr>
            <w:r>
              <w:rPr>
                <w:rFonts w:ascii="Times New Roman" w:hAnsi="Times New Roman"/>
                <w:spacing w:val="-10"/>
                <w:szCs w:val="24"/>
              </w:rPr>
              <w:t>生活</w:t>
            </w:r>
          </w:p>
        </w:tc>
        <w:tc>
          <w:tcPr>
            <w:tcW w:w="1985" w:type="dxa"/>
          </w:tcPr>
          <w:p>
            <w:pPr>
              <w:pStyle w:val="22"/>
              <w:spacing w:line="360" w:lineRule="auto"/>
              <w:rPr>
                <w:sz w:val="24"/>
                <w:szCs w:val="24"/>
              </w:rPr>
            </w:pPr>
            <w:r>
              <w:rPr>
                <w:sz w:val="24"/>
                <w:szCs w:val="24"/>
              </w:rPr>
              <w:t>生活垃圾</w:t>
            </w:r>
          </w:p>
        </w:tc>
        <w:tc>
          <w:tcPr>
            <w:tcW w:w="2551" w:type="dxa"/>
            <w:vAlign w:val="center"/>
          </w:tcPr>
          <w:p>
            <w:pPr>
              <w:pStyle w:val="22"/>
              <w:spacing w:line="360" w:lineRule="auto"/>
              <w:rPr>
                <w:sz w:val="24"/>
                <w:szCs w:val="24"/>
              </w:rPr>
            </w:pPr>
            <w:r>
              <w:rPr>
                <w:sz w:val="24"/>
                <w:szCs w:val="24"/>
              </w:rPr>
              <w:t>1.5t/a</w:t>
            </w:r>
          </w:p>
        </w:tc>
        <w:tc>
          <w:tcPr>
            <w:tcW w:w="2869" w:type="dxa"/>
            <w:vAlign w:val="center"/>
          </w:tcPr>
          <w:p>
            <w:pPr>
              <w:spacing w:line="360" w:lineRule="auto"/>
              <w:jc w:val="center"/>
              <w:rPr>
                <w:rFonts w:ascii="Times New Roman" w:hAnsi="Times New Roman"/>
                <w:spacing w:val="-10"/>
                <w:szCs w:val="24"/>
              </w:rPr>
            </w:pPr>
            <w:r>
              <w:rPr>
                <w:rFonts w:ascii="Times New Roman" w:hAnsi="Times New Roman"/>
                <w:spacing w:val="-10"/>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c>
          <w:tcPr>
            <w:tcW w:w="1080" w:type="dxa"/>
            <w:vMerge w:val="continue"/>
            <w:vAlign w:val="center"/>
          </w:tcPr>
          <w:p>
            <w:pPr>
              <w:spacing w:line="360" w:lineRule="auto"/>
              <w:jc w:val="center"/>
              <w:rPr>
                <w:rFonts w:ascii="Times New Roman" w:hAnsi="Times New Roman"/>
                <w:spacing w:val="-10"/>
                <w:szCs w:val="24"/>
              </w:rPr>
            </w:pPr>
          </w:p>
        </w:tc>
        <w:tc>
          <w:tcPr>
            <w:tcW w:w="608" w:type="dxa"/>
            <w:vMerge w:val="restart"/>
            <w:vAlign w:val="center"/>
          </w:tcPr>
          <w:p>
            <w:pPr>
              <w:spacing w:line="360" w:lineRule="auto"/>
              <w:jc w:val="center"/>
              <w:rPr>
                <w:rFonts w:ascii="Times New Roman" w:hAnsi="Times New Roman"/>
                <w:color w:val="FF0000"/>
                <w:spacing w:val="-10"/>
                <w:szCs w:val="24"/>
              </w:rPr>
            </w:pPr>
            <w:r>
              <w:rPr>
                <w:rFonts w:ascii="Times New Roman" w:hAnsi="Times New Roman"/>
                <w:spacing w:val="-10"/>
                <w:szCs w:val="24"/>
              </w:rPr>
              <w:t>生产</w:t>
            </w:r>
          </w:p>
        </w:tc>
        <w:tc>
          <w:tcPr>
            <w:tcW w:w="467" w:type="dxa"/>
            <w:vAlign w:val="center"/>
          </w:tcPr>
          <w:p>
            <w:pPr>
              <w:spacing w:line="360" w:lineRule="auto"/>
              <w:jc w:val="center"/>
              <w:rPr>
                <w:rFonts w:ascii="Times New Roman" w:hAnsi="Times New Roman"/>
                <w:spacing w:val="-10"/>
                <w:szCs w:val="24"/>
              </w:rPr>
            </w:pPr>
            <w:r>
              <w:rPr>
                <w:rFonts w:hint="eastAsia" w:ascii="Times New Roman" w:hAnsi="Times New Roman"/>
                <w:spacing w:val="-10"/>
                <w:szCs w:val="24"/>
              </w:rPr>
              <w:t>一般固废</w:t>
            </w:r>
          </w:p>
        </w:tc>
        <w:tc>
          <w:tcPr>
            <w:tcW w:w="1985" w:type="dxa"/>
          </w:tcPr>
          <w:p>
            <w:pPr>
              <w:pStyle w:val="22"/>
              <w:spacing w:line="360" w:lineRule="auto"/>
              <w:rPr>
                <w:sz w:val="24"/>
                <w:szCs w:val="24"/>
              </w:rPr>
            </w:pPr>
            <w:r>
              <w:rPr>
                <w:rFonts w:hint="eastAsia"/>
                <w:sz w:val="24"/>
                <w:szCs w:val="24"/>
              </w:rPr>
              <w:t>下脚料</w:t>
            </w:r>
          </w:p>
        </w:tc>
        <w:tc>
          <w:tcPr>
            <w:tcW w:w="2551" w:type="dxa"/>
            <w:vAlign w:val="center"/>
          </w:tcPr>
          <w:p>
            <w:pPr>
              <w:pStyle w:val="22"/>
              <w:spacing w:line="360" w:lineRule="auto"/>
              <w:rPr>
                <w:sz w:val="24"/>
                <w:szCs w:val="24"/>
              </w:rPr>
            </w:pPr>
            <w:r>
              <w:rPr>
                <w:sz w:val="24"/>
                <w:szCs w:val="24"/>
              </w:rPr>
              <w:t xml:space="preserve">0.10 </w:t>
            </w:r>
            <w:r>
              <w:rPr>
                <w:rFonts w:hint="eastAsia"/>
                <w:sz w:val="24"/>
                <w:szCs w:val="24"/>
              </w:rPr>
              <w:t>t/a</w:t>
            </w:r>
          </w:p>
        </w:tc>
        <w:tc>
          <w:tcPr>
            <w:tcW w:w="2869" w:type="dxa"/>
            <w:vAlign w:val="center"/>
          </w:tcPr>
          <w:p>
            <w:pPr>
              <w:spacing w:line="360" w:lineRule="auto"/>
              <w:jc w:val="center"/>
              <w:rPr>
                <w:rFonts w:ascii="Times New Roman" w:hAnsi="Times New Roman"/>
                <w:spacing w:val="-10"/>
                <w:szCs w:val="24"/>
              </w:rPr>
            </w:pPr>
            <w:r>
              <w:rPr>
                <w:rFonts w:hint="eastAsia" w:ascii="Times New Roman" w:hAnsi="Times New Roman"/>
                <w:spacing w:val="-10"/>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c>
          <w:tcPr>
            <w:tcW w:w="1080" w:type="dxa"/>
            <w:vMerge w:val="continue"/>
            <w:vAlign w:val="center"/>
          </w:tcPr>
          <w:p>
            <w:pPr>
              <w:spacing w:line="360" w:lineRule="auto"/>
              <w:jc w:val="center"/>
              <w:rPr>
                <w:rFonts w:ascii="Times New Roman" w:hAnsi="Times New Roman"/>
                <w:spacing w:val="-10"/>
                <w:szCs w:val="24"/>
              </w:rPr>
            </w:pPr>
          </w:p>
        </w:tc>
        <w:tc>
          <w:tcPr>
            <w:tcW w:w="608" w:type="dxa"/>
            <w:vMerge w:val="continue"/>
            <w:vAlign w:val="center"/>
          </w:tcPr>
          <w:p>
            <w:pPr>
              <w:spacing w:line="360" w:lineRule="auto"/>
              <w:jc w:val="center"/>
              <w:rPr>
                <w:rFonts w:ascii="Times New Roman" w:hAnsi="Times New Roman"/>
                <w:color w:val="FF0000"/>
                <w:spacing w:val="-10"/>
                <w:szCs w:val="24"/>
              </w:rPr>
            </w:pPr>
          </w:p>
        </w:tc>
        <w:tc>
          <w:tcPr>
            <w:tcW w:w="467" w:type="dxa"/>
            <w:vMerge w:val="restart"/>
            <w:vAlign w:val="center"/>
          </w:tcPr>
          <w:p>
            <w:pPr>
              <w:spacing w:line="360" w:lineRule="auto"/>
              <w:jc w:val="center"/>
              <w:rPr>
                <w:rFonts w:ascii="Times New Roman" w:hAnsi="Times New Roman"/>
                <w:spacing w:val="-10"/>
                <w:szCs w:val="24"/>
              </w:rPr>
            </w:pPr>
            <w:r>
              <w:rPr>
                <w:rFonts w:hint="eastAsia" w:ascii="Times New Roman" w:hAnsi="Times New Roman"/>
                <w:spacing w:val="-10"/>
                <w:szCs w:val="24"/>
              </w:rPr>
              <w:t>危险废物</w:t>
            </w:r>
          </w:p>
        </w:tc>
        <w:tc>
          <w:tcPr>
            <w:tcW w:w="1985" w:type="dxa"/>
          </w:tcPr>
          <w:p>
            <w:pPr>
              <w:pStyle w:val="22"/>
              <w:spacing w:line="360" w:lineRule="auto"/>
              <w:rPr>
                <w:sz w:val="24"/>
                <w:szCs w:val="24"/>
              </w:rPr>
            </w:pPr>
            <w:r>
              <w:rPr>
                <w:sz w:val="24"/>
                <w:szCs w:val="24"/>
              </w:rPr>
              <w:t>废活性炭</w:t>
            </w:r>
          </w:p>
        </w:tc>
        <w:tc>
          <w:tcPr>
            <w:tcW w:w="2551" w:type="dxa"/>
            <w:vAlign w:val="center"/>
          </w:tcPr>
          <w:p>
            <w:pPr>
              <w:pStyle w:val="22"/>
              <w:spacing w:line="360" w:lineRule="auto"/>
              <w:rPr>
                <w:sz w:val="24"/>
                <w:szCs w:val="24"/>
              </w:rPr>
            </w:pPr>
            <w:r>
              <w:rPr>
                <w:sz w:val="24"/>
                <w:szCs w:val="24"/>
              </w:rPr>
              <w:t>0.5t/3a</w:t>
            </w:r>
          </w:p>
        </w:tc>
        <w:tc>
          <w:tcPr>
            <w:tcW w:w="2869" w:type="dxa"/>
            <w:vAlign w:val="center"/>
          </w:tcPr>
          <w:p>
            <w:pPr>
              <w:spacing w:line="360" w:lineRule="auto"/>
              <w:jc w:val="center"/>
              <w:rPr>
                <w:rFonts w:ascii="Times New Roman" w:hAnsi="Times New Roman"/>
                <w:spacing w:val="-10"/>
                <w:szCs w:val="24"/>
              </w:rPr>
            </w:pPr>
            <w:r>
              <w:rPr>
                <w:rFonts w:ascii="Times New Roman" w:hAnsi="Times New Roman"/>
                <w:spacing w:val="-10"/>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c>
          <w:tcPr>
            <w:tcW w:w="1080" w:type="dxa"/>
            <w:vMerge w:val="continue"/>
            <w:vAlign w:val="center"/>
          </w:tcPr>
          <w:p>
            <w:pPr>
              <w:spacing w:line="360" w:lineRule="auto"/>
              <w:jc w:val="center"/>
              <w:rPr>
                <w:rFonts w:ascii="Times New Roman" w:hAnsi="Times New Roman"/>
                <w:spacing w:val="-10"/>
                <w:szCs w:val="24"/>
              </w:rPr>
            </w:pPr>
          </w:p>
        </w:tc>
        <w:tc>
          <w:tcPr>
            <w:tcW w:w="608" w:type="dxa"/>
            <w:vMerge w:val="continue"/>
            <w:vAlign w:val="center"/>
          </w:tcPr>
          <w:p>
            <w:pPr>
              <w:spacing w:line="360" w:lineRule="auto"/>
              <w:jc w:val="center"/>
              <w:rPr>
                <w:rFonts w:ascii="Times New Roman" w:hAnsi="Times New Roman"/>
                <w:color w:val="FF0000"/>
                <w:spacing w:val="-10"/>
                <w:szCs w:val="24"/>
              </w:rPr>
            </w:pPr>
          </w:p>
        </w:tc>
        <w:tc>
          <w:tcPr>
            <w:tcW w:w="467" w:type="dxa"/>
            <w:vMerge w:val="continue"/>
            <w:vAlign w:val="center"/>
          </w:tcPr>
          <w:p>
            <w:pPr>
              <w:spacing w:line="360" w:lineRule="auto"/>
              <w:jc w:val="center"/>
              <w:rPr>
                <w:rFonts w:ascii="Times New Roman" w:hAnsi="Times New Roman"/>
                <w:color w:val="FF0000"/>
                <w:spacing w:val="-10"/>
                <w:szCs w:val="24"/>
              </w:rPr>
            </w:pPr>
          </w:p>
        </w:tc>
        <w:tc>
          <w:tcPr>
            <w:tcW w:w="1985" w:type="dxa"/>
          </w:tcPr>
          <w:p>
            <w:pPr>
              <w:pStyle w:val="22"/>
              <w:spacing w:line="360" w:lineRule="auto"/>
              <w:rPr>
                <w:sz w:val="24"/>
                <w:szCs w:val="24"/>
              </w:rPr>
            </w:pPr>
            <w:r>
              <w:rPr>
                <w:sz w:val="24"/>
                <w:szCs w:val="24"/>
              </w:rPr>
              <w:t>废</w:t>
            </w:r>
            <w:r>
              <w:rPr>
                <w:rFonts w:hint="eastAsia"/>
                <w:sz w:val="24"/>
                <w:szCs w:val="24"/>
              </w:rPr>
              <w:t>油墨盒</w:t>
            </w:r>
          </w:p>
        </w:tc>
        <w:tc>
          <w:tcPr>
            <w:tcW w:w="2551" w:type="dxa"/>
            <w:vAlign w:val="center"/>
          </w:tcPr>
          <w:p>
            <w:pPr>
              <w:pStyle w:val="22"/>
              <w:spacing w:line="360" w:lineRule="auto"/>
              <w:rPr>
                <w:sz w:val="24"/>
                <w:szCs w:val="24"/>
              </w:rPr>
            </w:pPr>
            <w:r>
              <w:rPr>
                <w:sz w:val="24"/>
                <w:szCs w:val="24"/>
              </w:rPr>
              <w:t>0.15t/a</w:t>
            </w:r>
          </w:p>
        </w:tc>
        <w:tc>
          <w:tcPr>
            <w:tcW w:w="2869" w:type="dxa"/>
            <w:vAlign w:val="center"/>
          </w:tcPr>
          <w:p>
            <w:pPr>
              <w:spacing w:line="360" w:lineRule="auto"/>
              <w:jc w:val="center"/>
              <w:rPr>
                <w:rFonts w:ascii="Times New Roman" w:hAnsi="Times New Roman"/>
                <w:spacing w:val="-10"/>
                <w:szCs w:val="24"/>
              </w:rPr>
            </w:pPr>
            <w:r>
              <w:rPr>
                <w:rFonts w:ascii="Times New Roman" w:hAnsi="Times New Roman"/>
                <w:spacing w:val="-10"/>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c>
          <w:tcPr>
            <w:tcW w:w="1080" w:type="dxa"/>
            <w:vMerge w:val="continue"/>
            <w:vAlign w:val="center"/>
          </w:tcPr>
          <w:p>
            <w:pPr>
              <w:spacing w:line="360" w:lineRule="auto"/>
              <w:jc w:val="center"/>
              <w:rPr>
                <w:rFonts w:ascii="Times New Roman" w:hAnsi="Times New Roman"/>
                <w:spacing w:val="-10"/>
                <w:szCs w:val="24"/>
              </w:rPr>
            </w:pPr>
          </w:p>
        </w:tc>
        <w:tc>
          <w:tcPr>
            <w:tcW w:w="608" w:type="dxa"/>
            <w:vMerge w:val="continue"/>
            <w:vAlign w:val="center"/>
          </w:tcPr>
          <w:p>
            <w:pPr>
              <w:spacing w:line="360" w:lineRule="auto"/>
              <w:jc w:val="center"/>
              <w:rPr>
                <w:rFonts w:ascii="Times New Roman" w:hAnsi="Times New Roman"/>
                <w:color w:val="FF0000"/>
                <w:spacing w:val="-10"/>
                <w:szCs w:val="24"/>
              </w:rPr>
            </w:pPr>
          </w:p>
        </w:tc>
        <w:tc>
          <w:tcPr>
            <w:tcW w:w="467" w:type="dxa"/>
            <w:vMerge w:val="continue"/>
            <w:vAlign w:val="center"/>
          </w:tcPr>
          <w:p>
            <w:pPr>
              <w:spacing w:line="360" w:lineRule="auto"/>
              <w:jc w:val="center"/>
              <w:rPr>
                <w:rFonts w:ascii="Times New Roman" w:hAnsi="Times New Roman"/>
                <w:color w:val="FF0000"/>
                <w:spacing w:val="-10"/>
                <w:szCs w:val="24"/>
              </w:rPr>
            </w:pPr>
          </w:p>
        </w:tc>
        <w:tc>
          <w:tcPr>
            <w:tcW w:w="1985" w:type="dxa"/>
          </w:tcPr>
          <w:p>
            <w:pPr>
              <w:pStyle w:val="22"/>
              <w:rPr>
                <w:sz w:val="24"/>
                <w:szCs w:val="24"/>
              </w:rPr>
            </w:pPr>
            <w:r>
              <w:rPr>
                <w:sz w:val="24"/>
                <w:szCs w:val="24"/>
              </w:rPr>
              <w:t>废催化剂</w:t>
            </w:r>
          </w:p>
        </w:tc>
        <w:tc>
          <w:tcPr>
            <w:tcW w:w="2551" w:type="dxa"/>
          </w:tcPr>
          <w:p>
            <w:pPr>
              <w:jc w:val="center"/>
              <w:rPr>
                <w:rFonts w:ascii="Times New Roman" w:hAnsi="Times New Roman"/>
                <w:szCs w:val="24"/>
              </w:rPr>
            </w:pPr>
            <w:r>
              <w:rPr>
                <w:rFonts w:hint="eastAsia" w:ascii="Times New Roman" w:hAnsi="Times New Roman"/>
                <w:szCs w:val="24"/>
              </w:rPr>
              <w:t>1</w:t>
            </w:r>
            <w:r>
              <w:rPr>
                <w:rFonts w:ascii="Times New Roman" w:hAnsi="Times New Roman"/>
                <w:szCs w:val="24"/>
              </w:rPr>
              <w:t>t/3a</w:t>
            </w:r>
          </w:p>
        </w:tc>
        <w:tc>
          <w:tcPr>
            <w:tcW w:w="2869" w:type="dxa"/>
          </w:tcPr>
          <w:p>
            <w:pPr>
              <w:pStyle w:val="22"/>
              <w:rPr>
                <w:sz w:val="24"/>
                <w:szCs w:val="24"/>
              </w:rPr>
            </w:pPr>
            <w:r>
              <w:rPr>
                <w:rFonts w:hint="eastAsia"/>
                <w:sz w:val="24"/>
                <w:szCs w:val="24"/>
              </w:rPr>
              <w:t>0</w:t>
            </w:r>
          </w:p>
          <w:p>
            <w:pPr>
              <w:pStyle w:val="22"/>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c>
          <w:tcPr>
            <w:tcW w:w="1080" w:type="dxa"/>
            <w:vMerge w:val="continue"/>
            <w:vAlign w:val="center"/>
          </w:tcPr>
          <w:p>
            <w:pPr>
              <w:spacing w:line="360" w:lineRule="auto"/>
              <w:jc w:val="center"/>
              <w:rPr>
                <w:rFonts w:ascii="Times New Roman" w:hAnsi="Times New Roman"/>
                <w:spacing w:val="-10"/>
                <w:szCs w:val="24"/>
              </w:rPr>
            </w:pPr>
          </w:p>
        </w:tc>
        <w:tc>
          <w:tcPr>
            <w:tcW w:w="608" w:type="dxa"/>
            <w:vMerge w:val="continue"/>
            <w:vAlign w:val="center"/>
          </w:tcPr>
          <w:p>
            <w:pPr>
              <w:spacing w:line="360" w:lineRule="auto"/>
              <w:jc w:val="center"/>
              <w:rPr>
                <w:rFonts w:ascii="Times New Roman" w:hAnsi="Times New Roman"/>
                <w:color w:val="FF0000"/>
                <w:spacing w:val="-10"/>
                <w:szCs w:val="24"/>
              </w:rPr>
            </w:pPr>
          </w:p>
        </w:tc>
        <w:tc>
          <w:tcPr>
            <w:tcW w:w="467" w:type="dxa"/>
            <w:vMerge w:val="continue"/>
            <w:vAlign w:val="center"/>
          </w:tcPr>
          <w:p>
            <w:pPr>
              <w:spacing w:line="360" w:lineRule="auto"/>
              <w:jc w:val="center"/>
              <w:rPr>
                <w:rFonts w:ascii="Times New Roman" w:hAnsi="Times New Roman"/>
                <w:color w:val="FF0000"/>
                <w:spacing w:val="-10"/>
                <w:szCs w:val="24"/>
              </w:rPr>
            </w:pPr>
          </w:p>
        </w:tc>
        <w:tc>
          <w:tcPr>
            <w:tcW w:w="1985" w:type="dxa"/>
          </w:tcPr>
          <w:p>
            <w:pPr>
              <w:pStyle w:val="22"/>
              <w:spacing w:line="360" w:lineRule="auto"/>
              <w:rPr>
                <w:sz w:val="24"/>
                <w:szCs w:val="24"/>
              </w:rPr>
            </w:pPr>
            <w:r>
              <w:rPr>
                <w:rFonts w:hint="eastAsia"/>
                <w:sz w:val="24"/>
                <w:szCs w:val="24"/>
              </w:rPr>
              <w:t>废抹布</w:t>
            </w:r>
          </w:p>
        </w:tc>
        <w:tc>
          <w:tcPr>
            <w:tcW w:w="2551" w:type="dxa"/>
            <w:vAlign w:val="center"/>
          </w:tcPr>
          <w:p>
            <w:pPr>
              <w:pStyle w:val="22"/>
              <w:spacing w:line="360" w:lineRule="auto"/>
              <w:rPr>
                <w:sz w:val="24"/>
                <w:szCs w:val="24"/>
              </w:rPr>
            </w:pPr>
            <w:r>
              <w:rPr>
                <w:rFonts w:hint="eastAsia"/>
                <w:sz w:val="24"/>
                <w:szCs w:val="24"/>
              </w:rPr>
              <w:t>0.05</w:t>
            </w:r>
            <w:r>
              <w:rPr>
                <w:sz w:val="24"/>
                <w:szCs w:val="24"/>
              </w:rPr>
              <w:t>t/a</w:t>
            </w:r>
          </w:p>
        </w:tc>
        <w:tc>
          <w:tcPr>
            <w:tcW w:w="2869" w:type="dxa"/>
            <w:vAlign w:val="center"/>
          </w:tcPr>
          <w:p>
            <w:pPr>
              <w:spacing w:line="360" w:lineRule="auto"/>
              <w:jc w:val="center"/>
              <w:rPr>
                <w:rFonts w:ascii="Times New Roman" w:hAnsi="Times New Roman"/>
                <w:spacing w:val="-10"/>
                <w:szCs w:val="24"/>
              </w:rPr>
            </w:pPr>
            <w:r>
              <w:rPr>
                <w:rFonts w:hint="eastAsia" w:ascii="Times New Roman" w:hAnsi="Times New Roman"/>
                <w:spacing w:val="-10"/>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1459" w:hRule="atLeast"/>
        </w:trPr>
        <w:tc>
          <w:tcPr>
            <w:tcW w:w="1080" w:type="dxa"/>
            <w:vAlign w:val="center"/>
          </w:tcPr>
          <w:p>
            <w:pPr>
              <w:spacing w:line="360" w:lineRule="auto"/>
              <w:jc w:val="center"/>
              <w:rPr>
                <w:rFonts w:ascii="Times New Roman" w:hAnsi="Times New Roman"/>
                <w:spacing w:val="-10"/>
                <w:szCs w:val="24"/>
              </w:rPr>
            </w:pPr>
            <w:r>
              <w:rPr>
                <w:rFonts w:ascii="Times New Roman" w:hAnsi="Times New Roman"/>
                <w:spacing w:val="-10"/>
                <w:szCs w:val="24"/>
              </w:rPr>
              <w:t>噪</w:t>
            </w:r>
          </w:p>
          <w:p>
            <w:pPr>
              <w:spacing w:line="360" w:lineRule="auto"/>
              <w:jc w:val="center"/>
              <w:rPr>
                <w:rFonts w:ascii="Times New Roman" w:hAnsi="Times New Roman"/>
                <w:spacing w:val="-10"/>
                <w:szCs w:val="24"/>
              </w:rPr>
            </w:pPr>
            <w:r>
              <w:rPr>
                <w:rFonts w:ascii="Times New Roman" w:hAnsi="Times New Roman"/>
                <w:spacing w:val="-10"/>
                <w:szCs w:val="24"/>
              </w:rPr>
              <w:t>声</w:t>
            </w:r>
          </w:p>
        </w:tc>
        <w:tc>
          <w:tcPr>
            <w:tcW w:w="8480" w:type="dxa"/>
            <w:gridSpan w:val="5"/>
            <w:vAlign w:val="center"/>
          </w:tcPr>
          <w:p>
            <w:pPr>
              <w:pStyle w:val="32"/>
              <w:ind w:firstLine="360" w:firstLineChars="150"/>
              <w:rPr>
                <w:color w:val="FF0000"/>
              </w:rPr>
            </w:pPr>
            <w:r>
              <w:rPr>
                <w:kern w:val="2"/>
              </w:rPr>
              <w:t>本项目主要噪声源为</w:t>
            </w:r>
            <w:r>
              <w:rPr>
                <w:rFonts w:hint="eastAsia"/>
              </w:rPr>
              <w:t>印刷机及风机等</w:t>
            </w:r>
            <w:r>
              <w:rPr>
                <w:rFonts w:hint="eastAsia"/>
                <w:kern w:val="2"/>
              </w:rPr>
              <w:t>等设备噪声</w:t>
            </w:r>
            <w:r>
              <w:rPr>
                <w:kern w:val="2"/>
              </w:rPr>
              <w:t>，其源强约在65~80dB(A)之间。在合理布局的基础上进行基础减震，再经墙壁阻隔、吸声和距离衰减后，厂界噪声能够达到《工业企业厂界环境噪声排放标准》(GB12348-2008)中3类标准的要求（昼间：65dB（A）、夜间55dB（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982" w:hRule="atLeast"/>
        </w:trPr>
        <w:tc>
          <w:tcPr>
            <w:tcW w:w="1080" w:type="dxa"/>
            <w:vAlign w:val="center"/>
          </w:tcPr>
          <w:p>
            <w:pPr>
              <w:spacing w:line="360" w:lineRule="auto"/>
              <w:jc w:val="center"/>
              <w:rPr>
                <w:rFonts w:ascii="Times New Roman" w:hAnsi="Times New Roman"/>
                <w:spacing w:val="-10"/>
                <w:szCs w:val="24"/>
              </w:rPr>
            </w:pPr>
            <w:r>
              <w:rPr>
                <w:rFonts w:ascii="Times New Roman" w:hAnsi="Times New Roman"/>
                <w:spacing w:val="-10"/>
                <w:szCs w:val="24"/>
              </w:rPr>
              <w:t>其</w:t>
            </w:r>
          </w:p>
          <w:p>
            <w:pPr>
              <w:spacing w:line="360" w:lineRule="auto"/>
              <w:jc w:val="center"/>
              <w:rPr>
                <w:rFonts w:ascii="Times New Roman" w:hAnsi="Times New Roman"/>
                <w:spacing w:val="-10"/>
                <w:szCs w:val="24"/>
              </w:rPr>
            </w:pPr>
            <w:r>
              <w:rPr>
                <w:rFonts w:ascii="Times New Roman" w:hAnsi="Times New Roman"/>
                <w:spacing w:val="-10"/>
                <w:szCs w:val="24"/>
              </w:rPr>
              <w:t>他</w:t>
            </w:r>
          </w:p>
        </w:tc>
        <w:tc>
          <w:tcPr>
            <w:tcW w:w="8480" w:type="dxa"/>
            <w:gridSpan w:val="5"/>
            <w:vAlign w:val="center"/>
          </w:tcPr>
          <w:p>
            <w:pPr>
              <w:spacing w:line="360" w:lineRule="auto"/>
              <w:ind w:firstLine="440" w:firstLineChars="200"/>
              <w:rPr>
                <w:rFonts w:ascii="Times New Roman" w:hAnsi="Times New Roman"/>
                <w:color w:val="FF0000"/>
                <w:spacing w:val="-10"/>
                <w:szCs w:val="24"/>
              </w:rPr>
            </w:pPr>
            <w:r>
              <w:rPr>
                <w:rFonts w:ascii="Times New Roman" w:hAnsi="Times New Roman"/>
                <w:spacing w:val="-10"/>
                <w:szCs w:val="24"/>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982" w:hRule="atLeast"/>
        </w:trPr>
        <w:tc>
          <w:tcPr>
            <w:tcW w:w="9560" w:type="dxa"/>
            <w:gridSpan w:val="6"/>
            <w:vAlign w:val="center"/>
          </w:tcPr>
          <w:p>
            <w:pPr>
              <w:spacing w:beforeLines="50" w:line="360" w:lineRule="auto"/>
              <w:rPr>
                <w:rFonts w:ascii="Times New Roman" w:hAnsi="Times New Roman"/>
                <w:szCs w:val="24"/>
              </w:rPr>
            </w:pPr>
            <w:r>
              <w:rPr>
                <w:rFonts w:ascii="Times New Roman" w:hAnsi="Times New Roman"/>
                <w:szCs w:val="24"/>
              </w:rPr>
              <w:t xml:space="preserve">主要生态影响（不够时可另页） </w:t>
            </w:r>
          </w:p>
          <w:p>
            <w:pPr>
              <w:spacing w:line="360" w:lineRule="auto"/>
              <w:ind w:firstLine="480" w:firstLineChars="200"/>
              <w:rPr>
                <w:rFonts w:ascii="Times New Roman" w:hAnsi="Times New Roman"/>
                <w:szCs w:val="24"/>
              </w:rPr>
            </w:pPr>
            <w:r>
              <w:rPr>
                <w:rFonts w:ascii="Times New Roman" w:hAnsi="Times New Roman"/>
                <w:szCs w:val="24"/>
              </w:rPr>
              <w:t>项</w:t>
            </w:r>
            <w:r>
              <w:rPr>
                <w:rFonts w:ascii="Times New Roman" w:hAnsi="Times New Roman"/>
                <w:color w:val="000000"/>
                <w:szCs w:val="24"/>
              </w:rPr>
              <w:t>目</w:t>
            </w:r>
            <w:r>
              <w:rPr>
                <w:rFonts w:hint="eastAsia" w:ascii="Times New Roman" w:hAnsi="Times New Roman"/>
                <w:color w:val="000000"/>
                <w:szCs w:val="24"/>
              </w:rPr>
              <w:t>利用</w:t>
            </w:r>
            <w:r>
              <w:rPr>
                <w:rFonts w:ascii="Times New Roman" w:hAnsi="Times New Roman"/>
                <w:color w:val="000000"/>
                <w:szCs w:val="24"/>
              </w:rPr>
              <w:t>现有厂房进行生产，施工期结束，项目建设对周围生</w:t>
            </w:r>
            <w:r>
              <w:rPr>
                <w:rFonts w:ascii="Times New Roman" w:hAnsi="Times New Roman"/>
                <w:szCs w:val="24"/>
              </w:rPr>
              <w:t>态环境基本无影响。</w:t>
            </w:r>
          </w:p>
          <w:p>
            <w:pPr>
              <w:spacing w:line="360" w:lineRule="auto"/>
              <w:rPr>
                <w:rFonts w:ascii="Times New Roman" w:hAnsi="Times New Roman"/>
                <w:spacing w:val="-10"/>
                <w:szCs w:val="24"/>
              </w:rPr>
            </w:pPr>
          </w:p>
        </w:tc>
      </w:tr>
    </w:tbl>
    <w:p>
      <w:pPr>
        <w:pStyle w:val="3"/>
        <w:spacing w:before="0" w:after="0" w:line="360" w:lineRule="auto"/>
        <w:rPr>
          <w:rFonts w:ascii="Times New Roman" w:hAnsi="Times New Roman" w:eastAsia="黑体"/>
          <w:b w:val="0"/>
          <w:sz w:val="28"/>
          <w:szCs w:val="28"/>
        </w:rPr>
      </w:pPr>
      <w:r>
        <w:rPr>
          <w:rFonts w:ascii="Times New Roman" w:hAnsi="Times New Roman" w:eastAsia="黑体"/>
          <w:b w:val="0"/>
          <w:sz w:val="28"/>
          <w:szCs w:val="28"/>
        </w:rPr>
        <w:t>环境影响分析</w:t>
      </w:r>
    </w:p>
    <w:tbl>
      <w:tblPr>
        <w:tblStyle w:val="30"/>
        <w:tblW w:w="9689"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03" w:hRule="atLeast"/>
        </w:trPr>
        <w:tc>
          <w:tcPr>
            <w:tcW w:w="9689" w:type="dxa"/>
          </w:tcPr>
          <w:p>
            <w:pPr>
              <w:tabs>
                <w:tab w:val="left" w:pos="4678"/>
              </w:tabs>
              <w:spacing w:beforeLines="50" w:line="360" w:lineRule="auto"/>
              <w:rPr>
                <w:rFonts w:ascii="Times New Roman" w:hAnsi="Times New Roman" w:eastAsia="黑体"/>
                <w:sz w:val="28"/>
              </w:rPr>
            </w:pPr>
            <w:r>
              <w:rPr>
                <w:rFonts w:ascii="Times New Roman" w:hAnsi="Times New Roman" w:eastAsia="黑体"/>
                <w:sz w:val="28"/>
              </w:rPr>
              <w:t>施工期环境影响简要分析：</w:t>
            </w:r>
          </w:p>
          <w:p>
            <w:pPr>
              <w:rPr>
                <w:rFonts w:ascii="Times New Roman" w:hAnsi="Times New Roman"/>
              </w:rPr>
            </w:pPr>
            <w:r>
              <w:rPr>
                <w:rFonts w:ascii="Times New Roman" w:hAnsi="Times New Roman"/>
              </w:rPr>
              <w:t xml:space="preserve">  </w:t>
            </w:r>
            <w:r>
              <w:rPr>
                <w:rFonts w:hint="eastAsia"/>
              </w:rPr>
              <w:t>本项目</w:t>
            </w:r>
            <w:r>
              <w:rPr>
                <w:rFonts w:hint="eastAsia" w:ascii="Times New Roman" w:hAnsi="Times New Roman"/>
              </w:rPr>
              <w:t>利用现有厂房</w:t>
            </w:r>
            <w:r>
              <w:rPr>
                <w:rFonts w:ascii="Times New Roman" w:hAnsi="Times New Roman"/>
              </w:rPr>
              <w:t>，</w:t>
            </w:r>
            <w:r>
              <w:rPr>
                <w:rFonts w:hint="eastAsia" w:ascii="Times New Roman" w:hAnsi="Times New Roman"/>
              </w:rPr>
              <w:t>无施工建设期</w:t>
            </w:r>
            <w:r>
              <w:rPr>
                <w:rFonts w:ascii="Times New Roman" w:hAnsi="Times New Roman"/>
                <w:szCs w:val="24"/>
              </w:rPr>
              <w:t>，本次评价不对施工期环境影响进行分析。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252" w:hRule="atLeast"/>
        </w:trPr>
        <w:tc>
          <w:tcPr>
            <w:tcW w:w="9689" w:type="dxa"/>
            <w:tcBorders>
              <w:bottom w:val="single" w:color="auto" w:sz="4" w:space="0"/>
            </w:tcBorders>
          </w:tcPr>
          <w:p>
            <w:pPr>
              <w:pStyle w:val="41"/>
            </w:pPr>
            <w:bookmarkStart w:id="17" w:name="_Hlk45121773"/>
            <w:r>
              <w:t>营运期环境影响分析：</w:t>
            </w:r>
          </w:p>
          <w:p>
            <w:pPr>
              <w:pStyle w:val="32"/>
              <w:ind w:firstLine="480"/>
              <w:rPr>
                <w:color w:val="auto"/>
              </w:rPr>
            </w:pPr>
            <w:bookmarkStart w:id="18" w:name="_Hlk56455766"/>
            <w:r>
              <w:rPr>
                <w:color w:val="auto"/>
              </w:rPr>
              <w:t>项目运行过程中主要污染物为废气、废水、噪声、固废。</w:t>
            </w:r>
          </w:p>
          <w:p>
            <w:pPr>
              <w:pStyle w:val="32"/>
              <w:ind w:firstLine="480"/>
              <w:rPr>
                <w:rFonts w:eastAsia="黑体"/>
                <w:color w:val="auto"/>
              </w:rPr>
            </w:pPr>
            <w:bookmarkStart w:id="19" w:name="_Hlk43275990"/>
            <w:r>
              <w:rPr>
                <w:rFonts w:eastAsia="黑体"/>
              </w:rPr>
              <w:t>一、大气环境影响分析</w:t>
            </w:r>
          </w:p>
          <w:p>
            <w:pPr>
              <w:pStyle w:val="32"/>
              <w:ind w:firstLine="480"/>
              <w:rPr>
                <w:color w:val="auto"/>
              </w:rPr>
            </w:pPr>
            <w:r>
              <w:rPr>
                <w:color w:val="auto"/>
              </w:rPr>
              <w:t>项目废气主要是</w:t>
            </w:r>
            <w:r>
              <w:rPr>
                <w:rFonts w:hint="eastAsia"/>
                <w:color w:val="auto"/>
                <w:kern w:val="2"/>
                <w:szCs w:val="22"/>
              </w:rPr>
              <w:t>印刷工序</w:t>
            </w:r>
            <w:r>
              <w:rPr>
                <w:color w:val="auto"/>
                <w:kern w:val="2"/>
                <w:szCs w:val="22"/>
              </w:rPr>
              <w:t>产生的有机废气</w:t>
            </w:r>
            <w:r>
              <w:rPr>
                <w:color w:val="auto"/>
              </w:rPr>
              <w:t>，</w:t>
            </w:r>
            <w:r>
              <w:rPr>
                <w:rFonts w:hint="eastAsia"/>
                <w:color w:val="auto"/>
              </w:rPr>
              <w:t>主要通过生产车间封闭门窗的方式的进行封闭，每个印刷工位上方设置集气装置收集</w:t>
            </w:r>
            <w:r>
              <w:rPr>
                <w:color w:val="auto"/>
              </w:rPr>
              <w:t>，</w:t>
            </w:r>
            <w:r>
              <w:rPr>
                <w:rFonts w:hint="eastAsia"/>
                <w:color w:val="auto"/>
              </w:rPr>
              <w:t>经收集后的废气经</w:t>
            </w:r>
            <w:r>
              <w:rPr>
                <w:color w:val="auto"/>
              </w:rPr>
              <w:t>“</w:t>
            </w:r>
            <w:r>
              <w:rPr>
                <w:rFonts w:hint="eastAsia"/>
                <w:color w:val="auto"/>
              </w:rPr>
              <w:t>活性炭浓缩+催化燃烧</w:t>
            </w:r>
            <w:r>
              <w:rPr>
                <w:color w:val="auto"/>
              </w:rPr>
              <w:t>”装置处理后通过</w:t>
            </w:r>
            <w:r>
              <w:rPr>
                <w:rFonts w:hint="eastAsia"/>
                <w:color w:val="auto"/>
              </w:rPr>
              <w:t>15m高排气筒</w:t>
            </w:r>
            <w:r>
              <w:rPr>
                <w:color w:val="auto"/>
              </w:rPr>
              <w:t>排放，</w:t>
            </w:r>
            <w:r>
              <w:rPr>
                <w:rFonts w:hint="eastAsia"/>
                <w:color w:val="auto"/>
              </w:rPr>
              <w:t>废气处理设备通过采用高效的蜂窝状活性炭作为吸附剂，比表面积大，吸-脱性能好，全自动化控制，当吸附达到一定量时自动进行脱附燃烧，保证活性炭的体安装量及足够的废气停留时间及吸附时间，进而保证废气</w:t>
            </w:r>
            <w:r>
              <w:rPr>
                <w:color w:val="auto"/>
              </w:rPr>
              <w:t>处理效率不低于</w:t>
            </w:r>
            <w:r>
              <w:rPr>
                <w:rFonts w:hint="eastAsia"/>
                <w:color w:val="auto"/>
              </w:rPr>
              <w:t>9</w:t>
            </w:r>
            <w:r>
              <w:rPr>
                <w:color w:val="auto"/>
              </w:rPr>
              <w:t>0%</w:t>
            </w:r>
            <w:r>
              <w:rPr>
                <w:rFonts w:hint="eastAsia"/>
                <w:color w:val="auto"/>
              </w:rPr>
              <w:t>，</w:t>
            </w:r>
            <w:r>
              <w:rPr>
                <w:color w:val="auto"/>
              </w:rPr>
              <w:t>配套风机风量为</w:t>
            </w:r>
            <w:r>
              <w:rPr>
                <w:rFonts w:hint="eastAsia"/>
                <w:color w:val="auto"/>
              </w:rPr>
              <w:t>20000</w:t>
            </w:r>
            <w:r>
              <w:rPr>
                <w:color w:val="auto"/>
              </w:rPr>
              <w:t>m</w:t>
            </w:r>
            <w:r>
              <w:rPr>
                <w:color w:val="auto"/>
                <w:vertAlign w:val="superscript"/>
              </w:rPr>
              <w:t>3</w:t>
            </w:r>
            <w:r>
              <w:rPr>
                <w:color w:val="auto"/>
              </w:rPr>
              <w:t>/h。</w:t>
            </w:r>
          </w:p>
          <w:p>
            <w:pPr>
              <w:pStyle w:val="32"/>
              <w:ind w:firstLine="480"/>
            </w:pPr>
            <w:r>
              <w:t>项目</w:t>
            </w:r>
            <w:r>
              <w:rPr>
                <w:rFonts w:hint="eastAsia"/>
                <w:kern w:val="2"/>
                <w:szCs w:val="21"/>
              </w:rPr>
              <w:t>印刷</w:t>
            </w:r>
            <w:r>
              <w:t>工序相关设备与</w:t>
            </w:r>
            <w:r>
              <w:rPr>
                <w:rFonts w:hint="eastAsia"/>
              </w:rPr>
              <w:t>催化燃烧装置</w:t>
            </w:r>
            <w:r>
              <w:t>设置</w:t>
            </w:r>
            <w:r>
              <w:rPr>
                <w:rFonts w:hint="eastAsia"/>
              </w:rPr>
              <w:t>自动同步启动</w:t>
            </w:r>
            <w:r>
              <w:t>装置，上述任一工序运行过程中，</w:t>
            </w:r>
            <w:r>
              <w:rPr>
                <w:rFonts w:hint="eastAsia"/>
              </w:rPr>
              <w:t>催化燃烧装置</w:t>
            </w:r>
            <w:r>
              <w:t>需处于正常运行状态中，保证项目废气的正常收集和处理。</w:t>
            </w:r>
            <w:r>
              <w:rPr>
                <w:rFonts w:hint="eastAsia"/>
              </w:rPr>
              <w:t>企业将配套电量智能管控系统，采集全厂及废气收集处理设施用电情况，并与市生态环境局联网，便于环保部门监管</w:t>
            </w:r>
            <w:r>
              <w:t>。</w:t>
            </w:r>
            <w:r>
              <w:rPr>
                <w:kern w:val="2"/>
                <w:szCs w:val="22"/>
              </w:rPr>
              <w:t>项目采用的活性炭吸附装置采用PLC全自动化控制方式，利用压力差实时监测系统及活性炭饱和自动报警装置可自动记录活性炭更换记录，特设电脑触摸屏实时监控、记录，系统设有自动监视记录读取系统，用电脑、连接线、手机APP都可随时得到设备运行状况</w:t>
            </w:r>
            <w:r>
              <w:rPr>
                <w:rFonts w:hint="eastAsia"/>
              </w:rPr>
              <w:t>。</w:t>
            </w:r>
          </w:p>
          <w:p>
            <w:pPr>
              <w:pStyle w:val="32"/>
              <w:ind w:firstLine="482"/>
              <w:rPr>
                <w:b/>
                <w:bCs/>
                <w:color w:val="auto"/>
                <w:kern w:val="2"/>
              </w:rPr>
            </w:pPr>
            <w:r>
              <w:rPr>
                <w:rFonts w:hint="eastAsia"/>
                <w:b/>
                <w:bCs/>
                <w:color w:val="auto"/>
                <w:kern w:val="2"/>
              </w:rPr>
              <w:t>（1）有组织废气</w:t>
            </w:r>
          </w:p>
          <w:p>
            <w:pPr>
              <w:autoSpaceDE w:val="0"/>
              <w:autoSpaceDN w:val="0"/>
              <w:spacing w:line="360" w:lineRule="auto"/>
              <w:ind w:firstLine="480" w:firstLineChars="200"/>
              <w:rPr>
                <w:rFonts w:ascii="Times New Roman" w:hAnsi="Times New Roman"/>
                <w:szCs w:val="24"/>
              </w:rPr>
            </w:pPr>
            <w:r>
              <w:rPr>
                <w:rFonts w:hint="eastAsia" w:ascii="Times New Roman" w:hAnsi="Times New Roman"/>
                <w:szCs w:val="24"/>
              </w:rPr>
              <w:t>生产有组织废气主要为</w:t>
            </w:r>
            <w:r>
              <w:rPr>
                <w:rFonts w:ascii="Times New Roman" w:hAnsi="Times New Roman"/>
                <w:szCs w:val="24"/>
              </w:rPr>
              <w:t>印刷工序产生的废气，主要污染物为挥发性有机物（VOCs）。</w:t>
            </w:r>
          </w:p>
          <w:p>
            <w:pPr>
              <w:autoSpaceDE w:val="0"/>
              <w:autoSpaceDN w:val="0"/>
              <w:spacing w:line="360" w:lineRule="auto"/>
              <w:ind w:firstLine="480" w:firstLineChars="200"/>
              <w:rPr>
                <w:rFonts w:ascii="Times New Roman" w:hAnsi="Times New Roman"/>
                <w:kern w:val="2"/>
                <w:szCs w:val="24"/>
              </w:rPr>
            </w:pPr>
            <w:r>
              <w:rPr>
                <w:rFonts w:ascii="Times New Roman" w:hAnsi="Times New Roman"/>
                <w:kern w:val="2"/>
                <w:szCs w:val="24"/>
              </w:rPr>
              <w:t>根据建设单位提供资料，项目油墨用量为2t/a、稀释剂环己酮用量为0.4t/a。</w:t>
            </w:r>
            <w:r>
              <w:rPr>
                <w:rFonts w:hint="eastAsia" w:ascii="Times New Roman" w:hAnsi="Times New Roman"/>
                <w:kern w:val="2"/>
              </w:rPr>
              <w:t>根据企业提供的资料，油墨主要成分环氧树脂含量50-60%，有机颜料5-15%，酯类溶剂30%左右。本次环评保守计算，油墨中V</w:t>
            </w:r>
            <w:r>
              <w:rPr>
                <w:rFonts w:ascii="Times New Roman" w:hAnsi="Times New Roman"/>
                <w:kern w:val="2"/>
              </w:rPr>
              <w:t>OCs</w:t>
            </w:r>
            <w:r>
              <w:rPr>
                <w:rFonts w:hint="eastAsia" w:ascii="Times New Roman" w:hAnsi="Times New Roman"/>
                <w:kern w:val="2"/>
              </w:rPr>
              <w:t>含量为</w:t>
            </w:r>
            <w:r>
              <w:rPr>
                <w:rFonts w:ascii="Times New Roman" w:hAnsi="Times New Roman"/>
                <w:kern w:val="2"/>
              </w:rPr>
              <w:t>30</w:t>
            </w:r>
            <w:r>
              <w:rPr>
                <w:rFonts w:hint="eastAsia" w:ascii="Times New Roman" w:hAnsi="Times New Roman"/>
                <w:kern w:val="2"/>
              </w:rPr>
              <w:t>%，</w:t>
            </w:r>
            <w:r>
              <w:rPr>
                <w:rFonts w:ascii="Times New Roman" w:hAnsi="Times New Roman"/>
                <w:kern w:val="2"/>
                <w:szCs w:val="24"/>
              </w:rPr>
              <w:t>稀释剂以全部挥发计，则本项目VOCs的产生量为1t/a，印刷工序在印刷车间内进行，在印刷工序上方设置集气装置，经集气罩收集（收集效率约为90%），约0.90t/a，被收集后经</w:t>
            </w:r>
            <w:r>
              <w:rPr>
                <w:rFonts w:hint="eastAsia" w:ascii="Times New Roman" w:hAnsi="Times New Roman"/>
                <w:kern w:val="2"/>
                <w:szCs w:val="22"/>
              </w:rPr>
              <w:t>活性炭吸附+催化燃烧设备</w:t>
            </w:r>
            <w:r>
              <w:rPr>
                <w:rFonts w:ascii="Times New Roman" w:hAnsi="Times New Roman"/>
                <w:kern w:val="2"/>
                <w:szCs w:val="24"/>
              </w:rPr>
              <w:t>处理，年工作时间1800h（每天工作时间6h</w:t>
            </w:r>
            <w:r>
              <w:rPr>
                <w:rFonts w:hint="eastAsia" w:ascii="Times New Roman" w:hAnsi="Times New Roman"/>
                <w:kern w:val="2"/>
                <w:szCs w:val="24"/>
              </w:rPr>
              <w:t>，年工作</w:t>
            </w:r>
            <w:r>
              <w:rPr>
                <w:rFonts w:ascii="Times New Roman" w:hAnsi="Times New Roman"/>
                <w:kern w:val="2"/>
                <w:szCs w:val="24"/>
              </w:rPr>
              <w:t>300d）</w:t>
            </w:r>
            <w:r>
              <w:rPr>
                <w:rFonts w:hint="eastAsia" w:ascii="Times New Roman" w:hAnsi="Times New Roman"/>
                <w:kern w:val="2"/>
                <w:szCs w:val="24"/>
              </w:rPr>
              <w:t>风机风量为20000m</w:t>
            </w:r>
            <w:r>
              <w:rPr>
                <w:rFonts w:hint="eastAsia" w:ascii="Times New Roman" w:hAnsi="Times New Roman"/>
                <w:kern w:val="2"/>
                <w:szCs w:val="24"/>
                <w:vertAlign w:val="superscript"/>
              </w:rPr>
              <w:t>3</w:t>
            </w:r>
            <w:r>
              <w:rPr>
                <w:rFonts w:hint="eastAsia" w:ascii="Times New Roman" w:hAnsi="Times New Roman"/>
                <w:kern w:val="2"/>
                <w:szCs w:val="24"/>
              </w:rPr>
              <w:t>/h，</w:t>
            </w:r>
            <w:r>
              <w:rPr>
                <w:rFonts w:ascii="Times New Roman" w:hAnsi="Times New Roman"/>
                <w:kern w:val="2"/>
                <w:szCs w:val="24"/>
              </w:rPr>
              <w:t>由</w:t>
            </w:r>
            <w:r>
              <w:rPr>
                <w:rFonts w:hint="eastAsia" w:ascii="Times New Roman" w:hAnsi="Times New Roman"/>
                <w:kern w:val="2"/>
                <w:szCs w:val="24"/>
              </w:rPr>
              <w:t>15m高高</w:t>
            </w:r>
            <w:r>
              <w:rPr>
                <w:rFonts w:ascii="Times New Roman" w:hAnsi="Times New Roman"/>
                <w:kern w:val="2"/>
                <w:szCs w:val="24"/>
              </w:rPr>
              <w:t>的排气筒有组织排放。</w:t>
            </w:r>
            <w:r>
              <w:rPr>
                <w:rFonts w:ascii="Times New Roman" w:hAnsi="Times New Roman"/>
                <w:kern w:val="2"/>
                <w:szCs w:val="22"/>
              </w:rPr>
              <w:t>经计算，</w:t>
            </w:r>
            <w:r>
              <w:rPr>
                <w:rFonts w:ascii="Times New Roman" w:hAnsi="Times New Roman"/>
              </w:rPr>
              <w:t>VOC</w:t>
            </w:r>
            <w:r>
              <w:rPr>
                <w:rFonts w:ascii="Times New Roman" w:hAnsi="Times New Roman"/>
                <w:vertAlign w:val="subscript"/>
              </w:rPr>
              <w:t>S</w:t>
            </w:r>
            <w:r>
              <w:rPr>
                <w:rFonts w:hint="eastAsia" w:ascii="Times New Roman" w:hAnsi="Times New Roman"/>
              </w:rPr>
              <w:t>有组织排放量约为0.09t/a，</w:t>
            </w:r>
            <w:r>
              <w:rPr>
                <w:rFonts w:ascii="Times New Roman" w:hAnsi="Times New Roman"/>
                <w:szCs w:val="24"/>
              </w:rPr>
              <w:t>排放浓度</w:t>
            </w:r>
            <w:r>
              <w:rPr>
                <w:rFonts w:hint="eastAsia" w:ascii="Times New Roman" w:hAnsi="Times New Roman"/>
                <w:szCs w:val="24"/>
              </w:rPr>
              <w:t>2.50</w:t>
            </w:r>
            <w:r>
              <w:rPr>
                <w:rFonts w:ascii="Times New Roman" w:hAnsi="Times New Roman"/>
                <w:szCs w:val="24"/>
              </w:rPr>
              <w:t>mg/m</w:t>
            </w:r>
            <w:r>
              <w:rPr>
                <w:rFonts w:ascii="Times New Roman" w:hAnsi="Times New Roman"/>
                <w:szCs w:val="24"/>
                <w:vertAlign w:val="superscript"/>
              </w:rPr>
              <w:t>3</w:t>
            </w:r>
            <w:r>
              <w:rPr>
                <w:rFonts w:ascii="Times New Roman" w:hAnsi="Times New Roman"/>
                <w:szCs w:val="24"/>
              </w:rPr>
              <w:t>，排放速率</w:t>
            </w:r>
            <w:r>
              <w:rPr>
                <w:rFonts w:hint="eastAsia" w:ascii="Times New Roman" w:hAnsi="Times New Roman"/>
                <w:szCs w:val="24"/>
              </w:rPr>
              <w:t>0.05kg/h</w:t>
            </w:r>
            <w:r>
              <w:rPr>
                <w:rFonts w:ascii="Times New Roman" w:hAnsi="Times New Roman"/>
                <w:szCs w:val="24"/>
              </w:rPr>
              <w:t>，</w:t>
            </w:r>
            <w:r>
              <w:rPr>
                <w:rFonts w:hint="eastAsia" w:ascii="Times New Roman" w:hAnsi="Times New Roman"/>
                <w:szCs w:val="24"/>
              </w:rPr>
              <w:t>V</w:t>
            </w:r>
            <w:r>
              <w:rPr>
                <w:rFonts w:ascii="Times New Roman" w:hAnsi="Times New Roman"/>
                <w:szCs w:val="24"/>
              </w:rPr>
              <w:t>OCs排放浓度及排放速率均符合</w:t>
            </w:r>
            <w:r>
              <w:rPr>
                <w:rFonts w:hint="eastAsia" w:ascii="Times New Roman" w:hAnsi="Times New Roman"/>
                <w:szCs w:val="24"/>
              </w:rPr>
              <w:t>《挥发性有机物排放标准第</w:t>
            </w:r>
            <w:r>
              <w:rPr>
                <w:rFonts w:ascii="Times New Roman" w:hAnsi="Times New Roman"/>
                <w:szCs w:val="24"/>
              </w:rPr>
              <w:t>4部分：印刷业》(DB37/2801.4-2017)表2标准要求（VOCs排放浓度50mg/m</w:t>
            </w:r>
            <w:r>
              <w:rPr>
                <w:rFonts w:ascii="Times New Roman" w:hAnsi="Times New Roman"/>
                <w:szCs w:val="24"/>
                <w:vertAlign w:val="superscript"/>
              </w:rPr>
              <w:t>3</w:t>
            </w:r>
            <w:r>
              <w:rPr>
                <w:rFonts w:ascii="Times New Roman" w:hAnsi="Times New Roman"/>
                <w:szCs w:val="24"/>
              </w:rPr>
              <w:t>，排放速率1.5kg/h</w:t>
            </w:r>
            <w:r>
              <w:rPr>
                <w:rFonts w:hint="eastAsia" w:ascii="Times New Roman" w:hAnsi="Times New Roman"/>
                <w:szCs w:val="24"/>
              </w:rPr>
              <w:t>）</w:t>
            </w:r>
            <w:r>
              <w:rPr>
                <w:rFonts w:ascii="Times New Roman" w:hAnsi="Times New Roman"/>
                <w:szCs w:val="24"/>
              </w:rPr>
              <w:t>。</w:t>
            </w:r>
          </w:p>
          <w:p>
            <w:pPr>
              <w:pStyle w:val="32"/>
              <w:ind w:firstLine="482"/>
              <w:rPr>
                <w:b/>
                <w:bCs/>
                <w:color w:val="auto"/>
                <w:kern w:val="2"/>
              </w:rPr>
            </w:pPr>
            <w:r>
              <w:rPr>
                <w:rFonts w:hint="eastAsia"/>
                <w:b/>
                <w:bCs/>
                <w:color w:val="auto"/>
                <w:kern w:val="2"/>
              </w:rPr>
              <w:t>（2）</w:t>
            </w:r>
            <w:r>
              <w:rPr>
                <w:b/>
                <w:bCs/>
                <w:color w:val="auto"/>
                <w:kern w:val="2"/>
              </w:rPr>
              <w:t>无组织废气</w:t>
            </w:r>
          </w:p>
          <w:p>
            <w:pPr>
              <w:spacing w:line="360" w:lineRule="auto"/>
              <w:ind w:firstLine="480" w:firstLineChars="200"/>
              <w:rPr>
                <w:rFonts w:ascii="Times New Roman" w:hAnsi="Times New Roman"/>
                <w:kern w:val="0"/>
                <w:szCs w:val="24"/>
              </w:rPr>
            </w:pPr>
            <w:r>
              <w:rPr>
                <w:rFonts w:hint="eastAsia" w:ascii="Times New Roman" w:hAnsi="Times New Roman"/>
                <w:color w:val="000000"/>
                <w:kern w:val="0"/>
                <w:szCs w:val="24"/>
              </w:rPr>
              <w:t>项目无组织废气主要为印刷工序在开关门物料运输过程中</w:t>
            </w:r>
            <w:r>
              <w:rPr>
                <w:rFonts w:ascii="Times New Roman" w:hAnsi="Times New Roman"/>
                <w:color w:val="000000"/>
                <w:kern w:val="0"/>
                <w:szCs w:val="24"/>
              </w:rPr>
              <w:t>未经收集的VOCs</w:t>
            </w:r>
            <w:r>
              <w:rPr>
                <w:rFonts w:hint="eastAsia" w:ascii="Times New Roman" w:hAnsi="Times New Roman"/>
                <w:color w:val="000000"/>
                <w:kern w:val="0"/>
                <w:szCs w:val="24"/>
              </w:rPr>
              <w:t>，收集效率按9</w:t>
            </w:r>
            <w:r>
              <w:rPr>
                <w:rFonts w:ascii="Times New Roman" w:hAnsi="Times New Roman"/>
                <w:color w:val="000000"/>
                <w:kern w:val="0"/>
                <w:szCs w:val="24"/>
              </w:rPr>
              <w:t>0</w:t>
            </w:r>
            <w:r>
              <w:rPr>
                <w:rFonts w:hint="eastAsia" w:ascii="Times New Roman" w:hAnsi="Times New Roman"/>
                <w:color w:val="000000"/>
                <w:kern w:val="0"/>
                <w:szCs w:val="24"/>
              </w:rPr>
              <w:t>%计算，其中V</w:t>
            </w:r>
            <w:r>
              <w:rPr>
                <w:rFonts w:ascii="Times New Roman" w:hAnsi="Times New Roman"/>
                <w:color w:val="000000"/>
                <w:kern w:val="0"/>
                <w:szCs w:val="24"/>
              </w:rPr>
              <w:t>OCs</w:t>
            </w:r>
            <w:r>
              <w:rPr>
                <w:rFonts w:hint="eastAsia" w:ascii="Times New Roman" w:hAnsi="Times New Roman"/>
                <w:color w:val="000000"/>
                <w:kern w:val="0"/>
                <w:szCs w:val="24"/>
              </w:rPr>
              <w:t>无组织排放量为</w:t>
            </w:r>
            <w:r>
              <w:rPr>
                <w:rFonts w:ascii="Times New Roman" w:hAnsi="Times New Roman"/>
                <w:color w:val="000000"/>
                <w:kern w:val="0"/>
                <w:szCs w:val="24"/>
              </w:rPr>
              <w:t>0.10t/a</w:t>
            </w:r>
            <w:r>
              <w:rPr>
                <w:rFonts w:hint="eastAsia" w:ascii="Times New Roman" w:hAnsi="Times New Roman"/>
                <w:color w:val="000000"/>
                <w:kern w:val="0"/>
                <w:szCs w:val="24"/>
              </w:rPr>
              <w:t>，排放量较少，对周围大气环境影响很小</w:t>
            </w:r>
            <w:r>
              <w:rPr>
                <w:rFonts w:hint="eastAsia" w:ascii="Times New Roman" w:hAnsi="Times New Roman"/>
                <w:kern w:val="0"/>
                <w:szCs w:val="24"/>
              </w:rPr>
              <w:t>。</w:t>
            </w:r>
            <w:bookmarkEnd w:id="19"/>
          </w:p>
          <w:p>
            <w:pPr>
              <w:spacing w:line="360" w:lineRule="auto"/>
              <w:ind w:firstLine="480" w:firstLineChars="200"/>
              <w:rPr>
                <w:rFonts w:ascii="Times New Roman" w:hAnsi="Times New Roman"/>
                <w:kern w:val="2"/>
                <w:szCs w:val="24"/>
              </w:rPr>
            </w:pPr>
            <w:r>
              <w:rPr>
                <w:rFonts w:ascii="Times New Roman" w:hAnsi="Times New Roman"/>
                <w:kern w:val="2"/>
                <w:szCs w:val="24"/>
              </w:rPr>
              <w:t>使用</w:t>
            </w:r>
            <w:r>
              <w:rPr>
                <w:rFonts w:ascii="Times New Roman" w:hAnsi="Times New Roman"/>
                <w:kern w:val="0"/>
                <w:szCs w:val="24"/>
              </w:rPr>
              <w:t>《环境影响评价技术导则 大气环境》（HJ 2.2—2018）推荐的估算模型Aerscreen对无组织排放的污染物浓度进行估算，项目VOC</w:t>
            </w:r>
            <w:r>
              <w:rPr>
                <w:rFonts w:ascii="Times New Roman" w:hAnsi="Times New Roman"/>
                <w:kern w:val="0"/>
                <w:szCs w:val="24"/>
                <w:vertAlign w:val="subscript"/>
              </w:rPr>
              <w:t>s</w:t>
            </w:r>
            <w:r>
              <w:rPr>
                <w:rFonts w:ascii="Times New Roman" w:hAnsi="Times New Roman"/>
                <w:kern w:val="2"/>
                <w:szCs w:val="24"/>
              </w:rPr>
              <w:t>最大落地浓度约为0.028mg/m</w:t>
            </w:r>
            <w:r>
              <w:rPr>
                <w:rFonts w:ascii="Times New Roman" w:hAnsi="Times New Roman"/>
                <w:kern w:val="2"/>
                <w:szCs w:val="24"/>
                <w:vertAlign w:val="superscript"/>
              </w:rPr>
              <w:t>3</w:t>
            </w:r>
            <w:r>
              <w:rPr>
                <w:rFonts w:ascii="Times New Roman" w:hAnsi="Times New Roman"/>
                <w:kern w:val="2"/>
                <w:szCs w:val="24"/>
              </w:rPr>
              <w:t>，</w:t>
            </w:r>
            <w:r>
              <w:rPr>
                <w:rFonts w:ascii="Times New Roman" w:hAnsi="Times New Roman"/>
                <w:kern w:val="0"/>
                <w:szCs w:val="24"/>
              </w:rPr>
              <w:t>VOC</w:t>
            </w:r>
            <w:r>
              <w:rPr>
                <w:rFonts w:ascii="Times New Roman" w:hAnsi="Times New Roman"/>
                <w:kern w:val="0"/>
                <w:szCs w:val="24"/>
                <w:vertAlign w:val="subscript"/>
              </w:rPr>
              <w:t>s</w:t>
            </w:r>
            <w:r>
              <w:rPr>
                <w:rFonts w:ascii="Times New Roman" w:hAnsi="Times New Roman"/>
                <w:kern w:val="2"/>
                <w:szCs w:val="24"/>
              </w:rPr>
              <w:t>无组织排放</w:t>
            </w:r>
            <w:r>
              <w:rPr>
                <w:rFonts w:ascii="Times New Roman" w:hAnsi="Times New Roman"/>
                <w:kern w:val="0"/>
                <w:szCs w:val="24"/>
              </w:rPr>
              <w:t>满足</w:t>
            </w:r>
            <w:r>
              <w:rPr>
                <w:rFonts w:ascii="Times New Roman" w:hAnsi="Times New Roman"/>
              </w:rPr>
              <w:t>《挥发性有机物排放标准第4部分：印刷业》(DB37/2801.4-2017)表3标准要求</w:t>
            </w:r>
            <w:r>
              <w:rPr>
                <w:rFonts w:hint="eastAsia" w:ascii="Times New Roman" w:hAnsi="Times New Roman"/>
              </w:rPr>
              <w:t>（</w:t>
            </w:r>
            <w:r>
              <w:rPr>
                <w:rFonts w:ascii="Times New Roman" w:hAnsi="Times New Roman"/>
                <w:kern w:val="2"/>
                <w:szCs w:val="32"/>
              </w:rPr>
              <w:t>VOC</w:t>
            </w:r>
            <w:r>
              <w:rPr>
                <w:rFonts w:ascii="Times New Roman" w:hAnsi="Times New Roman"/>
                <w:kern w:val="2"/>
                <w:szCs w:val="32"/>
                <w:vertAlign w:val="subscript"/>
              </w:rPr>
              <w:t>s</w:t>
            </w:r>
            <w:r>
              <w:rPr>
                <w:rFonts w:ascii="Times New Roman" w:hAnsi="Times New Roman"/>
                <w:kern w:val="2"/>
                <w:szCs w:val="32"/>
              </w:rPr>
              <w:t>：2.0 mg/m</w:t>
            </w:r>
            <w:r>
              <w:rPr>
                <w:rFonts w:ascii="Times New Roman" w:hAnsi="Times New Roman"/>
                <w:kern w:val="2"/>
                <w:szCs w:val="32"/>
                <w:vertAlign w:val="superscript"/>
              </w:rPr>
              <w:t>3</w:t>
            </w:r>
            <w:r>
              <w:rPr>
                <w:rFonts w:ascii="Times New Roman" w:hAnsi="Times New Roman"/>
                <w:kern w:val="2"/>
                <w:szCs w:val="32"/>
              </w:rPr>
              <w:t>）</w:t>
            </w:r>
            <w:r>
              <w:rPr>
                <w:rFonts w:hint="eastAsia"/>
              </w:rPr>
              <w:t>。</w:t>
            </w:r>
          </w:p>
          <w:p>
            <w:pPr>
              <w:spacing w:line="360" w:lineRule="auto"/>
              <w:ind w:firstLine="480" w:firstLineChars="200"/>
              <w:rPr>
                <w:rFonts w:ascii="Times New Roman" w:hAnsi="Times New Roman"/>
                <w:kern w:val="2"/>
                <w:szCs w:val="24"/>
              </w:rPr>
            </w:pPr>
            <w:r>
              <w:rPr>
                <w:rFonts w:ascii="Times New Roman" w:hAnsi="Times New Roman"/>
                <w:kern w:val="2"/>
                <w:szCs w:val="24"/>
              </w:rPr>
              <w:t>根据《挥发性有机物无组织排放控制标准》（GB37822-2019）附录A.1厂区内VOC</w:t>
            </w:r>
            <w:r>
              <w:rPr>
                <w:rFonts w:ascii="Times New Roman" w:hAnsi="Times New Roman"/>
                <w:kern w:val="2"/>
                <w:szCs w:val="24"/>
                <w:vertAlign w:val="subscript"/>
              </w:rPr>
              <w:t>s</w:t>
            </w:r>
            <w:r>
              <w:rPr>
                <w:rFonts w:ascii="Times New Roman" w:hAnsi="Times New Roman"/>
                <w:kern w:val="2"/>
                <w:szCs w:val="24"/>
              </w:rPr>
              <w:t>无组织排放限值要求，无组织排放监控位置在厂房外设置监控点，VOC</w:t>
            </w:r>
            <w:r>
              <w:rPr>
                <w:rFonts w:ascii="Times New Roman" w:hAnsi="Times New Roman"/>
                <w:kern w:val="2"/>
                <w:szCs w:val="24"/>
                <w:vertAlign w:val="subscript"/>
              </w:rPr>
              <w:t>s</w:t>
            </w:r>
            <w:r>
              <w:rPr>
                <w:rFonts w:ascii="Times New Roman" w:hAnsi="Times New Roman"/>
                <w:kern w:val="2"/>
                <w:szCs w:val="24"/>
              </w:rPr>
              <w:t>厂房外监控点浓度不会超过最大落地浓度，根据环评预测结果，VOC</w:t>
            </w:r>
            <w:r>
              <w:rPr>
                <w:rFonts w:ascii="Times New Roman" w:hAnsi="Times New Roman"/>
                <w:kern w:val="2"/>
                <w:szCs w:val="24"/>
                <w:vertAlign w:val="subscript"/>
              </w:rPr>
              <w:t>s</w:t>
            </w:r>
            <w:r>
              <w:rPr>
                <w:rFonts w:ascii="Times New Roman" w:hAnsi="Times New Roman"/>
                <w:kern w:val="2"/>
                <w:szCs w:val="24"/>
              </w:rPr>
              <w:t>厂内浓度不超过0.028 mg/m</w:t>
            </w:r>
            <w:r>
              <w:rPr>
                <w:rFonts w:ascii="Times New Roman" w:hAnsi="Times New Roman"/>
                <w:kern w:val="2"/>
                <w:szCs w:val="24"/>
                <w:vertAlign w:val="superscript"/>
              </w:rPr>
              <w:t>3</w:t>
            </w:r>
            <w:r>
              <w:rPr>
                <w:rFonts w:ascii="Times New Roman" w:hAnsi="Times New Roman"/>
                <w:kern w:val="2"/>
                <w:szCs w:val="24"/>
              </w:rPr>
              <w:t>，满足《挥发性有机物无组织排放控制标准》（GB37822-2019）附录A.1排放限值要求。</w:t>
            </w:r>
          </w:p>
          <w:p>
            <w:pPr>
              <w:pStyle w:val="32"/>
              <w:ind w:firstLine="480"/>
            </w:pPr>
            <w:r>
              <w:rPr>
                <w:rFonts w:hint="eastAsia"/>
              </w:rPr>
              <w:t>（</w:t>
            </w:r>
            <w:r>
              <w:t>3</w:t>
            </w:r>
            <w:r>
              <w:rPr>
                <w:rFonts w:hint="eastAsia"/>
              </w:rPr>
              <w:t>）</w:t>
            </w:r>
            <w:r>
              <w:t>大气等级评定</w:t>
            </w:r>
          </w:p>
          <w:p>
            <w:pPr>
              <w:pStyle w:val="32"/>
              <w:ind w:firstLine="480"/>
            </w:pPr>
            <w:r>
              <w:t>本次评价选择《环境影响评价技术导则 大气环境》（HJ 2.2-2018）中推荐的AERSCREEN估算模型对项目投产后的大气环境影响进行预测，按评价工作分级判据进行分级。</w:t>
            </w:r>
          </w:p>
          <w:p>
            <w:pPr>
              <w:pStyle w:val="65"/>
              <w:keepNext/>
              <w:keepLines/>
              <w:numPr>
                <w:ilvl w:val="0"/>
                <w:numId w:val="3"/>
              </w:numPr>
              <w:adjustRightInd w:val="0"/>
              <w:snapToGrid w:val="0"/>
              <w:spacing w:line="500" w:lineRule="exact"/>
              <w:ind w:firstLineChars="0"/>
              <w:rPr>
                <w:rFonts w:ascii="Times New Roman" w:hAnsi="Times New Roman"/>
                <w:kern w:val="2"/>
                <w:szCs w:val="24"/>
              </w:rPr>
            </w:pPr>
            <w:r>
              <w:rPr>
                <w:rFonts w:ascii="Times New Roman" w:hAnsi="Times New Roman"/>
                <w:kern w:val="2"/>
                <w:szCs w:val="24"/>
              </w:rPr>
              <w:t>项目源强参数</w:t>
            </w:r>
          </w:p>
          <w:p>
            <w:pPr>
              <w:keepNext/>
              <w:keepLines/>
              <w:adjustRightInd w:val="0"/>
              <w:snapToGrid w:val="0"/>
              <w:spacing w:line="500" w:lineRule="exact"/>
              <w:ind w:firstLine="480" w:firstLineChars="200"/>
              <w:rPr>
                <w:rFonts w:ascii="Times New Roman" w:hAnsi="Times New Roman"/>
                <w:kern w:val="2"/>
                <w:szCs w:val="24"/>
              </w:rPr>
            </w:pPr>
            <w:r>
              <w:rPr>
                <w:rFonts w:ascii="Times New Roman" w:hAnsi="Times New Roman"/>
                <w:kern w:val="2"/>
                <w:szCs w:val="24"/>
              </w:rPr>
              <w:t>本项目废气分为有组织和无组织排放两部分，主要废气污染源排放参数详见表2</w:t>
            </w:r>
            <w:r>
              <w:rPr>
                <w:rFonts w:hint="eastAsia" w:ascii="Times New Roman" w:hAnsi="Times New Roman"/>
                <w:kern w:val="2"/>
                <w:szCs w:val="24"/>
              </w:rPr>
              <w:t>1</w:t>
            </w:r>
            <w:r>
              <w:rPr>
                <w:rFonts w:ascii="Times New Roman" w:hAnsi="Times New Roman"/>
                <w:kern w:val="2"/>
                <w:szCs w:val="24"/>
              </w:rPr>
              <w:t>和表2</w:t>
            </w:r>
            <w:r>
              <w:rPr>
                <w:rFonts w:hint="eastAsia" w:ascii="Times New Roman" w:hAnsi="Times New Roman"/>
                <w:kern w:val="2"/>
                <w:szCs w:val="24"/>
              </w:rPr>
              <w:t>2</w:t>
            </w:r>
            <w:r>
              <w:rPr>
                <w:rFonts w:ascii="Times New Roman" w:hAnsi="Times New Roman"/>
                <w:kern w:val="2"/>
                <w:szCs w:val="24"/>
              </w:rPr>
              <w:t>。</w:t>
            </w:r>
          </w:p>
          <w:p>
            <w:pPr>
              <w:tabs>
                <w:tab w:val="left" w:pos="1372"/>
                <w:tab w:val="center" w:pos="4394"/>
              </w:tabs>
              <w:snapToGrid w:val="0"/>
              <w:jc w:val="center"/>
              <w:rPr>
                <w:rFonts w:ascii="Times New Roman" w:hAnsi="Times New Roman" w:eastAsia="黑体"/>
                <w:szCs w:val="24"/>
              </w:rPr>
            </w:pPr>
            <w:r>
              <w:rPr>
                <w:rFonts w:ascii="Times New Roman" w:hAnsi="Times New Roman" w:eastAsia="黑体"/>
                <w:szCs w:val="24"/>
              </w:rPr>
              <w:t>表2</w:t>
            </w:r>
            <w:r>
              <w:rPr>
                <w:rFonts w:hint="eastAsia" w:ascii="Times New Roman" w:hAnsi="Times New Roman" w:eastAsia="黑体"/>
                <w:szCs w:val="24"/>
              </w:rPr>
              <w:t>1</w:t>
            </w:r>
            <w:r>
              <w:rPr>
                <w:rFonts w:ascii="Times New Roman" w:hAnsi="Times New Roman" w:eastAsia="黑体"/>
                <w:szCs w:val="24"/>
              </w:rPr>
              <w:t xml:space="preserve"> 点源排放参数表</w:t>
            </w:r>
          </w:p>
          <w:tbl>
            <w:tblPr>
              <w:tblStyle w:val="30"/>
              <w:tblW w:w="930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0"/>
              <w:gridCol w:w="960"/>
              <w:gridCol w:w="862"/>
              <w:gridCol w:w="661"/>
              <w:gridCol w:w="873"/>
              <w:gridCol w:w="1018"/>
              <w:gridCol w:w="848"/>
              <w:gridCol w:w="709"/>
              <w:gridCol w:w="672"/>
              <w:gridCol w:w="851"/>
              <w:gridCol w:w="11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680" w:type="dxa"/>
                  <w:vMerge w:val="restart"/>
                  <w:vAlign w:val="center"/>
                </w:tcPr>
                <w:p>
                  <w:pPr>
                    <w:snapToGrid w:val="0"/>
                    <w:jc w:val="center"/>
                    <w:rPr>
                      <w:rFonts w:ascii="Times New Roman" w:hAnsi="Times New Roman"/>
                      <w:kern w:val="2"/>
                      <w:sz w:val="21"/>
                      <w:szCs w:val="21"/>
                    </w:rPr>
                  </w:pPr>
                  <w:r>
                    <w:rPr>
                      <w:rFonts w:ascii="Times New Roman" w:hAnsi="Times New Roman"/>
                      <w:kern w:val="2"/>
                      <w:sz w:val="21"/>
                      <w:szCs w:val="21"/>
                    </w:rPr>
                    <w:t>排气筒编号</w:t>
                  </w:r>
                </w:p>
              </w:tc>
              <w:tc>
                <w:tcPr>
                  <w:tcW w:w="1822" w:type="dxa"/>
                  <w:gridSpan w:val="2"/>
                  <w:vAlign w:val="center"/>
                </w:tcPr>
                <w:p>
                  <w:pPr>
                    <w:snapToGrid w:val="0"/>
                    <w:jc w:val="center"/>
                    <w:rPr>
                      <w:rFonts w:ascii="Times New Roman" w:hAnsi="Times New Roman"/>
                      <w:kern w:val="2"/>
                      <w:sz w:val="21"/>
                      <w:szCs w:val="21"/>
                    </w:rPr>
                  </w:pPr>
                  <w:r>
                    <w:rPr>
                      <w:rFonts w:ascii="Times New Roman" w:hAnsi="Times New Roman"/>
                      <w:kern w:val="2"/>
                      <w:sz w:val="21"/>
                      <w:szCs w:val="21"/>
                    </w:rPr>
                    <w:t>排气筒底部</w:t>
                  </w:r>
                </w:p>
                <w:p>
                  <w:pPr>
                    <w:snapToGrid w:val="0"/>
                    <w:jc w:val="center"/>
                    <w:rPr>
                      <w:rFonts w:ascii="Times New Roman" w:hAnsi="Times New Roman"/>
                      <w:kern w:val="2"/>
                      <w:sz w:val="21"/>
                      <w:szCs w:val="21"/>
                    </w:rPr>
                  </w:pPr>
                  <w:r>
                    <w:rPr>
                      <w:rFonts w:ascii="Times New Roman" w:hAnsi="Times New Roman"/>
                      <w:kern w:val="2"/>
                      <w:sz w:val="21"/>
                      <w:szCs w:val="21"/>
                    </w:rPr>
                    <w:t>中心坐标(</w:t>
                  </w:r>
                  <w:r>
                    <w:rPr>
                      <w:rFonts w:ascii="Times New Roman" w:hAnsi="Times New Roman"/>
                      <w:kern w:val="2"/>
                      <w:sz w:val="21"/>
                      <w:szCs w:val="21"/>
                      <w:vertAlign w:val="superscript"/>
                    </w:rPr>
                    <w:t>o</w:t>
                  </w:r>
                  <w:r>
                    <w:rPr>
                      <w:rFonts w:ascii="Times New Roman" w:hAnsi="Times New Roman"/>
                      <w:kern w:val="2"/>
                      <w:sz w:val="21"/>
                      <w:szCs w:val="21"/>
                    </w:rPr>
                    <w:t>)</w:t>
                  </w:r>
                </w:p>
              </w:tc>
              <w:tc>
                <w:tcPr>
                  <w:tcW w:w="3400" w:type="dxa"/>
                  <w:gridSpan w:val="4"/>
                  <w:vAlign w:val="center"/>
                </w:tcPr>
                <w:p>
                  <w:pPr>
                    <w:snapToGrid w:val="0"/>
                    <w:jc w:val="center"/>
                    <w:rPr>
                      <w:rFonts w:ascii="Times New Roman" w:hAnsi="Times New Roman"/>
                      <w:kern w:val="2"/>
                      <w:sz w:val="21"/>
                      <w:szCs w:val="21"/>
                    </w:rPr>
                  </w:pPr>
                  <w:r>
                    <w:rPr>
                      <w:rFonts w:ascii="Times New Roman" w:hAnsi="Times New Roman"/>
                      <w:kern w:val="2"/>
                      <w:sz w:val="21"/>
                      <w:szCs w:val="21"/>
                    </w:rPr>
                    <w:t>排气筒参数</w:t>
                  </w:r>
                </w:p>
              </w:tc>
              <w:tc>
                <w:tcPr>
                  <w:tcW w:w="709" w:type="dxa"/>
                  <w:vMerge w:val="restart"/>
                  <w:vAlign w:val="center"/>
                </w:tcPr>
                <w:p>
                  <w:pPr>
                    <w:snapToGrid w:val="0"/>
                    <w:jc w:val="center"/>
                    <w:rPr>
                      <w:rFonts w:ascii="Times New Roman" w:hAnsi="Times New Roman"/>
                      <w:kern w:val="2"/>
                      <w:sz w:val="21"/>
                      <w:szCs w:val="21"/>
                    </w:rPr>
                  </w:pPr>
                  <w:r>
                    <w:rPr>
                      <w:rFonts w:ascii="Times New Roman" w:hAnsi="Times New Roman"/>
                      <w:kern w:val="2"/>
                      <w:sz w:val="21"/>
                      <w:szCs w:val="21"/>
                    </w:rPr>
                    <w:t>年排放小时数/h</w:t>
                  </w:r>
                </w:p>
              </w:tc>
              <w:tc>
                <w:tcPr>
                  <w:tcW w:w="672" w:type="dxa"/>
                  <w:vMerge w:val="restart"/>
                  <w:vAlign w:val="center"/>
                </w:tcPr>
                <w:p>
                  <w:pPr>
                    <w:snapToGrid w:val="0"/>
                    <w:jc w:val="center"/>
                    <w:rPr>
                      <w:rFonts w:ascii="Times New Roman" w:hAnsi="Times New Roman"/>
                      <w:kern w:val="2"/>
                      <w:sz w:val="21"/>
                      <w:szCs w:val="21"/>
                    </w:rPr>
                  </w:pPr>
                  <w:r>
                    <w:rPr>
                      <w:rFonts w:ascii="Times New Roman" w:hAnsi="Times New Roman"/>
                      <w:kern w:val="2"/>
                      <w:sz w:val="21"/>
                      <w:szCs w:val="21"/>
                    </w:rPr>
                    <w:t>排放工况</w:t>
                  </w:r>
                </w:p>
              </w:tc>
              <w:tc>
                <w:tcPr>
                  <w:tcW w:w="2021" w:type="dxa"/>
                  <w:gridSpan w:val="2"/>
                  <w:vAlign w:val="center"/>
                </w:tcPr>
                <w:p>
                  <w:pPr>
                    <w:snapToGrid w:val="0"/>
                    <w:jc w:val="center"/>
                    <w:rPr>
                      <w:rFonts w:ascii="Times New Roman" w:hAnsi="Times New Roman"/>
                      <w:kern w:val="2"/>
                      <w:sz w:val="21"/>
                      <w:szCs w:val="21"/>
                    </w:rPr>
                  </w:pPr>
                  <w:r>
                    <w:rPr>
                      <w:rFonts w:ascii="Times New Roman" w:hAnsi="Times New Roman"/>
                      <w:kern w:val="2"/>
                      <w:sz w:val="21"/>
                      <w:szCs w:val="21"/>
                    </w:rPr>
                    <w:t>污染物排放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680" w:type="dxa"/>
                  <w:vMerge w:val="continue"/>
                  <w:vAlign w:val="center"/>
                </w:tcPr>
                <w:p>
                  <w:pPr>
                    <w:snapToGrid w:val="0"/>
                    <w:jc w:val="center"/>
                    <w:rPr>
                      <w:rFonts w:ascii="Times New Roman" w:hAnsi="Times New Roman"/>
                      <w:kern w:val="2"/>
                      <w:sz w:val="21"/>
                      <w:szCs w:val="21"/>
                    </w:rPr>
                  </w:pPr>
                </w:p>
              </w:tc>
              <w:tc>
                <w:tcPr>
                  <w:tcW w:w="960"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经度</w:t>
                  </w:r>
                </w:p>
              </w:tc>
              <w:tc>
                <w:tcPr>
                  <w:tcW w:w="862"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纬度</w:t>
                  </w:r>
                </w:p>
              </w:tc>
              <w:tc>
                <w:tcPr>
                  <w:tcW w:w="661"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高度/m</w:t>
                  </w:r>
                </w:p>
              </w:tc>
              <w:tc>
                <w:tcPr>
                  <w:tcW w:w="873"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出口内径/m</w:t>
                  </w:r>
                </w:p>
              </w:tc>
              <w:tc>
                <w:tcPr>
                  <w:tcW w:w="1018"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流速/（m/s）</w:t>
                  </w:r>
                </w:p>
              </w:tc>
              <w:tc>
                <w:tcPr>
                  <w:tcW w:w="848"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温度/℃</w:t>
                  </w:r>
                </w:p>
              </w:tc>
              <w:tc>
                <w:tcPr>
                  <w:tcW w:w="709" w:type="dxa"/>
                  <w:vMerge w:val="continue"/>
                  <w:vAlign w:val="center"/>
                </w:tcPr>
                <w:p>
                  <w:pPr>
                    <w:snapToGrid w:val="0"/>
                    <w:jc w:val="center"/>
                    <w:rPr>
                      <w:rFonts w:ascii="Times New Roman" w:hAnsi="Times New Roman"/>
                      <w:kern w:val="2"/>
                      <w:sz w:val="21"/>
                      <w:szCs w:val="21"/>
                    </w:rPr>
                  </w:pPr>
                </w:p>
              </w:tc>
              <w:tc>
                <w:tcPr>
                  <w:tcW w:w="672" w:type="dxa"/>
                  <w:vMerge w:val="continue"/>
                  <w:vAlign w:val="center"/>
                </w:tcPr>
                <w:p>
                  <w:pPr>
                    <w:snapToGrid w:val="0"/>
                    <w:jc w:val="center"/>
                    <w:rPr>
                      <w:rFonts w:ascii="Times New Roman" w:hAnsi="Times New Roman"/>
                      <w:kern w:val="2"/>
                      <w:sz w:val="21"/>
                      <w:szCs w:val="21"/>
                    </w:rPr>
                  </w:pPr>
                </w:p>
              </w:tc>
              <w:tc>
                <w:tcPr>
                  <w:tcW w:w="851"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污染物</w:t>
                  </w:r>
                </w:p>
              </w:tc>
              <w:tc>
                <w:tcPr>
                  <w:tcW w:w="1170"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排放速率/（kg/h）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0" w:hRule="atLeast"/>
                <w:jc w:val="center"/>
              </w:trPr>
              <w:tc>
                <w:tcPr>
                  <w:tcW w:w="680"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P1</w:t>
                  </w:r>
                </w:p>
              </w:tc>
              <w:tc>
                <w:tcPr>
                  <w:tcW w:w="960"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122.007</w:t>
                  </w:r>
                </w:p>
              </w:tc>
              <w:tc>
                <w:tcPr>
                  <w:tcW w:w="862"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37.469</w:t>
                  </w:r>
                </w:p>
              </w:tc>
              <w:tc>
                <w:tcPr>
                  <w:tcW w:w="661" w:type="dxa"/>
                  <w:vAlign w:val="center"/>
                </w:tcPr>
                <w:p>
                  <w:pPr>
                    <w:snapToGrid w:val="0"/>
                    <w:jc w:val="center"/>
                    <w:rPr>
                      <w:rFonts w:ascii="Times New Roman" w:hAnsi="Times New Roman"/>
                      <w:kern w:val="2"/>
                      <w:sz w:val="21"/>
                      <w:szCs w:val="21"/>
                    </w:rPr>
                  </w:pPr>
                  <w:r>
                    <w:rPr>
                      <w:rFonts w:hint="eastAsia" w:ascii="Times New Roman" w:hAnsi="Times New Roman"/>
                      <w:kern w:val="2"/>
                      <w:sz w:val="21"/>
                      <w:szCs w:val="21"/>
                    </w:rPr>
                    <w:t>15</w:t>
                  </w:r>
                </w:p>
              </w:tc>
              <w:tc>
                <w:tcPr>
                  <w:tcW w:w="873"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0.4</w:t>
                  </w:r>
                </w:p>
              </w:tc>
              <w:tc>
                <w:tcPr>
                  <w:tcW w:w="1018" w:type="dxa"/>
                  <w:vAlign w:val="center"/>
                </w:tcPr>
                <w:p>
                  <w:pPr>
                    <w:snapToGrid w:val="0"/>
                    <w:jc w:val="center"/>
                    <w:rPr>
                      <w:rFonts w:ascii="Times New Roman" w:hAnsi="Times New Roman"/>
                      <w:color w:val="FF0000"/>
                      <w:kern w:val="2"/>
                      <w:sz w:val="21"/>
                      <w:szCs w:val="21"/>
                    </w:rPr>
                  </w:pPr>
                  <w:r>
                    <w:rPr>
                      <w:rFonts w:hint="eastAsia" w:ascii="Times New Roman" w:hAnsi="Times New Roman"/>
                      <w:kern w:val="2"/>
                      <w:sz w:val="21"/>
                      <w:szCs w:val="21"/>
                    </w:rPr>
                    <w:t>0.5</w:t>
                  </w:r>
                </w:p>
              </w:tc>
              <w:tc>
                <w:tcPr>
                  <w:tcW w:w="848"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25</w:t>
                  </w:r>
                </w:p>
              </w:tc>
              <w:tc>
                <w:tcPr>
                  <w:tcW w:w="709"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1800</w:t>
                  </w:r>
                </w:p>
              </w:tc>
              <w:tc>
                <w:tcPr>
                  <w:tcW w:w="672"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连续</w:t>
                  </w:r>
                </w:p>
              </w:tc>
              <w:tc>
                <w:tcPr>
                  <w:tcW w:w="851"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VOCs</w:t>
                  </w:r>
                </w:p>
              </w:tc>
              <w:tc>
                <w:tcPr>
                  <w:tcW w:w="1170" w:type="dxa"/>
                  <w:vAlign w:val="center"/>
                </w:tcPr>
                <w:p>
                  <w:pPr>
                    <w:snapToGrid w:val="0"/>
                    <w:jc w:val="center"/>
                    <w:rPr>
                      <w:rFonts w:ascii="Times New Roman" w:hAnsi="Times New Roman"/>
                      <w:kern w:val="2"/>
                      <w:sz w:val="21"/>
                      <w:szCs w:val="21"/>
                    </w:rPr>
                  </w:pPr>
                  <w:r>
                    <w:rPr>
                      <w:rFonts w:hint="eastAsia" w:ascii="Times New Roman" w:hAnsi="Times New Roman"/>
                      <w:kern w:val="2"/>
                      <w:sz w:val="21"/>
                      <w:szCs w:val="21"/>
                    </w:rPr>
                    <w:t>0</w:t>
                  </w:r>
                  <w:r>
                    <w:rPr>
                      <w:rFonts w:ascii="Times New Roman" w:hAnsi="Times New Roman"/>
                      <w:kern w:val="2"/>
                      <w:sz w:val="21"/>
                      <w:szCs w:val="21"/>
                    </w:rPr>
                    <w:t>.</w:t>
                  </w:r>
                  <w:r>
                    <w:rPr>
                      <w:rFonts w:hint="eastAsia" w:ascii="Times New Roman" w:hAnsi="Times New Roman"/>
                      <w:kern w:val="2"/>
                      <w:sz w:val="21"/>
                      <w:szCs w:val="21"/>
                    </w:rPr>
                    <w:t>05</w:t>
                  </w:r>
                </w:p>
              </w:tc>
            </w:tr>
          </w:tbl>
          <w:p>
            <w:pPr>
              <w:tabs>
                <w:tab w:val="left" w:pos="1372"/>
                <w:tab w:val="center" w:pos="4394"/>
              </w:tabs>
              <w:snapToGrid w:val="0"/>
              <w:jc w:val="center"/>
              <w:rPr>
                <w:rFonts w:ascii="Times New Roman" w:hAnsi="Times New Roman" w:eastAsia="黑体"/>
                <w:szCs w:val="24"/>
              </w:rPr>
            </w:pPr>
          </w:p>
          <w:p>
            <w:pPr>
              <w:tabs>
                <w:tab w:val="left" w:pos="1372"/>
                <w:tab w:val="center" w:pos="4394"/>
              </w:tabs>
              <w:snapToGrid w:val="0"/>
              <w:jc w:val="center"/>
              <w:rPr>
                <w:rFonts w:ascii="Times New Roman" w:hAnsi="Times New Roman" w:eastAsia="黑体"/>
                <w:szCs w:val="24"/>
              </w:rPr>
            </w:pPr>
            <w:r>
              <w:rPr>
                <w:rFonts w:ascii="Times New Roman" w:hAnsi="Times New Roman" w:eastAsia="黑体"/>
                <w:szCs w:val="24"/>
              </w:rPr>
              <w:t>表2</w:t>
            </w:r>
            <w:r>
              <w:rPr>
                <w:rFonts w:hint="eastAsia" w:ascii="Times New Roman" w:hAnsi="Times New Roman" w:eastAsia="黑体"/>
                <w:szCs w:val="24"/>
              </w:rPr>
              <w:t>2</w:t>
            </w:r>
            <w:r>
              <w:rPr>
                <w:rFonts w:ascii="Times New Roman" w:hAnsi="Times New Roman" w:eastAsia="黑体"/>
                <w:szCs w:val="24"/>
              </w:rPr>
              <w:t xml:space="preserve"> 面源排放参数表</w:t>
            </w:r>
          </w:p>
          <w:tbl>
            <w:tblPr>
              <w:tblStyle w:val="30"/>
              <w:tblW w:w="945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66"/>
              <w:gridCol w:w="1323"/>
              <w:gridCol w:w="1264"/>
              <w:gridCol w:w="1648"/>
              <w:gridCol w:w="851"/>
              <w:gridCol w:w="32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0" w:hRule="atLeast"/>
                <w:jc w:val="center"/>
              </w:trPr>
              <w:tc>
                <w:tcPr>
                  <w:tcW w:w="1166" w:type="dxa"/>
                  <w:vMerge w:val="restart"/>
                  <w:vAlign w:val="center"/>
                </w:tcPr>
                <w:p>
                  <w:pPr>
                    <w:snapToGrid w:val="0"/>
                    <w:jc w:val="center"/>
                    <w:rPr>
                      <w:rFonts w:ascii="Times New Roman" w:hAnsi="Times New Roman"/>
                      <w:kern w:val="2"/>
                      <w:sz w:val="21"/>
                      <w:szCs w:val="21"/>
                    </w:rPr>
                  </w:pPr>
                  <w:r>
                    <w:rPr>
                      <w:rFonts w:ascii="Times New Roman" w:hAnsi="Times New Roman"/>
                      <w:kern w:val="2"/>
                      <w:sz w:val="21"/>
                      <w:szCs w:val="21"/>
                    </w:rPr>
                    <w:t>排放源</w:t>
                  </w:r>
                </w:p>
              </w:tc>
              <w:tc>
                <w:tcPr>
                  <w:tcW w:w="1323" w:type="dxa"/>
                  <w:vMerge w:val="restart"/>
                  <w:vAlign w:val="center"/>
                </w:tcPr>
                <w:p>
                  <w:pPr>
                    <w:snapToGrid w:val="0"/>
                    <w:jc w:val="center"/>
                    <w:rPr>
                      <w:rFonts w:ascii="Times New Roman" w:hAnsi="Times New Roman"/>
                      <w:kern w:val="2"/>
                      <w:sz w:val="21"/>
                      <w:szCs w:val="21"/>
                    </w:rPr>
                  </w:pPr>
                  <w:r>
                    <w:rPr>
                      <w:rFonts w:ascii="Times New Roman" w:hAnsi="Times New Roman"/>
                      <w:kern w:val="2"/>
                      <w:sz w:val="21"/>
                      <w:szCs w:val="21"/>
                    </w:rPr>
                    <w:t>面源长度/m</w:t>
                  </w:r>
                </w:p>
              </w:tc>
              <w:tc>
                <w:tcPr>
                  <w:tcW w:w="1264" w:type="dxa"/>
                  <w:vMerge w:val="restart"/>
                  <w:vAlign w:val="center"/>
                </w:tcPr>
                <w:p>
                  <w:pPr>
                    <w:snapToGrid w:val="0"/>
                    <w:jc w:val="center"/>
                    <w:rPr>
                      <w:rFonts w:ascii="Times New Roman" w:hAnsi="Times New Roman"/>
                      <w:kern w:val="2"/>
                      <w:sz w:val="21"/>
                      <w:szCs w:val="21"/>
                    </w:rPr>
                  </w:pPr>
                  <w:r>
                    <w:rPr>
                      <w:rFonts w:ascii="Times New Roman" w:hAnsi="Times New Roman"/>
                      <w:kern w:val="2"/>
                      <w:sz w:val="21"/>
                      <w:szCs w:val="21"/>
                    </w:rPr>
                    <w:t>面源宽度/m</w:t>
                  </w:r>
                </w:p>
              </w:tc>
              <w:tc>
                <w:tcPr>
                  <w:tcW w:w="1648" w:type="dxa"/>
                  <w:vMerge w:val="restart"/>
                  <w:vAlign w:val="center"/>
                </w:tcPr>
                <w:p>
                  <w:pPr>
                    <w:snapToGrid w:val="0"/>
                    <w:jc w:val="center"/>
                    <w:rPr>
                      <w:rFonts w:ascii="Times New Roman" w:hAnsi="Times New Roman"/>
                      <w:kern w:val="2"/>
                      <w:sz w:val="21"/>
                      <w:szCs w:val="21"/>
                    </w:rPr>
                  </w:pPr>
                  <w:r>
                    <w:rPr>
                      <w:rFonts w:ascii="Times New Roman" w:hAnsi="Times New Roman"/>
                      <w:kern w:val="2"/>
                      <w:sz w:val="21"/>
                      <w:szCs w:val="21"/>
                    </w:rPr>
                    <w:t>面源有效排放高度/m</w:t>
                  </w:r>
                </w:p>
              </w:tc>
              <w:tc>
                <w:tcPr>
                  <w:tcW w:w="851" w:type="dxa"/>
                  <w:vMerge w:val="restart"/>
                  <w:vAlign w:val="center"/>
                </w:tcPr>
                <w:p>
                  <w:pPr>
                    <w:snapToGrid w:val="0"/>
                    <w:jc w:val="center"/>
                    <w:rPr>
                      <w:rFonts w:ascii="Times New Roman" w:hAnsi="Times New Roman"/>
                      <w:kern w:val="2"/>
                      <w:sz w:val="21"/>
                      <w:szCs w:val="21"/>
                    </w:rPr>
                  </w:pPr>
                  <w:r>
                    <w:rPr>
                      <w:rFonts w:ascii="Times New Roman" w:hAnsi="Times New Roman"/>
                      <w:kern w:val="2"/>
                      <w:sz w:val="21"/>
                      <w:szCs w:val="21"/>
                    </w:rPr>
                    <w:t>排放</w:t>
                  </w:r>
                </w:p>
                <w:p>
                  <w:pPr>
                    <w:snapToGrid w:val="0"/>
                    <w:jc w:val="center"/>
                    <w:rPr>
                      <w:rFonts w:ascii="Times New Roman" w:hAnsi="Times New Roman"/>
                      <w:kern w:val="2"/>
                      <w:sz w:val="21"/>
                      <w:szCs w:val="21"/>
                    </w:rPr>
                  </w:pPr>
                  <w:r>
                    <w:rPr>
                      <w:rFonts w:ascii="Times New Roman" w:hAnsi="Times New Roman"/>
                      <w:kern w:val="2"/>
                      <w:sz w:val="21"/>
                      <w:szCs w:val="21"/>
                    </w:rPr>
                    <w:t>工况</w:t>
                  </w:r>
                </w:p>
              </w:tc>
              <w:tc>
                <w:tcPr>
                  <w:tcW w:w="3207"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污染物排放速率/（kg/h）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9" w:hRule="atLeast"/>
                <w:jc w:val="center"/>
              </w:trPr>
              <w:tc>
                <w:tcPr>
                  <w:tcW w:w="1166" w:type="dxa"/>
                  <w:vMerge w:val="continue"/>
                  <w:vAlign w:val="center"/>
                </w:tcPr>
                <w:p>
                  <w:pPr>
                    <w:snapToGrid w:val="0"/>
                    <w:jc w:val="center"/>
                    <w:rPr>
                      <w:rFonts w:ascii="Times New Roman" w:hAnsi="Times New Roman"/>
                      <w:kern w:val="2"/>
                      <w:sz w:val="21"/>
                      <w:szCs w:val="21"/>
                    </w:rPr>
                  </w:pPr>
                </w:p>
              </w:tc>
              <w:tc>
                <w:tcPr>
                  <w:tcW w:w="1323" w:type="dxa"/>
                  <w:vMerge w:val="continue"/>
                  <w:vAlign w:val="center"/>
                </w:tcPr>
                <w:p>
                  <w:pPr>
                    <w:snapToGrid w:val="0"/>
                    <w:jc w:val="center"/>
                    <w:rPr>
                      <w:rFonts w:ascii="Times New Roman" w:hAnsi="Times New Roman"/>
                      <w:kern w:val="2"/>
                      <w:sz w:val="21"/>
                      <w:szCs w:val="21"/>
                    </w:rPr>
                  </w:pPr>
                </w:p>
              </w:tc>
              <w:tc>
                <w:tcPr>
                  <w:tcW w:w="1264" w:type="dxa"/>
                  <w:vMerge w:val="continue"/>
                  <w:vAlign w:val="center"/>
                </w:tcPr>
                <w:p>
                  <w:pPr>
                    <w:snapToGrid w:val="0"/>
                    <w:jc w:val="center"/>
                    <w:rPr>
                      <w:rFonts w:ascii="Times New Roman" w:hAnsi="Times New Roman"/>
                      <w:kern w:val="2"/>
                      <w:sz w:val="21"/>
                      <w:szCs w:val="21"/>
                    </w:rPr>
                  </w:pPr>
                </w:p>
              </w:tc>
              <w:tc>
                <w:tcPr>
                  <w:tcW w:w="1648" w:type="dxa"/>
                  <w:vMerge w:val="continue"/>
                  <w:vAlign w:val="center"/>
                </w:tcPr>
                <w:p>
                  <w:pPr>
                    <w:snapToGrid w:val="0"/>
                    <w:jc w:val="center"/>
                    <w:rPr>
                      <w:rFonts w:ascii="Times New Roman" w:hAnsi="Times New Roman"/>
                      <w:kern w:val="2"/>
                      <w:sz w:val="21"/>
                      <w:szCs w:val="21"/>
                    </w:rPr>
                  </w:pPr>
                </w:p>
              </w:tc>
              <w:tc>
                <w:tcPr>
                  <w:tcW w:w="851" w:type="dxa"/>
                  <w:vMerge w:val="continue"/>
                  <w:vAlign w:val="center"/>
                </w:tcPr>
                <w:p>
                  <w:pPr>
                    <w:snapToGrid w:val="0"/>
                    <w:jc w:val="center"/>
                    <w:rPr>
                      <w:rFonts w:ascii="Times New Roman" w:hAnsi="Times New Roman"/>
                      <w:kern w:val="2"/>
                      <w:sz w:val="21"/>
                      <w:szCs w:val="21"/>
                    </w:rPr>
                  </w:pPr>
                </w:p>
              </w:tc>
              <w:tc>
                <w:tcPr>
                  <w:tcW w:w="3207"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VOCs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6" w:hRule="atLeast"/>
                <w:jc w:val="center"/>
              </w:trPr>
              <w:tc>
                <w:tcPr>
                  <w:tcW w:w="1166" w:type="dxa"/>
                  <w:vAlign w:val="center"/>
                </w:tcPr>
                <w:p>
                  <w:pPr>
                    <w:snapToGrid w:val="0"/>
                    <w:jc w:val="center"/>
                    <w:rPr>
                      <w:rFonts w:ascii="Times New Roman" w:hAnsi="Times New Roman"/>
                      <w:kern w:val="2"/>
                      <w:sz w:val="21"/>
                      <w:szCs w:val="21"/>
                    </w:rPr>
                  </w:pPr>
                  <w:r>
                    <w:rPr>
                      <w:rFonts w:hint="eastAsia" w:ascii="Times New Roman" w:hAnsi="Times New Roman"/>
                      <w:kern w:val="2"/>
                      <w:sz w:val="21"/>
                      <w:szCs w:val="21"/>
                    </w:rPr>
                    <w:t>印刷</w:t>
                  </w:r>
                  <w:r>
                    <w:rPr>
                      <w:rFonts w:ascii="Times New Roman" w:hAnsi="Times New Roman"/>
                      <w:kern w:val="2"/>
                      <w:sz w:val="21"/>
                      <w:szCs w:val="21"/>
                    </w:rPr>
                    <w:t>车间</w:t>
                  </w:r>
                </w:p>
              </w:tc>
              <w:tc>
                <w:tcPr>
                  <w:tcW w:w="1323" w:type="dxa"/>
                  <w:vAlign w:val="center"/>
                </w:tcPr>
                <w:p>
                  <w:pPr>
                    <w:snapToGrid w:val="0"/>
                    <w:jc w:val="center"/>
                    <w:rPr>
                      <w:rFonts w:ascii="Times New Roman" w:hAnsi="Times New Roman"/>
                      <w:kern w:val="2"/>
                      <w:sz w:val="21"/>
                      <w:szCs w:val="21"/>
                    </w:rPr>
                  </w:pPr>
                  <w:r>
                    <w:rPr>
                      <w:rFonts w:hint="eastAsia" w:ascii="Times New Roman" w:hAnsi="Times New Roman"/>
                      <w:kern w:val="2"/>
                      <w:sz w:val="21"/>
                      <w:szCs w:val="21"/>
                    </w:rPr>
                    <w:t>4</w:t>
                  </w:r>
                  <w:r>
                    <w:rPr>
                      <w:rFonts w:ascii="Times New Roman" w:hAnsi="Times New Roman"/>
                      <w:kern w:val="2"/>
                      <w:sz w:val="21"/>
                      <w:szCs w:val="21"/>
                    </w:rPr>
                    <w:t>0</w:t>
                  </w:r>
                </w:p>
              </w:tc>
              <w:tc>
                <w:tcPr>
                  <w:tcW w:w="1264" w:type="dxa"/>
                  <w:vAlign w:val="center"/>
                </w:tcPr>
                <w:p>
                  <w:pPr>
                    <w:snapToGrid w:val="0"/>
                    <w:jc w:val="center"/>
                    <w:rPr>
                      <w:rFonts w:ascii="Times New Roman" w:hAnsi="Times New Roman"/>
                      <w:kern w:val="2"/>
                      <w:sz w:val="21"/>
                      <w:szCs w:val="21"/>
                    </w:rPr>
                  </w:pPr>
                  <w:r>
                    <w:rPr>
                      <w:rFonts w:hint="eastAsia" w:ascii="Times New Roman" w:hAnsi="Times New Roman"/>
                      <w:kern w:val="2"/>
                      <w:sz w:val="21"/>
                      <w:szCs w:val="21"/>
                    </w:rPr>
                    <w:t>40</w:t>
                  </w:r>
                </w:p>
              </w:tc>
              <w:tc>
                <w:tcPr>
                  <w:tcW w:w="1648" w:type="dxa"/>
                  <w:vAlign w:val="center"/>
                </w:tcPr>
                <w:p>
                  <w:pPr>
                    <w:snapToGrid w:val="0"/>
                    <w:jc w:val="center"/>
                    <w:rPr>
                      <w:rFonts w:ascii="Times New Roman" w:hAnsi="Times New Roman"/>
                      <w:kern w:val="2"/>
                      <w:sz w:val="21"/>
                      <w:szCs w:val="21"/>
                    </w:rPr>
                  </w:pPr>
                  <w:r>
                    <w:rPr>
                      <w:rFonts w:hint="eastAsia" w:ascii="Times New Roman" w:hAnsi="Times New Roman"/>
                      <w:kern w:val="2"/>
                      <w:sz w:val="21"/>
                      <w:szCs w:val="21"/>
                    </w:rPr>
                    <w:t>8</w:t>
                  </w:r>
                </w:p>
              </w:tc>
              <w:tc>
                <w:tcPr>
                  <w:tcW w:w="851"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连续</w:t>
                  </w:r>
                </w:p>
              </w:tc>
              <w:tc>
                <w:tcPr>
                  <w:tcW w:w="3207" w:type="dxa"/>
                  <w:vAlign w:val="center"/>
                </w:tcPr>
                <w:p>
                  <w:pPr>
                    <w:snapToGrid w:val="0"/>
                    <w:jc w:val="center"/>
                    <w:rPr>
                      <w:rFonts w:ascii="Times New Roman" w:hAnsi="Times New Roman"/>
                      <w:kern w:val="2"/>
                      <w:sz w:val="21"/>
                      <w:szCs w:val="21"/>
                    </w:rPr>
                  </w:pPr>
                  <w:r>
                    <w:rPr>
                      <w:rFonts w:hint="eastAsia" w:ascii="Times New Roman" w:hAnsi="Times New Roman"/>
                      <w:kern w:val="2"/>
                      <w:sz w:val="21"/>
                      <w:szCs w:val="21"/>
                    </w:rPr>
                    <w:t>0</w:t>
                  </w:r>
                  <w:r>
                    <w:rPr>
                      <w:rFonts w:ascii="Times New Roman" w:hAnsi="Times New Roman"/>
                      <w:kern w:val="2"/>
                      <w:sz w:val="21"/>
                      <w:szCs w:val="21"/>
                    </w:rPr>
                    <w:t>.056</w:t>
                  </w:r>
                </w:p>
              </w:tc>
            </w:tr>
          </w:tbl>
          <w:p>
            <w:pPr>
              <w:pStyle w:val="65"/>
              <w:keepNext/>
              <w:keepLines/>
              <w:numPr>
                <w:ilvl w:val="0"/>
                <w:numId w:val="3"/>
              </w:numPr>
              <w:adjustRightInd w:val="0"/>
              <w:snapToGrid w:val="0"/>
              <w:spacing w:line="500" w:lineRule="exact"/>
              <w:ind w:firstLineChars="0"/>
              <w:rPr>
                <w:rFonts w:ascii="Times New Roman" w:hAnsi="Times New Roman"/>
                <w:color w:val="000000"/>
                <w:kern w:val="2"/>
                <w:szCs w:val="24"/>
              </w:rPr>
            </w:pPr>
            <w:r>
              <w:rPr>
                <w:rFonts w:ascii="Times New Roman" w:hAnsi="Times New Roman"/>
                <w:color w:val="000000"/>
                <w:kern w:val="2"/>
                <w:szCs w:val="24"/>
              </w:rPr>
              <w:t>估算模型计算结果</w:t>
            </w:r>
          </w:p>
          <w:p>
            <w:pPr>
              <w:snapToGrid w:val="0"/>
              <w:spacing w:beforeLines="50" w:line="360" w:lineRule="auto"/>
              <w:ind w:firstLine="480" w:firstLineChars="200"/>
              <w:rPr>
                <w:rFonts w:ascii="Times New Roman" w:hAnsi="Times New Roman"/>
                <w:kern w:val="2"/>
                <w:szCs w:val="24"/>
              </w:rPr>
            </w:pPr>
            <w:r>
              <w:rPr>
                <w:rFonts w:ascii="Times New Roman" w:hAnsi="Times New Roman"/>
                <w:bCs/>
                <w:kern w:val="2"/>
                <w:szCs w:val="24"/>
              </w:rPr>
              <w:t>根据污染物估算模型进行计算，预测</w:t>
            </w:r>
            <w:r>
              <w:rPr>
                <w:rFonts w:ascii="Times New Roman" w:hAnsi="Times New Roman"/>
                <w:kern w:val="2"/>
                <w:szCs w:val="24"/>
              </w:rPr>
              <w:t>结果见表2</w:t>
            </w:r>
            <w:r>
              <w:rPr>
                <w:rFonts w:hint="eastAsia" w:ascii="Times New Roman" w:hAnsi="Times New Roman"/>
                <w:kern w:val="2"/>
                <w:szCs w:val="24"/>
              </w:rPr>
              <w:t>3</w:t>
            </w:r>
            <w:r>
              <w:rPr>
                <w:rFonts w:ascii="Times New Roman" w:hAnsi="Times New Roman"/>
                <w:kern w:val="2"/>
                <w:szCs w:val="24"/>
              </w:rPr>
              <w:t>。</w:t>
            </w:r>
          </w:p>
          <w:p>
            <w:pPr>
              <w:tabs>
                <w:tab w:val="left" w:pos="1372"/>
                <w:tab w:val="center" w:pos="4394"/>
              </w:tabs>
              <w:snapToGrid w:val="0"/>
              <w:jc w:val="center"/>
              <w:rPr>
                <w:rFonts w:ascii="Times New Roman" w:hAnsi="Times New Roman"/>
                <w:kern w:val="2"/>
                <w:szCs w:val="24"/>
              </w:rPr>
            </w:pPr>
            <w:r>
              <w:rPr>
                <w:rFonts w:ascii="Times New Roman" w:hAnsi="Times New Roman" w:eastAsia="黑体"/>
                <w:szCs w:val="24"/>
              </w:rPr>
              <w:t>表2</w:t>
            </w:r>
            <w:r>
              <w:rPr>
                <w:rFonts w:hint="eastAsia" w:ascii="Times New Roman" w:hAnsi="Times New Roman" w:eastAsia="黑体"/>
                <w:szCs w:val="24"/>
              </w:rPr>
              <w:t>3</w:t>
            </w:r>
            <w:r>
              <w:rPr>
                <w:rFonts w:ascii="Times New Roman" w:hAnsi="Times New Roman" w:eastAsia="黑体"/>
                <w:szCs w:val="24"/>
              </w:rPr>
              <w:t xml:space="preserve"> 污染物估算模型预测结果一览表</w:t>
            </w:r>
          </w:p>
          <w:tbl>
            <w:tblPr>
              <w:tblStyle w:val="30"/>
              <w:tblW w:w="945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31"/>
              <w:gridCol w:w="1370"/>
              <w:gridCol w:w="1871"/>
              <w:gridCol w:w="1589"/>
              <w:gridCol w:w="1572"/>
              <w:gridCol w:w="14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1631" w:type="dxa"/>
                  <w:vAlign w:val="center"/>
                </w:tcPr>
                <w:p>
                  <w:pPr>
                    <w:adjustRightInd w:val="0"/>
                    <w:snapToGrid w:val="0"/>
                    <w:jc w:val="center"/>
                    <w:rPr>
                      <w:rFonts w:ascii="Times New Roman" w:hAnsi="Times New Roman"/>
                      <w:kern w:val="2"/>
                      <w:sz w:val="21"/>
                      <w:szCs w:val="21"/>
                    </w:rPr>
                  </w:pPr>
                  <w:r>
                    <w:rPr>
                      <w:rFonts w:ascii="Times New Roman" w:hAnsi="Times New Roman"/>
                      <w:kern w:val="2"/>
                      <w:sz w:val="21"/>
                      <w:szCs w:val="21"/>
                    </w:rPr>
                    <w:t>污染源</w:t>
                  </w:r>
                </w:p>
              </w:tc>
              <w:tc>
                <w:tcPr>
                  <w:tcW w:w="1370" w:type="dxa"/>
                  <w:vAlign w:val="center"/>
                </w:tcPr>
                <w:p>
                  <w:pPr>
                    <w:adjustRightInd w:val="0"/>
                    <w:snapToGrid w:val="0"/>
                    <w:jc w:val="center"/>
                    <w:rPr>
                      <w:rFonts w:ascii="Times New Roman" w:hAnsi="Times New Roman"/>
                      <w:kern w:val="2"/>
                      <w:sz w:val="21"/>
                      <w:szCs w:val="21"/>
                    </w:rPr>
                  </w:pPr>
                  <w:r>
                    <w:rPr>
                      <w:rFonts w:ascii="Times New Roman" w:hAnsi="Times New Roman"/>
                      <w:kern w:val="2"/>
                      <w:sz w:val="21"/>
                      <w:szCs w:val="21"/>
                    </w:rPr>
                    <w:t>污染因子</w:t>
                  </w:r>
                </w:p>
              </w:tc>
              <w:tc>
                <w:tcPr>
                  <w:tcW w:w="1871" w:type="dxa"/>
                  <w:vAlign w:val="center"/>
                </w:tcPr>
                <w:p>
                  <w:pPr>
                    <w:adjustRightInd w:val="0"/>
                    <w:snapToGrid w:val="0"/>
                    <w:jc w:val="center"/>
                    <w:rPr>
                      <w:rFonts w:ascii="Times New Roman" w:hAnsi="Times New Roman"/>
                      <w:kern w:val="2"/>
                      <w:sz w:val="21"/>
                      <w:szCs w:val="21"/>
                    </w:rPr>
                  </w:pPr>
                  <w:r>
                    <w:rPr>
                      <w:rFonts w:ascii="Times New Roman" w:hAnsi="Times New Roman"/>
                      <w:kern w:val="2"/>
                      <w:sz w:val="21"/>
                      <w:szCs w:val="21"/>
                    </w:rPr>
                    <w:t>最大质量浓度/（μg/m</w:t>
                  </w:r>
                  <w:r>
                    <w:rPr>
                      <w:rFonts w:ascii="Times New Roman" w:hAnsi="Times New Roman"/>
                      <w:kern w:val="2"/>
                      <w:sz w:val="21"/>
                      <w:szCs w:val="21"/>
                      <w:vertAlign w:val="superscript"/>
                    </w:rPr>
                    <w:t>3</w:t>
                  </w:r>
                  <w:r>
                    <w:rPr>
                      <w:rFonts w:ascii="Times New Roman" w:hAnsi="Times New Roman"/>
                      <w:kern w:val="2"/>
                      <w:sz w:val="21"/>
                      <w:szCs w:val="21"/>
                    </w:rPr>
                    <w:t>）</w:t>
                  </w:r>
                </w:p>
              </w:tc>
              <w:tc>
                <w:tcPr>
                  <w:tcW w:w="1589" w:type="dxa"/>
                  <w:vAlign w:val="center"/>
                </w:tcPr>
                <w:p>
                  <w:pPr>
                    <w:adjustRightInd w:val="0"/>
                    <w:snapToGrid w:val="0"/>
                    <w:jc w:val="center"/>
                    <w:rPr>
                      <w:rFonts w:ascii="Times New Roman" w:hAnsi="Times New Roman"/>
                      <w:kern w:val="2"/>
                      <w:sz w:val="21"/>
                      <w:szCs w:val="21"/>
                    </w:rPr>
                  </w:pPr>
                  <w:r>
                    <w:rPr>
                      <w:rFonts w:ascii="Times New Roman" w:hAnsi="Times New Roman"/>
                      <w:kern w:val="2"/>
                      <w:sz w:val="21"/>
                      <w:szCs w:val="21"/>
                    </w:rPr>
                    <w:t>质量标准/（μg/m</w:t>
                  </w:r>
                  <w:r>
                    <w:rPr>
                      <w:rFonts w:ascii="Times New Roman" w:hAnsi="Times New Roman"/>
                      <w:kern w:val="2"/>
                      <w:sz w:val="21"/>
                      <w:szCs w:val="21"/>
                      <w:vertAlign w:val="superscript"/>
                    </w:rPr>
                    <w:t>3</w:t>
                  </w:r>
                  <w:r>
                    <w:rPr>
                      <w:rFonts w:ascii="Times New Roman" w:hAnsi="Times New Roman"/>
                      <w:kern w:val="2"/>
                      <w:sz w:val="21"/>
                      <w:szCs w:val="21"/>
                    </w:rPr>
                    <w:t>）</w:t>
                  </w:r>
                </w:p>
              </w:tc>
              <w:tc>
                <w:tcPr>
                  <w:tcW w:w="1572" w:type="dxa"/>
                  <w:vAlign w:val="center"/>
                </w:tcPr>
                <w:p>
                  <w:pPr>
                    <w:adjustRightInd w:val="0"/>
                    <w:snapToGrid w:val="0"/>
                    <w:jc w:val="center"/>
                    <w:rPr>
                      <w:rFonts w:ascii="Times New Roman" w:hAnsi="Times New Roman"/>
                      <w:kern w:val="2"/>
                      <w:sz w:val="21"/>
                      <w:szCs w:val="21"/>
                    </w:rPr>
                  </w:pPr>
                  <w:r>
                    <w:rPr>
                      <w:rFonts w:ascii="Times New Roman" w:hAnsi="Times New Roman"/>
                      <w:kern w:val="2"/>
                      <w:sz w:val="21"/>
                      <w:szCs w:val="21"/>
                    </w:rPr>
                    <w:t>离源距离/（m）</w:t>
                  </w:r>
                </w:p>
              </w:tc>
              <w:tc>
                <w:tcPr>
                  <w:tcW w:w="1426" w:type="dxa"/>
                  <w:vAlign w:val="center"/>
                </w:tcPr>
                <w:p>
                  <w:pPr>
                    <w:adjustRightInd w:val="0"/>
                    <w:snapToGrid w:val="0"/>
                    <w:jc w:val="center"/>
                    <w:rPr>
                      <w:rFonts w:ascii="Times New Roman" w:hAnsi="Times New Roman"/>
                      <w:kern w:val="2"/>
                      <w:sz w:val="21"/>
                      <w:szCs w:val="21"/>
                    </w:rPr>
                  </w:pPr>
                  <w:r>
                    <w:rPr>
                      <w:rFonts w:ascii="Times New Roman" w:hAnsi="Times New Roman"/>
                      <w:kern w:val="2"/>
                      <w:sz w:val="21"/>
                      <w:szCs w:val="21"/>
                    </w:rPr>
                    <w:t>占标率/（%）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1631" w:type="dxa"/>
                  <w:vAlign w:val="center"/>
                </w:tcPr>
                <w:p>
                  <w:pPr>
                    <w:adjustRightInd w:val="0"/>
                    <w:snapToGrid w:val="0"/>
                    <w:jc w:val="center"/>
                    <w:rPr>
                      <w:rFonts w:ascii="Times New Roman" w:hAnsi="Times New Roman"/>
                      <w:kern w:val="2"/>
                      <w:sz w:val="21"/>
                      <w:szCs w:val="21"/>
                    </w:rPr>
                  </w:pPr>
                  <w:r>
                    <w:rPr>
                      <w:rFonts w:ascii="Times New Roman" w:hAnsi="Times New Roman"/>
                      <w:kern w:val="2"/>
                      <w:sz w:val="21"/>
                      <w:szCs w:val="21"/>
                    </w:rPr>
                    <w:t>排气筒P1</w:t>
                  </w:r>
                </w:p>
              </w:tc>
              <w:tc>
                <w:tcPr>
                  <w:tcW w:w="1370" w:type="dxa"/>
                  <w:vAlign w:val="center"/>
                </w:tcPr>
                <w:p>
                  <w:pPr>
                    <w:adjustRightInd w:val="0"/>
                    <w:snapToGrid w:val="0"/>
                    <w:jc w:val="center"/>
                    <w:rPr>
                      <w:rFonts w:ascii="Times New Roman" w:hAnsi="Times New Roman"/>
                      <w:kern w:val="2"/>
                      <w:sz w:val="21"/>
                      <w:szCs w:val="21"/>
                    </w:rPr>
                  </w:pPr>
                  <w:r>
                    <w:rPr>
                      <w:rFonts w:ascii="Times New Roman" w:hAnsi="Times New Roman"/>
                      <w:kern w:val="2"/>
                      <w:sz w:val="21"/>
                      <w:szCs w:val="21"/>
                    </w:rPr>
                    <w:t>VOCs</w:t>
                  </w:r>
                </w:p>
              </w:tc>
              <w:tc>
                <w:tcPr>
                  <w:tcW w:w="1871" w:type="dxa"/>
                  <w:vAlign w:val="center"/>
                </w:tcPr>
                <w:p>
                  <w:pPr>
                    <w:adjustRightInd w:val="0"/>
                    <w:snapToGrid w:val="0"/>
                    <w:jc w:val="center"/>
                    <w:rPr>
                      <w:rFonts w:ascii="Times New Roman" w:hAnsi="Times New Roman"/>
                      <w:kern w:val="2"/>
                      <w:sz w:val="21"/>
                      <w:szCs w:val="21"/>
                    </w:rPr>
                  </w:pPr>
                  <w:r>
                    <w:rPr>
                      <w:rFonts w:ascii="Times New Roman" w:hAnsi="Times New Roman"/>
                      <w:kern w:val="2"/>
                      <w:sz w:val="21"/>
                      <w:szCs w:val="21"/>
                    </w:rPr>
                    <w:t>3.54</w:t>
                  </w:r>
                </w:p>
              </w:tc>
              <w:tc>
                <w:tcPr>
                  <w:tcW w:w="1589" w:type="dxa"/>
                  <w:vAlign w:val="center"/>
                </w:tcPr>
                <w:p>
                  <w:pPr>
                    <w:adjustRightInd w:val="0"/>
                    <w:snapToGrid w:val="0"/>
                    <w:jc w:val="center"/>
                    <w:rPr>
                      <w:rFonts w:ascii="Times New Roman" w:hAnsi="Times New Roman"/>
                      <w:kern w:val="2"/>
                      <w:sz w:val="21"/>
                      <w:szCs w:val="21"/>
                    </w:rPr>
                  </w:pPr>
                  <w:r>
                    <w:rPr>
                      <w:rFonts w:ascii="Times New Roman" w:hAnsi="Times New Roman"/>
                      <w:kern w:val="2"/>
                      <w:sz w:val="21"/>
                      <w:szCs w:val="21"/>
                    </w:rPr>
                    <w:t>1200</w:t>
                  </w:r>
                </w:p>
              </w:tc>
              <w:tc>
                <w:tcPr>
                  <w:tcW w:w="1572" w:type="dxa"/>
                  <w:vAlign w:val="center"/>
                </w:tcPr>
                <w:p>
                  <w:pPr>
                    <w:adjustRightInd w:val="0"/>
                    <w:snapToGrid w:val="0"/>
                    <w:jc w:val="center"/>
                    <w:rPr>
                      <w:rFonts w:ascii="Times New Roman" w:hAnsi="Times New Roman"/>
                      <w:kern w:val="2"/>
                      <w:sz w:val="21"/>
                      <w:szCs w:val="21"/>
                    </w:rPr>
                  </w:pPr>
                  <w:r>
                    <w:rPr>
                      <w:rFonts w:ascii="Times New Roman" w:hAnsi="Times New Roman"/>
                      <w:kern w:val="2"/>
                      <w:sz w:val="21"/>
                      <w:szCs w:val="21"/>
                    </w:rPr>
                    <w:t>146</w:t>
                  </w:r>
                </w:p>
              </w:tc>
              <w:tc>
                <w:tcPr>
                  <w:tcW w:w="1426" w:type="dxa"/>
                  <w:vAlign w:val="center"/>
                </w:tcPr>
                <w:p>
                  <w:pPr>
                    <w:adjustRightInd w:val="0"/>
                    <w:snapToGrid w:val="0"/>
                    <w:jc w:val="center"/>
                    <w:rPr>
                      <w:rFonts w:ascii="Times New Roman" w:hAnsi="Times New Roman"/>
                      <w:kern w:val="2"/>
                      <w:sz w:val="21"/>
                      <w:szCs w:val="21"/>
                    </w:rPr>
                  </w:pPr>
                  <w:r>
                    <w:rPr>
                      <w:rFonts w:hint="eastAsia" w:ascii="Times New Roman" w:hAnsi="Times New Roman"/>
                      <w:kern w:val="2"/>
                      <w:sz w:val="21"/>
                      <w:szCs w:val="21"/>
                    </w:rPr>
                    <w:t>0</w:t>
                  </w:r>
                  <w:r>
                    <w:rPr>
                      <w:rFonts w:ascii="Times New Roman" w:hAnsi="Times New Roman"/>
                      <w:kern w:val="2"/>
                      <w:sz w:val="21"/>
                      <w:szCs w:val="21"/>
                    </w:rPr>
                    <w:t>.30</w:t>
                  </w:r>
                  <w:r>
                    <w:rPr>
                      <w:rFonts w:hint="eastAsia" w:ascii="Times New Roman" w:hAnsi="Times New Roman"/>
                      <w:kern w:val="2"/>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1631" w:type="dxa"/>
                  <w:vAlign w:val="center"/>
                </w:tcPr>
                <w:p>
                  <w:pPr>
                    <w:adjustRightInd w:val="0"/>
                    <w:snapToGrid w:val="0"/>
                    <w:jc w:val="center"/>
                    <w:rPr>
                      <w:rFonts w:ascii="Times New Roman" w:hAnsi="Times New Roman"/>
                      <w:kern w:val="2"/>
                      <w:sz w:val="21"/>
                      <w:szCs w:val="21"/>
                    </w:rPr>
                  </w:pPr>
                  <w:r>
                    <w:rPr>
                      <w:rFonts w:hint="eastAsia" w:ascii="Times New Roman" w:hAnsi="Times New Roman"/>
                      <w:kern w:val="2"/>
                      <w:sz w:val="21"/>
                      <w:szCs w:val="21"/>
                    </w:rPr>
                    <w:t>印刷</w:t>
                  </w:r>
                  <w:r>
                    <w:rPr>
                      <w:rFonts w:ascii="Times New Roman" w:hAnsi="Times New Roman"/>
                      <w:kern w:val="2"/>
                      <w:sz w:val="21"/>
                      <w:szCs w:val="21"/>
                    </w:rPr>
                    <w:t>车间</w:t>
                  </w:r>
                </w:p>
              </w:tc>
              <w:tc>
                <w:tcPr>
                  <w:tcW w:w="1370" w:type="dxa"/>
                  <w:vAlign w:val="center"/>
                </w:tcPr>
                <w:p>
                  <w:pPr>
                    <w:adjustRightInd w:val="0"/>
                    <w:snapToGrid w:val="0"/>
                    <w:jc w:val="center"/>
                    <w:rPr>
                      <w:rFonts w:ascii="Times New Roman" w:hAnsi="Times New Roman"/>
                      <w:kern w:val="2"/>
                      <w:sz w:val="21"/>
                      <w:szCs w:val="21"/>
                    </w:rPr>
                  </w:pPr>
                  <w:r>
                    <w:rPr>
                      <w:rFonts w:ascii="Times New Roman" w:hAnsi="Times New Roman"/>
                      <w:kern w:val="2"/>
                      <w:sz w:val="21"/>
                      <w:szCs w:val="21"/>
                    </w:rPr>
                    <w:t>VOCs</w:t>
                  </w:r>
                </w:p>
              </w:tc>
              <w:tc>
                <w:tcPr>
                  <w:tcW w:w="1871" w:type="dxa"/>
                  <w:vAlign w:val="center"/>
                </w:tcPr>
                <w:p>
                  <w:pPr>
                    <w:adjustRightInd w:val="0"/>
                    <w:snapToGrid w:val="0"/>
                    <w:jc w:val="center"/>
                    <w:rPr>
                      <w:rFonts w:ascii="Times New Roman" w:hAnsi="Times New Roman"/>
                      <w:kern w:val="2"/>
                      <w:sz w:val="21"/>
                      <w:szCs w:val="21"/>
                    </w:rPr>
                  </w:pPr>
                  <w:r>
                    <w:rPr>
                      <w:rFonts w:ascii="Times New Roman" w:hAnsi="Times New Roman"/>
                      <w:kern w:val="2"/>
                      <w:sz w:val="21"/>
                      <w:szCs w:val="21"/>
                    </w:rPr>
                    <w:t>28.3</w:t>
                  </w:r>
                </w:p>
              </w:tc>
              <w:tc>
                <w:tcPr>
                  <w:tcW w:w="1589" w:type="dxa"/>
                  <w:vAlign w:val="center"/>
                </w:tcPr>
                <w:p>
                  <w:pPr>
                    <w:adjustRightInd w:val="0"/>
                    <w:snapToGrid w:val="0"/>
                    <w:jc w:val="center"/>
                    <w:rPr>
                      <w:rFonts w:ascii="Times New Roman" w:hAnsi="Times New Roman"/>
                      <w:kern w:val="2"/>
                      <w:sz w:val="21"/>
                      <w:szCs w:val="21"/>
                    </w:rPr>
                  </w:pPr>
                  <w:r>
                    <w:rPr>
                      <w:rFonts w:ascii="Times New Roman" w:hAnsi="Times New Roman"/>
                      <w:kern w:val="2"/>
                      <w:sz w:val="21"/>
                      <w:szCs w:val="21"/>
                    </w:rPr>
                    <w:t>1200</w:t>
                  </w:r>
                </w:p>
              </w:tc>
              <w:tc>
                <w:tcPr>
                  <w:tcW w:w="1572" w:type="dxa"/>
                  <w:vAlign w:val="center"/>
                </w:tcPr>
                <w:p>
                  <w:pPr>
                    <w:adjustRightInd w:val="0"/>
                    <w:snapToGrid w:val="0"/>
                    <w:jc w:val="center"/>
                    <w:rPr>
                      <w:rFonts w:ascii="Times New Roman" w:hAnsi="Times New Roman"/>
                      <w:kern w:val="2"/>
                      <w:sz w:val="21"/>
                      <w:szCs w:val="21"/>
                    </w:rPr>
                  </w:pPr>
                  <w:r>
                    <w:rPr>
                      <w:rFonts w:ascii="Times New Roman" w:hAnsi="Times New Roman"/>
                      <w:kern w:val="2"/>
                      <w:sz w:val="21"/>
                      <w:szCs w:val="21"/>
                    </w:rPr>
                    <w:t>24</w:t>
                  </w:r>
                </w:p>
              </w:tc>
              <w:tc>
                <w:tcPr>
                  <w:tcW w:w="1426" w:type="dxa"/>
                  <w:vAlign w:val="center"/>
                </w:tcPr>
                <w:p>
                  <w:pPr>
                    <w:adjustRightInd w:val="0"/>
                    <w:snapToGrid w:val="0"/>
                    <w:jc w:val="center"/>
                    <w:rPr>
                      <w:rFonts w:ascii="Times New Roman" w:hAnsi="Times New Roman"/>
                      <w:kern w:val="2"/>
                      <w:sz w:val="21"/>
                      <w:szCs w:val="21"/>
                    </w:rPr>
                  </w:pPr>
                  <w:r>
                    <w:rPr>
                      <w:rFonts w:ascii="Times New Roman" w:hAnsi="Times New Roman"/>
                      <w:kern w:val="2"/>
                      <w:sz w:val="21"/>
                      <w:szCs w:val="21"/>
                    </w:rPr>
                    <w:t>2.36</w:t>
                  </w:r>
                  <w:r>
                    <w:rPr>
                      <w:rFonts w:hint="eastAsia" w:ascii="Times New Roman" w:hAnsi="Times New Roman"/>
                      <w:kern w:val="2"/>
                      <w:sz w:val="21"/>
                      <w:szCs w:val="21"/>
                    </w:rPr>
                    <w:t>%</w:t>
                  </w:r>
                </w:p>
              </w:tc>
            </w:tr>
          </w:tbl>
          <w:p>
            <w:pPr>
              <w:keepNext/>
              <w:keepLines/>
              <w:adjustRightInd w:val="0"/>
              <w:snapToGrid w:val="0"/>
              <w:spacing w:line="500" w:lineRule="exact"/>
              <w:ind w:firstLine="480" w:firstLineChars="200"/>
              <w:rPr>
                <w:rFonts w:ascii="Times New Roman" w:hAnsi="Times New Roman"/>
                <w:color w:val="000000"/>
                <w:kern w:val="2"/>
                <w:szCs w:val="24"/>
              </w:rPr>
            </w:pPr>
            <w:r>
              <w:rPr>
                <w:rFonts w:hint="eastAsia"/>
                <w:color w:val="000000"/>
                <w:kern w:val="2"/>
                <w:szCs w:val="24"/>
              </w:rPr>
              <w:t>③</w:t>
            </w:r>
            <w:r>
              <w:rPr>
                <w:rFonts w:ascii="Times New Roman" w:hAnsi="Times New Roman"/>
                <w:color w:val="000000"/>
                <w:kern w:val="2"/>
                <w:szCs w:val="24"/>
              </w:rPr>
              <w:t>评价等级的判定</w:t>
            </w:r>
          </w:p>
          <w:p>
            <w:pPr>
              <w:keepNext/>
              <w:keepLines/>
              <w:adjustRightInd w:val="0"/>
              <w:snapToGrid w:val="0"/>
              <w:spacing w:line="500" w:lineRule="exact"/>
              <w:ind w:firstLine="480" w:firstLineChars="200"/>
              <w:rPr>
                <w:rFonts w:ascii="Times New Roman" w:hAnsi="Times New Roman"/>
                <w:b/>
                <w:bCs/>
                <w:color w:val="000000"/>
                <w:kern w:val="2"/>
                <w:szCs w:val="24"/>
              </w:rPr>
            </w:pPr>
            <w:r>
              <w:rPr>
                <w:rFonts w:ascii="Times New Roman" w:hAnsi="Times New Roman"/>
                <w:color w:val="000000"/>
                <w:kern w:val="2"/>
                <w:szCs w:val="24"/>
              </w:rPr>
              <w:t>根据《环境影响评价技术导则-大气环境》（HJ2.2-2018）中有关规定，根据项目污染源初步调查结果，分别计算排放主要污染物的最大地面空气质量浓度占标率P</w:t>
            </w:r>
            <w:r>
              <w:rPr>
                <w:rFonts w:ascii="Times New Roman" w:hAnsi="Times New Roman"/>
                <w:color w:val="000000"/>
                <w:kern w:val="2"/>
                <w:szCs w:val="24"/>
                <w:vertAlign w:val="subscript"/>
              </w:rPr>
              <w:t>i</w:t>
            </w:r>
            <w:r>
              <w:rPr>
                <w:rFonts w:ascii="Times New Roman" w:hAnsi="Times New Roman"/>
                <w:color w:val="000000"/>
                <w:kern w:val="2"/>
                <w:szCs w:val="24"/>
              </w:rPr>
              <w:t>(第i个污染物，简称“最大浓度占标率”)，及第i个污染物的地面空气质量浓度达到标准值的10%时所对应的最远距离D</w:t>
            </w:r>
            <w:r>
              <w:rPr>
                <w:rFonts w:ascii="Times New Roman" w:hAnsi="Times New Roman"/>
                <w:color w:val="000000"/>
                <w:kern w:val="2"/>
                <w:szCs w:val="24"/>
                <w:vertAlign w:val="subscript"/>
              </w:rPr>
              <w:t>10%</w:t>
            </w:r>
            <w:r>
              <w:rPr>
                <w:rFonts w:ascii="Times New Roman" w:hAnsi="Times New Roman"/>
                <w:color w:val="000000"/>
                <w:kern w:val="2"/>
                <w:szCs w:val="24"/>
              </w:rPr>
              <w:t>，选取P</w:t>
            </w:r>
            <w:r>
              <w:rPr>
                <w:rFonts w:ascii="Times New Roman" w:hAnsi="Times New Roman"/>
                <w:color w:val="000000"/>
                <w:kern w:val="2"/>
                <w:szCs w:val="24"/>
                <w:vertAlign w:val="subscript"/>
              </w:rPr>
              <w:t>i</w:t>
            </w:r>
            <w:r>
              <w:rPr>
                <w:rFonts w:ascii="Times New Roman" w:hAnsi="Times New Roman"/>
                <w:color w:val="000000"/>
                <w:kern w:val="2"/>
                <w:szCs w:val="24"/>
              </w:rPr>
              <w:t>最大者来确定评价工作等级，评价等级判别见表2</w:t>
            </w:r>
            <w:r>
              <w:rPr>
                <w:rFonts w:hint="eastAsia" w:ascii="Times New Roman" w:hAnsi="Times New Roman"/>
                <w:color w:val="000000"/>
                <w:kern w:val="2"/>
                <w:szCs w:val="24"/>
              </w:rPr>
              <w:t>4</w:t>
            </w:r>
            <w:r>
              <w:rPr>
                <w:rFonts w:ascii="Times New Roman" w:hAnsi="Times New Roman"/>
                <w:color w:val="000000"/>
                <w:kern w:val="2"/>
                <w:szCs w:val="24"/>
              </w:rPr>
              <w:t>。</w:t>
            </w:r>
          </w:p>
          <w:p>
            <w:pPr>
              <w:tabs>
                <w:tab w:val="left" w:pos="1372"/>
                <w:tab w:val="center" w:pos="4394"/>
              </w:tabs>
              <w:snapToGrid w:val="0"/>
              <w:jc w:val="center"/>
              <w:rPr>
                <w:rFonts w:ascii="Times New Roman" w:hAnsi="Times New Roman" w:eastAsia="黑体"/>
                <w:szCs w:val="24"/>
              </w:rPr>
            </w:pPr>
            <w:r>
              <w:rPr>
                <w:rFonts w:ascii="Times New Roman" w:hAnsi="Times New Roman" w:eastAsia="黑体"/>
                <w:szCs w:val="24"/>
              </w:rPr>
              <w:t>表2</w:t>
            </w:r>
            <w:r>
              <w:rPr>
                <w:rFonts w:hint="eastAsia" w:ascii="Times New Roman" w:hAnsi="Times New Roman" w:eastAsia="黑体"/>
                <w:szCs w:val="24"/>
              </w:rPr>
              <w:t>4</w:t>
            </w:r>
            <w:r>
              <w:rPr>
                <w:rFonts w:ascii="Times New Roman" w:hAnsi="Times New Roman" w:eastAsia="黑体"/>
                <w:szCs w:val="24"/>
              </w:rPr>
              <w:t xml:space="preserve"> 大气评价等级判别表</w:t>
            </w:r>
          </w:p>
          <w:tbl>
            <w:tblPr>
              <w:tblStyle w:val="30"/>
              <w:tblW w:w="946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01"/>
              <w:gridCol w:w="51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4301" w:type="dxa"/>
                  <w:vAlign w:val="center"/>
                </w:tcPr>
                <w:p>
                  <w:pPr>
                    <w:adjustRightInd w:val="0"/>
                    <w:snapToGrid w:val="0"/>
                    <w:jc w:val="center"/>
                    <w:rPr>
                      <w:rFonts w:ascii="Times New Roman" w:hAnsi="Times New Roman"/>
                      <w:color w:val="000000"/>
                      <w:kern w:val="2"/>
                      <w:sz w:val="21"/>
                      <w:szCs w:val="21"/>
                    </w:rPr>
                  </w:pPr>
                  <w:r>
                    <w:rPr>
                      <w:rFonts w:ascii="Times New Roman" w:hAnsi="Times New Roman"/>
                      <w:color w:val="000000"/>
                      <w:kern w:val="2"/>
                      <w:sz w:val="21"/>
                      <w:szCs w:val="21"/>
                    </w:rPr>
                    <w:t>评价工作等级</w:t>
                  </w:r>
                </w:p>
              </w:tc>
              <w:tc>
                <w:tcPr>
                  <w:tcW w:w="5160" w:type="dxa"/>
                  <w:vAlign w:val="center"/>
                </w:tcPr>
                <w:p>
                  <w:pPr>
                    <w:adjustRightInd w:val="0"/>
                    <w:snapToGrid w:val="0"/>
                    <w:jc w:val="center"/>
                    <w:rPr>
                      <w:rFonts w:ascii="Times New Roman" w:hAnsi="Times New Roman"/>
                      <w:color w:val="000000"/>
                      <w:kern w:val="2"/>
                      <w:sz w:val="21"/>
                      <w:szCs w:val="21"/>
                    </w:rPr>
                  </w:pPr>
                  <w:r>
                    <w:rPr>
                      <w:rFonts w:ascii="Times New Roman" w:hAnsi="Times New Roman"/>
                      <w:color w:val="000000"/>
                      <w:kern w:val="2"/>
                      <w:sz w:val="21"/>
                      <w:szCs w:val="21"/>
                    </w:rPr>
                    <w:t>评价工作分级依据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4301" w:type="dxa"/>
                  <w:vAlign w:val="center"/>
                </w:tcPr>
                <w:p>
                  <w:pPr>
                    <w:adjustRightInd w:val="0"/>
                    <w:snapToGrid w:val="0"/>
                    <w:jc w:val="center"/>
                    <w:rPr>
                      <w:rFonts w:ascii="Times New Roman" w:hAnsi="Times New Roman"/>
                      <w:color w:val="000000"/>
                      <w:kern w:val="2"/>
                      <w:sz w:val="21"/>
                      <w:szCs w:val="21"/>
                    </w:rPr>
                  </w:pPr>
                  <w:r>
                    <w:rPr>
                      <w:rFonts w:ascii="Times New Roman" w:hAnsi="Times New Roman"/>
                      <w:color w:val="000000"/>
                      <w:kern w:val="2"/>
                      <w:sz w:val="21"/>
                      <w:szCs w:val="21"/>
                    </w:rPr>
                    <w:t>一级</w:t>
                  </w:r>
                </w:p>
              </w:tc>
              <w:tc>
                <w:tcPr>
                  <w:tcW w:w="5160" w:type="dxa"/>
                  <w:vAlign w:val="center"/>
                </w:tcPr>
                <w:p>
                  <w:pPr>
                    <w:adjustRightInd w:val="0"/>
                    <w:snapToGrid w:val="0"/>
                    <w:jc w:val="center"/>
                    <w:rPr>
                      <w:rFonts w:ascii="Times New Roman" w:hAnsi="Times New Roman"/>
                      <w:color w:val="000000"/>
                      <w:kern w:val="2"/>
                      <w:sz w:val="21"/>
                      <w:szCs w:val="21"/>
                    </w:rPr>
                  </w:pPr>
                  <w:r>
                    <w:rPr>
                      <w:rFonts w:ascii="Times New Roman" w:hAnsi="Times New Roman"/>
                      <w:color w:val="000000"/>
                      <w:kern w:val="2"/>
                      <w:sz w:val="21"/>
                      <w:szCs w:val="21"/>
                    </w:rPr>
                    <w:t>P</w:t>
                  </w:r>
                  <w:r>
                    <w:rPr>
                      <w:rFonts w:ascii="Times New Roman" w:hAnsi="Times New Roman"/>
                      <w:color w:val="000000"/>
                      <w:kern w:val="2"/>
                      <w:sz w:val="21"/>
                      <w:szCs w:val="21"/>
                      <w:vertAlign w:val="subscript"/>
                    </w:rPr>
                    <w:t>max</w:t>
                  </w:r>
                  <w:r>
                    <w:rPr>
                      <w:rFonts w:ascii="Times New Roman" w:hAnsi="Times New Roman"/>
                      <w:color w:val="000000"/>
                      <w:kern w:val="2"/>
                      <w:sz w:val="21"/>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4301" w:type="dxa"/>
                  <w:vAlign w:val="center"/>
                </w:tcPr>
                <w:p>
                  <w:pPr>
                    <w:adjustRightInd w:val="0"/>
                    <w:snapToGrid w:val="0"/>
                    <w:jc w:val="center"/>
                    <w:rPr>
                      <w:rFonts w:ascii="Times New Roman" w:hAnsi="Times New Roman"/>
                      <w:color w:val="000000"/>
                      <w:kern w:val="2"/>
                      <w:sz w:val="21"/>
                      <w:szCs w:val="21"/>
                    </w:rPr>
                  </w:pPr>
                  <w:r>
                    <w:rPr>
                      <w:rFonts w:ascii="Times New Roman" w:hAnsi="Times New Roman"/>
                      <w:color w:val="000000"/>
                      <w:kern w:val="2"/>
                      <w:sz w:val="21"/>
                      <w:szCs w:val="21"/>
                    </w:rPr>
                    <w:t>二级</w:t>
                  </w:r>
                </w:p>
              </w:tc>
              <w:tc>
                <w:tcPr>
                  <w:tcW w:w="5160" w:type="dxa"/>
                  <w:vAlign w:val="center"/>
                </w:tcPr>
                <w:p>
                  <w:pPr>
                    <w:adjustRightInd w:val="0"/>
                    <w:snapToGrid w:val="0"/>
                    <w:jc w:val="center"/>
                    <w:rPr>
                      <w:rFonts w:ascii="Times New Roman" w:hAnsi="Times New Roman"/>
                      <w:color w:val="000000"/>
                      <w:kern w:val="2"/>
                      <w:sz w:val="21"/>
                      <w:szCs w:val="21"/>
                    </w:rPr>
                  </w:pPr>
                  <w:r>
                    <w:rPr>
                      <w:rFonts w:ascii="Times New Roman" w:hAnsi="Times New Roman"/>
                      <w:color w:val="000000"/>
                      <w:kern w:val="2"/>
                      <w:sz w:val="21"/>
                      <w:szCs w:val="21"/>
                    </w:rPr>
                    <w:t>1%≤P</w:t>
                  </w:r>
                  <w:r>
                    <w:rPr>
                      <w:rFonts w:ascii="Times New Roman" w:hAnsi="Times New Roman"/>
                      <w:color w:val="000000"/>
                      <w:kern w:val="2"/>
                      <w:sz w:val="21"/>
                      <w:szCs w:val="21"/>
                      <w:vertAlign w:val="subscript"/>
                    </w:rPr>
                    <w:t>max</w:t>
                  </w:r>
                  <w:r>
                    <w:rPr>
                      <w:rFonts w:ascii="Times New Roman" w:hAnsi="Times New Roman"/>
                      <w:color w:val="000000"/>
                      <w:kern w:val="2"/>
                      <w:sz w:val="21"/>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4301" w:type="dxa"/>
                  <w:vAlign w:val="center"/>
                </w:tcPr>
                <w:p>
                  <w:pPr>
                    <w:adjustRightInd w:val="0"/>
                    <w:snapToGrid w:val="0"/>
                    <w:jc w:val="center"/>
                    <w:rPr>
                      <w:rFonts w:ascii="Times New Roman" w:hAnsi="Times New Roman"/>
                      <w:color w:val="000000"/>
                      <w:kern w:val="2"/>
                      <w:sz w:val="21"/>
                      <w:szCs w:val="21"/>
                    </w:rPr>
                  </w:pPr>
                  <w:r>
                    <w:rPr>
                      <w:rFonts w:ascii="Times New Roman" w:hAnsi="Times New Roman"/>
                      <w:color w:val="000000"/>
                      <w:kern w:val="2"/>
                      <w:sz w:val="21"/>
                      <w:szCs w:val="21"/>
                    </w:rPr>
                    <w:t>三级</w:t>
                  </w:r>
                </w:p>
              </w:tc>
              <w:tc>
                <w:tcPr>
                  <w:tcW w:w="5160" w:type="dxa"/>
                  <w:vAlign w:val="center"/>
                </w:tcPr>
                <w:p>
                  <w:pPr>
                    <w:adjustRightInd w:val="0"/>
                    <w:snapToGrid w:val="0"/>
                    <w:jc w:val="center"/>
                    <w:rPr>
                      <w:rFonts w:ascii="Times New Roman" w:hAnsi="Times New Roman"/>
                      <w:color w:val="000000"/>
                      <w:kern w:val="2"/>
                      <w:sz w:val="21"/>
                      <w:szCs w:val="21"/>
                    </w:rPr>
                  </w:pPr>
                  <w:r>
                    <w:rPr>
                      <w:rFonts w:ascii="Times New Roman" w:hAnsi="Times New Roman"/>
                      <w:color w:val="000000"/>
                      <w:kern w:val="2"/>
                      <w:sz w:val="21"/>
                      <w:szCs w:val="21"/>
                    </w:rPr>
                    <w:t>P</w:t>
                  </w:r>
                  <w:r>
                    <w:rPr>
                      <w:rFonts w:ascii="Times New Roman" w:hAnsi="Times New Roman"/>
                      <w:color w:val="000000"/>
                      <w:kern w:val="2"/>
                      <w:sz w:val="21"/>
                      <w:szCs w:val="21"/>
                      <w:vertAlign w:val="subscript"/>
                    </w:rPr>
                    <w:t>max</w:t>
                  </w:r>
                  <w:r>
                    <w:rPr>
                      <w:rFonts w:ascii="Times New Roman" w:hAnsi="Times New Roman"/>
                      <w:color w:val="000000"/>
                      <w:kern w:val="2"/>
                      <w:sz w:val="21"/>
                      <w:szCs w:val="21"/>
                    </w:rPr>
                    <w:t xml:space="preserve">＜1% </w:t>
                  </w:r>
                </w:p>
              </w:tc>
            </w:tr>
          </w:tbl>
          <w:p>
            <w:pPr>
              <w:adjustRightInd w:val="0"/>
              <w:snapToGrid w:val="0"/>
              <w:spacing w:line="460" w:lineRule="exact"/>
              <w:ind w:firstLine="480" w:firstLineChars="200"/>
              <w:rPr>
                <w:rFonts w:ascii="Times New Roman" w:hAnsi="Times New Roman"/>
                <w:kern w:val="2"/>
                <w:szCs w:val="24"/>
              </w:rPr>
            </w:pPr>
            <w:r>
              <w:rPr>
                <w:rFonts w:ascii="Times New Roman" w:hAnsi="Times New Roman"/>
                <w:kern w:val="2"/>
                <w:szCs w:val="24"/>
              </w:rPr>
              <w:t>根据项目主要污染源估算模型计算结果，P</w:t>
            </w:r>
            <w:r>
              <w:rPr>
                <w:rFonts w:ascii="Times New Roman" w:hAnsi="Times New Roman"/>
                <w:kern w:val="2"/>
                <w:szCs w:val="24"/>
                <w:vertAlign w:val="subscript"/>
              </w:rPr>
              <w:t>max</w:t>
            </w:r>
            <w:r>
              <w:rPr>
                <w:rFonts w:ascii="Times New Roman" w:hAnsi="Times New Roman"/>
                <w:kern w:val="2"/>
                <w:szCs w:val="24"/>
              </w:rPr>
              <w:t>=2.36%，</w:t>
            </w:r>
            <w:r>
              <w:rPr>
                <w:rFonts w:ascii="Times New Roman" w:hAnsi="Times New Roman"/>
                <w:color w:val="000000"/>
                <w:kern w:val="2"/>
                <w:szCs w:val="24"/>
              </w:rPr>
              <w:t>1%≤P</w:t>
            </w:r>
            <w:r>
              <w:rPr>
                <w:rFonts w:ascii="Times New Roman" w:hAnsi="Times New Roman"/>
                <w:color w:val="000000"/>
                <w:kern w:val="2"/>
                <w:szCs w:val="24"/>
                <w:vertAlign w:val="subscript"/>
              </w:rPr>
              <w:t>max</w:t>
            </w:r>
            <w:r>
              <w:rPr>
                <w:rFonts w:ascii="Times New Roman" w:hAnsi="Times New Roman"/>
                <w:color w:val="000000"/>
                <w:kern w:val="2"/>
                <w:szCs w:val="24"/>
              </w:rPr>
              <w:t>＜10%</w:t>
            </w:r>
            <w:r>
              <w:rPr>
                <w:rFonts w:ascii="Times New Roman" w:hAnsi="Times New Roman"/>
                <w:kern w:val="2"/>
                <w:szCs w:val="24"/>
              </w:rPr>
              <w:t>。综上，本项目大气评价等级为二级评价。</w:t>
            </w:r>
          </w:p>
          <w:p>
            <w:pPr>
              <w:keepNext/>
              <w:keepLines/>
              <w:adjustRightInd w:val="0"/>
              <w:snapToGrid w:val="0"/>
              <w:spacing w:line="500" w:lineRule="exact"/>
              <w:ind w:left="480" w:leftChars="200"/>
              <w:rPr>
                <w:rFonts w:ascii="Times New Roman" w:hAnsi="Times New Roman"/>
                <w:kern w:val="2"/>
                <w:szCs w:val="24"/>
              </w:rPr>
            </w:pPr>
            <w:r>
              <w:rPr>
                <w:rFonts w:ascii="Times New Roman" w:hAnsi="Times New Roman"/>
                <w:kern w:val="2"/>
                <w:szCs w:val="24"/>
              </w:rPr>
              <w:t>（4）污染物排放量核算</w:t>
            </w:r>
          </w:p>
          <w:p>
            <w:pPr>
              <w:adjustRightInd w:val="0"/>
              <w:snapToGrid w:val="0"/>
              <w:spacing w:line="500" w:lineRule="exact"/>
              <w:ind w:firstLine="480" w:firstLineChars="200"/>
              <w:rPr>
                <w:rFonts w:ascii="Times New Roman" w:hAnsi="Times New Roman"/>
                <w:kern w:val="2"/>
                <w:szCs w:val="24"/>
              </w:rPr>
            </w:pPr>
            <w:r>
              <w:rPr>
                <w:rFonts w:ascii="Times New Roman" w:hAnsi="Times New Roman"/>
                <w:kern w:val="2"/>
                <w:szCs w:val="24"/>
              </w:rPr>
              <w:t>根据评价等级的判定结果，项目为</w:t>
            </w:r>
            <w:r>
              <w:rPr>
                <w:rFonts w:hint="eastAsia" w:ascii="Times New Roman" w:hAnsi="Times New Roman"/>
                <w:kern w:val="2"/>
                <w:szCs w:val="24"/>
              </w:rPr>
              <w:t>二</w:t>
            </w:r>
            <w:r>
              <w:rPr>
                <w:rFonts w:ascii="Times New Roman" w:hAnsi="Times New Roman"/>
                <w:kern w:val="2"/>
                <w:szCs w:val="24"/>
              </w:rPr>
              <w:t>级评价，根据HJ2.2-2018《环境影响评价技术导则 大气环境》的要求，本项目不需要进行大气环境影响预测工作。具体点源、面源排放核算表分别见表</w:t>
            </w:r>
            <w:r>
              <w:rPr>
                <w:rFonts w:hint="eastAsia" w:ascii="Times New Roman" w:hAnsi="Times New Roman"/>
                <w:kern w:val="2"/>
                <w:szCs w:val="24"/>
              </w:rPr>
              <w:t>25</w:t>
            </w:r>
            <w:r>
              <w:rPr>
                <w:rFonts w:ascii="Times New Roman" w:hAnsi="Times New Roman"/>
                <w:kern w:val="2"/>
                <w:szCs w:val="24"/>
              </w:rPr>
              <w:t>和表</w:t>
            </w:r>
            <w:r>
              <w:rPr>
                <w:rFonts w:hint="eastAsia" w:ascii="Times New Roman" w:hAnsi="Times New Roman"/>
                <w:kern w:val="2"/>
                <w:szCs w:val="24"/>
              </w:rPr>
              <w:t>26</w:t>
            </w:r>
            <w:r>
              <w:rPr>
                <w:rFonts w:ascii="Times New Roman" w:hAnsi="Times New Roman"/>
                <w:kern w:val="2"/>
                <w:szCs w:val="24"/>
              </w:rPr>
              <w:t>，大气污染物年排放量核算表见表</w:t>
            </w:r>
            <w:r>
              <w:rPr>
                <w:rFonts w:hint="eastAsia" w:ascii="Times New Roman" w:hAnsi="Times New Roman"/>
                <w:kern w:val="2"/>
                <w:szCs w:val="24"/>
              </w:rPr>
              <w:t>27</w:t>
            </w:r>
            <w:r>
              <w:rPr>
                <w:rFonts w:ascii="Times New Roman" w:hAnsi="Times New Roman"/>
                <w:kern w:val="2"/>
                <w:szCs w:val="24"/>
              </w:rPr>
              <w:t>。</w:t>
            </w:r>
          </w:p>
          <w:p>
            <w:pPr>
              <w:tabs>
                <w:tab w:val="left" w:pos="1372"/>
                <w:tab w:val="center" w:pos="4394"/>
              </w:tabs>
              <w:snapToGrid w:val="0"/>
              <w:jc w:val="center"/>
              <w:rPr>
                <w:rFonts w:ascii="Times New Roman" w:hAnsi="Times New Roman" w:eastAsia="黑体"/>
                <w:szCs w:val="24"/>
              </w:rPr>
            </w:pPr>
            <w:r>
              <w:rPr>
                <w:rFonts w:ascii="Times New Roman" w:hAnsi="Times New Roman" w:eastAsia="黑体"/>
                <w:szCs w:val="24"/>
              </w:rPr>
              <w:t>表</w:t>
            </w:r>
            <w:r>
              <w:rPr>
                <w:rFonts w:hint="eastAsia" w:ascii="Times New Roman" w:hAnsi="Times New Roman" w:eastAsia="黑体"/>
                <w:szCs w:val="24"/>
              </w:rPr>
              <w:t>25</w:t>
            </w:r>
            <w:r>
              <w:rPr>
                <w:rFonts w:ascii="Times New Roman" w:hAnsi="Times New Roman" w:eastAsia="黑体"/>
                <w:szCs w:val="24"/>
              </w:rPr>
              <w:t xml:space="preserve"> 大气污染物有组织排放量核算表</w:t>
            </w:r>
          </w:p>
          <w:tbl>
            <w:tblPr>
              <w:tblStyle w:val="30"/>
              <w:tblW w:w="945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6"/>
              <w:gridCol w:w="1407"/>
              <w:gridCol w:w="1385"/>
              <w:gridCol w:w="2028"/>
              <w:gridCol w:w="1733"/>
              <w:gridCol w:w="18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2" w:hRule="atLeast"/>
                <w:jc w:val="center"/>
              </w:trPr>
              <w:tc>
                <w:tcPr>
                  <w:tcW w:w="1016" w:type="dxa"/>
                  <w:vAlign w:val="center"/>
                </w:tcPr>
                <w:p>
                  <w:pPr>
                    <w:widowControl/>
                    <w:adjustRightInd w:val="0"/>
                    <w:snapToGrid w:val="0"/>
                    <w:jc w:val="center"/>
                    <w:rPr>
                      <w:rFonts w:ascii="Times New Roman" w:hAnsi="Times New Roman" w:eastAsia="仿宋_GB2312"/>
                      <w:kern w:val="0"/>
                      <w:sz w:val="21"/>
                      <w:szCs w:val="21"/>
                    </w:rPr>
                  </w:pPr>
                  <w:r>
                    <w:rPr>
                      <w:rFonts w:ascii="Times New Roman" w:hAnsi="Times New Roman"/>
                      <w:kern w:val="0"/>
                      <w:sz w:val="21"/>
                      <w:szCs w:val="21"/>
                    </w:rPr>
                    <w:t>序号</w:t>
                  </w:r>
                </w:p>
              </w:tc>
              <w:tc>
                <w:tcPr>
                  <w:tcW w:w="1407" w:type="dxa"/>
                  <w:vAlign w:val="center"/>
                </w:tcPr>
                <w:p>
                  <w:pPr>
                    <w:widowControl/>
                    <w:adjustRightInd w:val="0"/>
                    <w:snapToGrid w:val="0"/>
                    <w:jc w:val="center"/>
                    <w:rPr>
                      <w:rFonts w:ascii="Times New Roman" w:hAnsi="Times New Roman"/>
                      <w:kern w:val="0"/>
                      <w:sz w:val="21"/>
                      <w:szCs w:val="21"/>
                    </w:rPr>
                  </w:pPr>
                  <w:r>
                    <w:rPr>
                      <w:rFonts w:ascii="Times New Roman" w:hAnsi="Times New Roman"/>
                      <w:kern w:val="0"/>
                      <w:sz w:val="21"/>
                      <w:szCs w:val="21"/>
                    </w:rPr>
                    <w:t>排放口编号</w:t>
                  </w:r>
                </w:p>
              </w:tc>
              <w:tc>
                <w:tcPr>
                  <w:tcW w:w="1385" w:type="dxa"/>
                  <w:vAlign w:val="center"/>
                </w:tcPr>
                <w:p>
                  <w:pPr>
                    <w:widowControl/>
                    <w:adjustRightInd w:val="0"/>
                    <w:snapToGrid w:val="0"/>
                    <w:jc w:val="center"/>
                    <w:rPr>
                      <w:rFonts w:ascii="Times New Roman" w:hAnsi="Times New Roman"/>
                      <w:kern w:val="0"/>
                      <w:sz w:val="21"/>
                      <w:szCs w:val="21"/>
                    </w:rPr>
                  </w:pPr>
                  <w:r>
                    <w:rPr>
                      <w:rFonts w:ascii="Times New Roman" w:hAnsi="Times New Roman"/>
                      <w:kern w:val="0"/>
                      <w:sz w:val="21"/>
                      <w:szCs w:val="21"/>
                    </w:rPr>
                    <w:t>污染物</w:t>
                  </w:r>
                </w:p>
              </w:tc>
              <w:tc>
                <w:tcPr>
                  <w:tcW w:w="2028" w:type="dxa"/>
                  <w:vAlign w:val="center"/>
                </w:tcPr>
                <w:p>
                  <w:pPr>
                    <w:widowControl/>
                    <w:adjustRightInd w:val="0"/>
                    <w:snapToGrid w:val="0"/>
                    <w:jc w:val="center"/>
                    <w:rPr>
                      <w:rFonts w:ascii="Times New Roman" w:hAnsi="Times New Roman"/>
                      <w:kern w:val="0"/>
                      <w:sz w:val="21"/>
                      <w:szCs w:val="21"/>
                    </w:rPr>
                  </w:pPr>
                  <w:r>
                    <w:rPr>
                      <w:rFonts w:ascii="Times New Roman" w:hAnsi="Times New Roman"/>
                      <w:kern w:val="0"/>
                      <w:sz w:val="21"/>
                      <w:szCs w:val="21"/>
                    </w:rPr>
                    <w:t>核算排放浓度（mg/m</w:t>
                  </w:r>
                  <w:r>
                    <w:rPr>
                      <w:rFonts w:ascii="Times New Roman" w:hAnsi="Times New Roman"/>
                      <w:kern w:val="0"/>
                      <w:sz w:val="21"/>
                      <w:szCs w:val="21"/>
                      <w:vertAlign w:val="superscript"/>
                    </w:rPr>
                    <w:t>3</w:t>
                  </w:r>
                  <w:r>
                    <w:rPr>
                      <w:rFonts w:ascii="Times New Roman" w:hAnsi="Times New Roman"/>
                      <w:kern w:val="0"/>
                      <w:sz w:val="21"/>
                      <w:szCs w:val="21"/>
                    </w:rPr>
                    <w:t>）</w:t>
                  </w:r>
                </w:p>
              </w:tc>
              <w:tc>
                <w:tcPr>
                  <w:tcW w:w="1733" w:type="dxa"/>
                  <w:vAlign w:val="center"/>
                </w:tcPr>
                <w:p>
                  <w:pPr>
                    <w:widowControl/>
                    <w:adjustRightInd w:val="0"/>
                    <w:snapToGrid w:val="0"/>
                    <w:jc w:val="center"/>
                    <w:rPr>
                      <w:rFonts w:ascii="Times New Roman" w:hAnsi="Times New Roman"/>
                      <w:kern w:val="0"/>
                      <w:sz w:val="21"/>
                      <w:szCs w:val="21"/>
                    </w:rPr>
                  </w:pPr>
                  <w:r>
                    <w:rPr>
                      <w:rFonts w:ascii="Times New Roman" w:hAnsi="Times New Roman"/>
                      <w:kern w:val="0"/>
                      <w:sz w:val="21"/>
                      <w:szCs w:val="21"/>
                    </w:rPr>
                    <w:t>核算排放速率</w:t>
                  </w:r>
                </w:p>
                <w:p>
                  <w:pPr>
                    <w:widowControl/>
                    <w:adjustRightInd w:val="0"/>
                    <w:snapToGrid w:val="0"/>
                    <w:jc w:val="center"/>
                    <w:rPr>
                      <w:rFonts w:ascii="Times New Roman" w:hAnsi="Times New Roman"/>
                      <w:kern w:val="0"/>
                      <w:sz w:val="21"/>
                      <w:szCs w:val="21"/>
                    </w:rPr>
                  </w:pPr>
                  <w:r>
                    <w:rPr>
                      <w:rFonts w:ascii="Times New Roman" w:hAnsi="Times New Roman"/>
                      <w:kern w:val="0"/>
                      <w:sz w:val="21"/>
                      <w:szCs w:val="21"/>
                    </w:rPr>
                    <w:t>（kg/h）</w:t>
                  </w:r>
                </w:p>
              </w:tc>
              <w:tc>
                <w:tcPr>
                  <w:tcW w:w="1890" w:type="dxa"/>
                  <w:vAlign w:val="center"/>
                </w:tcPr>
                <w:p>
                  <w:pPr>
                    <w:widowControl/>
                    <w:adjustRightInd w:val="0"/>
                    <w:snapToGrid w:val="0"/>
                    <w:jc w:val="center"/>
                    <w:rPr>
                      <w:rFonts w:ascii="Times New Roman" w:hAnsi="Times New Roman"/>
                      <w:kern w:val="0"/>
                      <w:sz w:val="21"/>
                      <w:szCs w:val="21"/>
                    </w:rPr>
                  </w:pPr>
                  <w:r>
                    <w:rPr>
                      <w:rFonts w:ascii="Times New Roman" w:hAnsi="Times New Roman"/>
                      <w:kern w:val="0"/>
                      <w:sz w:val="21"/>
                      <w:szCs w:val="21"/>
                    </w:rPr>
                    <w:t>核算年排放量（t/a）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9459" w:type="dxa"/>
                  <w:gridSpan w:val="6"/>
                  <w:vAlign w:val="center"/>
                </w:tcPr>
                <w:p>
                  <w:pPr>
                    <w:widowControl/>
                    <w:adjustRightInd w:val="0"/>
                    <w:snapToGrid w:val="0"/>
                    <w:jc w:val="center"/>
                    <w:rPr>
                      <w:rFonts w:ascii="Times New Roman" w:hAnsi="Times New Roman"/>
                      <w:kern w:val="0"/>
                      <w:sz w:val="21"/>
                      <w:szCs w:val="21"/>
                    </w:rPr>
                  </w:pPr>
                  <w:r>
                    <w:rPr>
                      <w:rFonts w:ascii="Times New Roman" w:hAnsi="Times New Roman"/>
                      <w:kern w:val="0"/>
                      <w:sz w:val="21"/>
                      <w:szCs w:val="21"/>
                    </w:rPr>
                    <w:t>主要排放口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016" w:type="dxa"/>
                  <w:vAlign w:val="center"/>
                </w:tcPr>
                <w:p>
                  <w:pPr>
                    <w:widowControl/>
                    <w:adjustRightInd w:val="0"/>
                    <w:snapToGrid w:val="0"/>
                    <w:jc w:val="center"/>
                    <w:rPr>
                      <w:rFonts w:ascii="Times New Roman" w:hAnsi="Times New Roman"/>
                      <w:kern w:val="0"/>
                      <w:sz w:val="21"/>
                      <w:szCs w:val="21"/>
                    </w:rPr>
                  </w:pPr>
                  <w:r>
                    <w:rPr>
                      <w:rFonts w:ascii="Times New Roman" w:hAnsi="Times New Roman"/>
                      <w:kern w:val="0"/>
                      <w:sz w:val="21"/>
                      <w:szCs w:val="21"/>
                    </w:rPr>
                    <w:t>1</w:t>
                  </w:r>
                </w:p>
              </w:tc>
              <w:tc>
                <w:tcPr>
                  <w:tcW w:w="1407" w:type="dxa"/>
                  <w:vAlign w:val="center"/>
                </w:tcPr>
                <w:p>
                  <w:pPr>
                    <w:widowControl/>
                    <w:adjustRightInd w:val="0"/>
                    <w:snapToGrid w:val="0"/>
                    <w:jc w:val="center"/>
                    <w:rPr>
                      <w:rFonts w:ascii="Times New Roman" w:hAnsi="Times New Roman"/>
                      <w:kern w:val="0"/>
                      <w:sz w:val="21"/>
                      <w:szCs w:val="21"/>
                    </w:rPr>
                  </w:pPr>
                  <w:r>
                    <w:rPr>
                      <w:rFonts w:ascii="Times New Roman" w:hAnsi="Times New Roman"/>
                      <w:kern w:val="0"/>
                      <w:sz w:val="21"/>
                      <w:szCs w:val="21"/>
                    </w:rPr>
                    <w:t>P1</w:t>
                  </w:r>
                </w:p>
              </w:tc>
              <w:tc>
                <w:tcPr>
                  <w:tcW w:w="1385" w:type="dxa"/>
                  <w:vAlign w:val="center"/>
                </w:tcPr>
                <w:p>
                  <w:pPr>
                    <w:widowControl/>
                    <w:adjustRightInd w:val="0"/>
                    <w:snapToGrid w:val="0"/>
                    <w:jc w:val="center"/>
                    <w:rPr>
                      <w:rFonts w:ascii="Times New Roman" w:hAnsi="Times New Roman"/>
                      <w:kern w:val="0"/>
                      <w:sz w:val="21"/>
                      <w:szCs w:val="21"/>
                    </w:rPr>
                  </w:pPr>
                  <w:r>
                    <w:rPr>
                      <w:rFonts w:ascii="Times New Roman" w:hAnsi="Times New Roman"/>
                      <w:kern w:val="0"/>
                      <w:sz w:val="21"/>
                      <w:szCs w:val="21"/>
                    </w:rPr>
                    <w:t>VOCs</w:t>
                  </w:r>
                </w:p>
              </w:tc>
              <w:tc>
                <w:tcPr>
                  <w:tcW w:w="2028" w:type="dxa"/>
                  <w:vAlign w:val="center"/>
                </w:tcPr>
                <w:p>
                  <w:pPr>
                    <w:autoSpaceDE w:val="0"/>
                    <w:autoSpaceDN w:val="0"/>
                    <w:adjustRightInd w:val="0"/>
                    <w:snapToGrid w:val="0"/>
                    <w:jc w:val="center"/>
                    <w:rPr>
                      <w:rFonts w:ascii="Times New Roman" w:hAnsi="Times New Roman"/>
                      <w:kern w:val="2"/>
                      <w:sz w:val="21"/>
                      <w:szCs w:val="21"/>
                    </w:rPr>
                  </w:pPr>
                  <w:r>
                    <w:rPr>
                      <w:rFonts w:hint="eastAsia" w:ascii="Times New Roman" w:hAnsi="Times New Roman"/>
                      <w:kern w:val="2"/>
                      <w:sz w:val="21"/>
                      <w:szCs w:val="21"/>
                    </w:rPr>
                    <w:t>2.50</w:t>
                  </w:r>
                </w:p>
              </w:tc>
              <w:tc>
                <w:tcPr>
                  <w:tcW w:w="1733" w:type="dxa"/>
                  <w:vAlign w:val="center"/>
                </w:tcPr>
                <w:p>
                  <w:pPr>
                    <w:autoSpaceDE w:val="0"/>
                    <w:autoSpaceDN w:val="0"/>
                    <w:adjustRightInd w:val="0"/>
                    <w:snapToGrid w:val="0"/>
                    <w:jc w:val="center"/>
                    <w:rPr>
                      <w:rFonts w:ascii="Times New Roman" w:hAnsi="Times New Roman"/>
                      <w:kern w:val="2"/>
                      <w:sz w:val="21"/>
                      <w:szCs w:val="21"/>
                    </w:rPr>
                  </w:pPr>
                  <w:r>
                    <w:rPr>
                      <w:rFonts w:ascii="Times New Roman" w:hAnsi="Times New Roman"/>
                      <w:kern w:val="2"/>
                      <w:sz w:val="21"/>
                      <w:szCs w:val="21"/>
                    </w:rPr>
                    <w:t>0.</w:t>
                  </w:r>
                  <w:r>
                    <w:rPr>
                      <w:rFonts w:hint="eastAsia" w:ascii="Times New Roman" w:hAnsi="Times New Roman"/>
                      <w:kern w:val="2"/>
                      <w:sz w:val="21"/>
                      <w:szCs w:val="21"/>
                    </w:rPr>
                    <w:t>05</w:t>
                  </w:r>
                </w:p>
              </w:tc>
              <w:tc>
                <w:tcPr>
                  <w:tcW w:w="1890" w:type="dxa"/>
                  <w:vAlign w:val="center"/>
                </w:tcPr>
                <w:p>
                  <w:pPr>
                    <w:autoSpaceDE w:val="0"/>
                    <w:autoSpaceDN w:val="0"/>
                    <w:adjustRightInd w:val="0"/>
                    <w:snapToGrid w:val="0"/>
                    <w:jc w:val="center"/>
                    <w:rPr>
                      <w:rFonts w:ascii="Times New Roman" w:hAnsi="Times New Roman"/>
                      <w:kern w:val="2"/>
                      <w:sz w:val="21"/>
                      <w:szCs w:val="21"/>
                    </w:rPr>
                  </w:pPr>
                  <w:r>
                    <w:rPr>
                      <w:rFonts w:hint="eastAsia" w:ascii="Times New Roman" w:hAnsi="Times New Roman"/>
                      <w:kern w:val="2"/>
                      <w:sz w:val="21"/>
                      <w:szCs w:val="21"/>
                    </w:rPr>
                    <w:t>0.09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9459" w:type="dxa"/>
                  <w:gridSpan w:val="6"/>
                  <w:vAlign w:val="center"/>
                </w:tcPr>
                <w:p>
                  <w:pPr>
                    <w:widowControl/>
                    <w:adjustRightInd w:val="0"/>
                    <w:snapToGrid w:val="0"/>
                    <w:jc w:val="center"/>
                    <w:rPr>
                      <w:rFonts w:ascii="Times New Roman" w:hAnsi="Times New Roman"/>
                      <w:kern w:val="0"/>
                      <w:sz w:val="21"/>
                      <w:szCs w:val="21"/>
                    </w:rPr>
                  </w:pPr>
                  <w:r>
                    <w:rPr>
                      <w:rFonts w:ascii="Times New Roman" w:hAnsi="Times New Roman"/>
                      <w:kern w:val="0"/>
                      <w:sz w:val="21"/>
                      <w:szCs w:val="21"/>
                    </w:rPr>
                    <w:t>有组织排放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2423" w:type="dxa"/>
                  <w:gridSpan w:val="2"/>
                  <w:vAlign w:val="center"/>
                </w:tcPr>
                <w:p>
                  <w:pPr>
                    <w:widowControl/>
                    <w:adjustRightInd w:val="0"/>
                    <w:snapToGrid w:val="0"/>
                    <w:jc w:val="center"/>
                    <w:rPr>
                      <w:rFonts w:ascii="Times New Roman" w:hAnsi="Times New Roman"/>
                      <w:kern w:val="0"/>
                      <w:sz w:val="21"/>
                      <w:szCs w:val="21"/>
                    </w:rPr>
                  </w:pPr>
                  <w:r>
                    <w:rPr>
                      <w:rFonts w:ascii="Times New Roman" w:hAnsi="Times New Roman"/>
                      <w:kern w:val="0"/>
                      <w:sz w:val="21"/>
                      <w:szCs w:val="21"/>
                    </w:rPr>
                    <w:t>有组织排放总计</w:t>
                  </w:r>
                </w:p>
              </w:tc>
              <w:tc>
                <w:tcPr>
                  <w:tcW w:w="5146" w:type="dxa"/>
                  <w:gridSpan w:val="3"/>
                  <w:vAlign w:val="center"/>
                </w:tcPr>
                <w:p>
                  <w:pPr>
                    <w:widowControl/>
                    <w:adjustRightInd w:val="0"/>
                    <w:snapToGrid w:val="0"/>
                    <w:jc w:val="center"/>
                    <w:rPr>
                      <w:rFonts w:ascii="Times New Roman" w:hAnsi="Times New Roman"/>
                      <w:kern w:val="0"/>
                      <w:sz w:val="21"/>
                      <w:szCs w:val="21"/>
                    </w:rPr>
                  </w:pPr>
                  <w:r>
                    <w:rPr>
                      <w:rFonts w:ascii="Times New Roman" w:hAnsi="Times New Roman"/>
                      <w:kern w:val="0"/>
                      <w:sz w:val="21"/>
                      <w:szCs w:val="21"/>
                    </w:rPr>
                    <w:t>VOCs</w:t>
                  </w:r>
                </w:p>
              </w:tc>
              <w:tc>
                <w:tcPr>
                  <w:tcW w:w="1890" w:type="dxa"/>
                  <w:vAlign w:val="center"/>
                </w:tcPr>
                <w:p>
                  <w:pPr>
                    <w:widowControl/>
                    <w:adjustRightInd w:val="0"/>
                    <w:snapToGrid w:val="0"/>
                    <w:jc w:val="center"/>
                    <w:rPr>
                      <w:rFonts w:ascii="Times New Roman" w:hAnsi="Times New Roman"/>
                      <w:kern w:val="0"/>
                      <w:sz w:val="21"/>
                      <w:szCs w:val="21"/>
                    </w:rPr>
                  </w:pPr>
                  <w:r>
                    <w:rPr>
                      <w:rFonts w:hint="eastAsia" w:ascii="Times New Roman" w:hAnsi="Times New Roman"/>
                      <w:kern w:val="0"/>
                      <w:sz w:val="21"/>
                      <w:szCs w:val="21"/>
                    </w:rPr>
                    <w:t>0.09</w:t>
                  </w:r>
                </w:p>
              </w:tc>
            </w:tr>
          </w:tbl>
          <w:p>
            <w:pPr>
              <w:tabs>
                <w:tab w:val="left" w:pos="1372"/>
                <w:tab w:val="center" w:pos="4394"/>
              </w:tabs>
              <w:snapToGrid w:val="0"/>
              <w:jc w:val="center"/>
              <w:rPr>
                <w:rFonts w:ascii="Times New Roman" w:hAnsi="Times New Roman" w:eastAsia="黑体"/>
                <w:szCs w:val="24"/>
              </w:rPr>
            </w:pPr>
          </w:p>
          <w:p>
            <w:pPr>
              <w:tabs>
                <w:tab w:val="left" w:pos="1372"/>
                <w:tab w:val="center" w:pos="4394"/>
              </w:tabs>
              <w:snapToGrid w:val="0"/>
              <w:jc w:val="center"/>
              <w:rPr>
                <w:rFonts w:ascii="Times New Roman" w:hAnsi="Times New Roman" w:eastAsia="黑体"/>
                <w:szCs w:val="24"/>
              </w:rPr>
            </w:pPr>
            <w:r>
              <w:rPr>
                <w:rFonts w:ascii="Times New Roman" w:hAnsi="Times New Roman" w:eastAsia="黑体"/>
                <w:szCs w:val="24"/>
              </w:rPr>
              <w:t>表</w:t>
            </w:r>
            <w:r>
              <w:rPr>
                <w:rFonts w:hint="eastAsia" w:ascii="Times New Roman" w:hAnsi="Times New Roman" w:eastAsia="黑体"/>
                <w:szCs w:val="24"/>
              </w:rPr>
              <w:t>26</w:t>
            </w:r>
            <w:r>
              <w:rPr>
                <w:rFonts w:ascii="Times New Roman" w:hAnsi="Times New Roman" w:eastAsia="黑体"/>
                <w:szCs w:val="24"/>
              </w:rPr>
              <w:t xml:space="preserve"> 大气污染物无组织排放量核算表</w:t>
            </w:r>
          </w:p>
          <w:tbl>
            <w:tblPr>
              <w:tblStyle w:val="30"/>
              <w:tblW w:w="946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6"/>
              <w:gridCol w:w="709"/>
              <w:gridCol w:w="850"/>
              <w:gridCol w:w="992"/>
              <w:gridCol w:w="3828"/>
              <w:gridCol w:w="1275"/>
              <w:gridCol w:w="11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696" w:type="dxa"/>
                  <w:vMerge w:val="restart"/>
                  <w:vAlign w:val="center"/>
                </w:tcPr>
                <w:p>
                  <w:pPr>
                    <w:widowControl/>
                    <w:adjustRightInd w:val="0"/>
                    <w:snapToGrid w:val="0"/>
                    <w:jc w:val="center"/>
                    <w:rPr>
                      <w:rFonts w:ascii="Times New Roman" w:hAnsi="Times New Roman"/>
                      <w:kern w:val="0"/>
                      <w:sz w:val="21"/>
                      <w:szCs w:val="21"/>
                    </w:rPr>
                  </w:pPr>
                  <w:r>
                    <w:rPr>
                      <w:rFonts w:ascii="Times New Roman" w:hAnsi="Times New Roman"/>
                      <w:kern w:val="0"/>
                      <w:sz w:val="21"/>
                      <w:szCs w:val="21"/>
                    </w:rPr>
                    <w:t>排放口</w:t>
                  </w:r>
                </w:p>
              </w:tc>
              <w:tc>
                <w:tcPr>
                  <w:tcW w:w="709" w:type="dxa"/>
                  <w:vMerge w:val="restart"/>
                  <w:vAlign w:val="center"/>
                </w:tcPr>
                <w:p>
                  <w:pPr>
                    <w:widowControl/>
                    <w:adjustRightInd w:val="0"/>
                    <w:snapToGrid w:val="0"/>
                    <w:jc w:val="center"/>
                    <w:rPr>
                      <w:rFonts w:ascii="Times New Roman" w:hAnsi="Times New Roman"/>
                      <w:kern w:val="0"/>
                      <w:sz w:val="21"/>
                      <w:szCs w:val="21"/>
                    </w:rPr>
                  </w:pPr>
                  <w:r>
                    <w:rPr>
                      <w:rFonts w:ascii="Times New Roman" w:hAnsi="Times New Roman"/>
                      <w:kern w:val="0"/>
                      <w:sz w:val="21"/>
                      <w:szCs w:val="21"/>
                    </w:rPr>
                    <w:t>产污</w:t>
                  </w:r>
                </w:p>
                <w:p>
                  <w:pPr>
                    <w:widowControl/>
                    <w:adjustRightInd w:val="0"/>
                    <w:snapToGrid w:val="0"/>
                    <w:jc w:val="center"/>
                    <w:rPr>
                      <w:rFonts w:ascii="Times New Roman" w:hAnsi="Times New Roman"/>
                      <w:kern w:val="0"/>
                      <w:sz w:val="21"/>
                      <w:szCs w:val="21"/>
                    </w:rPr>
                  </w:pPr>
                  <w:r>
                    <w:rPr>
                      <w:rFonts w:ascii="Times New Roman" w:hAnsi="Times New Roman"/>
                      <w:kern w:val="0"/>
                      <w:sz w:val="21"/>
                      <w:szCs w:val="21"/>
                    </w:rPr>
                    <w:t>环节</w:t>
                  </w:r>
                </w:p>
              </w:tc>
              <w:tc>
                <w:tcPr>
                  <w:tcW w:w="850" w:type="dxa"/>
                  <w:vMerge w:val="restart"/>
                  <w:vAlign w:val="center"/>
                </w:tcPr>
                <w:p>
                  <w:pPr>
                    <w:widowControl/>
                    <w:adjustRightInd w:val="0"/>
                    <w:snapToGrid w:val="0"/>
                    <w:jc w:val="center"/>
                    <w:rPr>
                      <w:rFonts w:ascii="Times New Roman" w:hAnsi="Times New Roman"/>
                      <w:kern w:val="0"/>
                      <w:sz w:val="21"/>
                      <w:szCs w:val="21"/>
                    </w:rPr>
                  </w:pPr>
                  <w:r>
                    <w:rPr>
                      <w:rFonts w:ascii="Times New Roman" w:hAnsi="Times New Roman"/>
                      <w:kern w:val="0"/>
                      <w:sz w:val="21"/>
                      <w:szCs w:val="21"/>
                    </w:rPr>
                    <w:t>污染物</w:t>
                  </w:r>
                </w:p>
              </w:tc>
              <w:tc>
                <w:tcPr>
                  <w:tcW w:w="992" w:type="dxa"/>
                  <w:vMerge w:val="restart"/>
                  <w:vAlign w:val="center"/>
                </w:tcPr>
                <w:p>
                  <w:pPr>
                    <w:widowControl/>
                    <w:adjustRightInd w:val="0"/>
                    <w:snapToGrid w:val="0"/>
                    <w:jc w:val="center"/>
                    <w:rPr>
                      <w:rFonts w:ascii="Times New Roman" w:hAnsi="Times New Roman"/>
                      <w:kern w:val="0"/>
                      <w:sz w:val="21"/>
                      <w:szCs w:val="21"/>
                    </w:rPr>
                  </w:pPr>
                  <w:r>
                    <w:rPr>
                      <w:rFonts w:ascii="Times New Roman" w:hAnsi="Times New Roman"/>
                      <w:kern w:val="0"/>
                      <w:sz w:val="21"/>
                      <w:szCs w:val="21"/>
                    </w:rPr>
                    <w:t>主要污染防治措施</w:t>
                  </w:r>
                </w:p>
              </w:tc>
              <w:tc>
                <w:tcPr>
                  <w:tcW w:w="5103" w:type="dxa"/>
                  <w:gridSpan w:val="2"/>
                  <w:vAlign w:val="center"/>
                </w:tcPr>
                <w:p>
                  <w:pPr>
                    <w:widowControl/>
                    <w:adjustRightInd w:val="0"/>
                    <w:snapToGrid w:val="0"/>
                    <w:jc w:val="center"/>
                    <w:rPr>
                      <w:rFonts w:ascii="Times New Roman" w:hAnsi="Times New Roman"/>
                      <w:kern w:val="0"/>
                      <w:sz w:val="21"/>
                      <w:szCs w:val="21"/>
                    </w:rPr>
                  </w:pPr>
                  <w:r>
                    <w:rPr>
                      <w:rFonts w:ascii="Times New Roman" w:hAnsi="Times New Roman"/>
                      <w:kern w:val="0"/>
                      <w:sz w:val="21"/>
                      <w:szCs w:val="21"/>
                    </w:rPr>
                    <w:t>国家或地方排放标准</w:t>
                  </w:r>
                </w:p>
              </w:tc>
              <w:tc>
                <w:tcPr>
                  <w:tcW w:w="1111" w:type="dxa"/>
                  <w:vMerge w:val="restart"/>
                  <w:vAlign w:val="center"/>
                </w:tcPr>
                <w:p>
                  <w:pPr>
                    <w:widowControl/>
                    <w:adjustRightInd w:val="0"/>
                    <w:snapToGrid w:val="0"/>
                    <w:jc w:val="center"/>
                    <w:rPr>
                      <w:rFonts w:ascii="Times New Roman" w:hAnsi="Times New Roman"/>
                      <w:kern w:val="0"/>
                      <w:sz w:val="21"/>
                      <w:szCs w:val="21"/>
                    </w:rPr>
                  </w:pPr>
                  <w:r>
                    <w:rPr>
                      <w:rFonts w:ascii="Times New Roman" w:hAnsi="Times New Roman"/>
                      <w:kern w:val="0"/>
                      <w:sz w:val="21"/>
                      <w:szCs w:val="21"/>
                    </w:rPr>
                    <w:t>年排放量（t/a）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696" w:type="dxa"/>
                  <w:vMerge w:val="continue"/>
                  <w:vAlign w:val="center"/>
                </w:tcPr>
                <w:p>
                  <w:pPr>
                    <w:widowControl/>
                    <w:adjustRightInd w:val="0"/>
                    <w:snapToGrid w:val="0"/>
                    <w:jc w:val="center"/>
                    <w:rPr>
                      <w:rFonts w:ascii="Times New Roman" w:hAnsi="Times New Roman"/>
                      <w:kern w:val="0"/>
                      <w:sz w:val="21"/>
                      <w:szCs w:val="21"/>
                    </w:rPr>
                  </w:pPr>
                </w:p>
              </w:tc>
              <w:tc>
                <w:tcPr>
                  <w:tcW w:w="709" w:type="dxa"/>
                  <w:vMerge w:val="continue"/>
                  <w:vAlign w:val="center"/>
                </w:tcPr>
                <w:p>
                  <w:pPr>
                    <w:widowControl/>
                    <w:adjustRightInd w:val="0"/>
                    <w:snapToGrid w:val="0"/>
                    <w:jc w:val="center"/>
                    <w:rPr>
                      <w:rFonts w:ascii="Times New Roman" w:hAnsi="Times New Roman"/>
                      <w:kern w:val="0"/>
                      <w:sz w:val="21"/>
                      <w:szCs w:val="21"/>
                    </w:rPr>
                  </w:pPr>
                </w:p>
              </w:tc>
              <w:tc>
                <w:tcPr>
                  <w:tcW w:w="850" w:type="dxa"/>
                  <w:vMerge w:val="continue"/>
                  <w:vAlign w:val="center"/>
                </w:tcPr>
                <w:p>
                  <w:pPr>
                    <w:widowControl/>
                    <w:adjustRightInd w:val="0"/>
                    <w:snapToGrid w:val="0"/>
                    <w:jc w:val="center"/>
                    <w:rPr>
                      <w:rFonts w:ascii="Times New Roman" w:hAnsi="Times New Roman"/>
                      <w:kern w:val="0"/>
                      <w:sz w:val="21"/>
                      <w:szCs w:val="21"/>
                    </w:rPr>
                  </w:pPr>
                </w:p>
              </w:tc>
              <w:tc>
                <w:tcPr>
                  <w:tcW w:w="992" w:type="dxa"/>
                  <w:vMerge w:val="continue"/>
                  <w:vAlign w:val="center"/>
                </w:tcPr>
                <w:p>
                  <w:pPr>
                    <w:widowControl/>
                    <w:adjustRightInd w:val="0"/>
                    <w:snapToGrid w:val="0"/>
                    <w:jc w:val="center"/>
                    <w:rPr>
                      <w:rFonts w:ascii="Times New Roman" w:hAnsi="Times New Roman"/>
                      <w:kern w:val="0"/>
                      <w:sz w:val="21"/>
                      <w:szCs w:val="21"/>
                    </w:rPr>
                  </w:pPr>
                </w:p>
              </w:tc>
              <w:tc>
                <w:tcPr>
                  <w:tcW w:w="3828" w:type="dxa"/>
                  <w:vAlign w:val="center"/>
                </w:tcPr>
                <w:p>
                  <w:pPr>
                    <w:widowControl/>
                    <w:adjustRightInd w:val="0"/>
                    <w:snapToGrid w:val="0"/>
                    <w:jc w:val="center"/>
                    <w:rPr>
                      <w:rFonts w:ascii="Times New Roman" w:hAnsi="Times New Roman"/>
                      <w:kern w:val="0"/>
                      <w:sz w:val="21"/>
                      <w:szCs w:val="21"/>
                    </w:rPr>
                  </w:pPr>
                  <w:r>
                    <w:rPr>
                      <w:rFonts w:ascii="Times New Roman" w:hAnsi="Times New Roman"/>
                      <w:kern w:val="0"/>
                      <w:sz w:val="21"/>
                      <w:szCs w:val="21"/>
                    </w:rPr>
                    <w:t>标准名称</w:t>
                  </w:r>
                </w:p>
              </w:tc>
              <w:tc>
                <w:tcPr>
                  <w:tcW w:w="1275" w:type="dxa"/>
                  <w:vAlign w:val="center"/>
                </w:tcPr>
                <w:p>
                  <w:pPr>
                    <w:widowControl/>
                    <w:adjustRightInd w:val="0"/>
                    <w:snapToGrid w:val="0"/>
                    <w:jc w:val="center"/>
                    <w:rPr>
                      <w:rFonts w:ascii="Times New Roman" w:hAnsi="Times New Roman"/>
                      <w:kern w:val="0"/>
                      <w:sz w:val="21"/>
                      <w:szCs w:val="21"/>
                    </w:rPr>
                  </w:pPr>
                  <w:r>
                    <w:rPr>
                      <w:rFonts w:ascii="Times New Roman" w:hAnsi="Times New Roman"/>
                      <w:kern w:val="0"/>
                      <w:sz w:val="21"/>
                      <w:szCs w:val="21"/>
                    </w:rPr>
                    <w:t>排放限值（mg/m</w:t>
                  </w:r>
                  <w:r>
                    <w:rPr>
                      <w:rFonts w:ascii="Times New Roman" w:hAnsi="Times New Roman"/>
                      <w:kern w:val="0"/>
                      <w:sz w:val="21"/>
                      <w:szCs w:val="21"/>
                      <w:vertAlign w:val="superscript"/>
                    </w:rPr>
                    <w:t>3</w:t>
                  </w:r>
                  <w:r>
                    <w:rPr>
                      <w:rFonts w:ascii="Times New Roman" w:hAnsi="Times New Roman"/>
                      <w:kern w:val="0"/>
                      <w:sz w:val="21"/>
                      <w:szCs w:val="21"/>
                    </w:rPr>
                    <w:t>）</w:t>
                  </w:r>
                </w:p>
              </w:tc>
              <w:tc>
                <w:tcPr>
                  <w:tcW w:w="1111" w:type="dxa"/>
                  <w:vMerge w:val="continue"/>
                  <w:vAlign w:val="center"/>
                </w:tcPr>
                <w:p>
                  <w:pPr>
                    <w:widowControl/>
                    <w:adjustRightInd w:val="0"/>
                    <w:snapToGrid w:val="0"/>
                    <w:jc w:val="center"/>
                    <w:rPr>
                      <w:rFonts w:ascii="Times New Roman" w:hAnsi="Times New Roman"/>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2" w:hRule="atLeast"/>
                <w:jc w:val="center"/>
              </w:trPr>
              <w:tc>
                <w:tcPr>
                  <w:tcW w:w="696" w:type="dxa"/>
                  <w:vAlign w:val="center"/>
                </w:tcPr>
                <w:p>
                  <w:pPr>
                    <w:widowControl/>
                    <w:adjustRightInd w:val="0"/>
                    <w:snapToGrid w:val="0"/>
                    <w:jc w:val="center"/>
                    <w:rPr>
                      <w:rFonts w:ascii="Times New Roman" w:hAnsi="Times New Roman"/>
                      <w:kern w:val="0"/>
                      <w:sz w:val="21"/>
                      <w:szCs w:val="21"/>
                    </w:rPr>
                  </w:pPr>
                  <w:r>
                    <w:rPr>
                      <w:rFonts w:hint="eastAsia" w:ascii="Times New Roman" w:hAnsi="Times New Roman"/>
                      <w:kern w:val="0"/>
                      <w:sz w:val="21"/>
                      <w:szCs w:val="21"/>
                    </w:rPr>
                    <w:t>生产车间</w:t>
                  </w:r>
                </w:p>
              </w:tc>
              <w:tc>
                <w:tcPr>
                  <w:tcW w:w="709" w:type="dxa"/>
                  <w:vAlign w:val="center"/>
                </w:tcPr>
                <w:p>
                  <w:pPr>
                    <w:widowControl/>
                    <w:adjustRightInd w:val="0"/>
                    <w:snapToGrid w:val="0"/>
                    <w:jc w:val="center"/>
                    <w:rPr>
                      <w:rFonts w:ascii="Times New Roman" w:hAnsi="Times New Roman"/>
                      <w:kern w:val="0"/>
                      <w:sz w:val="21"/>
                      <w:szCs w:val="21"/>
                    </w:rPr>
                  </w:pPr>
                  <w:r>
                    <w:rPr>
                      <w:rFonts w:hint="eastAsia" w:ascii="Times New Roman" w:hAnsi="Times New Roman"/>
                      <w:kern w:val="0"/>
                      <w:sz w:val="21"/>
                      <w:szCs w:val="21"/>
                    </w:rPr>
                    <w:t>印刷</w:t>
                  </w:r>
                </w:p>
              </w:tc>
              <w:tc>
                <w:tcPr>
                  <w:tcW w:w="850" w:type="dxa"/>
                  <w:vAlign w:val="center"/>
                </w:tcPr>
                <w:p>
                  <w:pPr>
                    <w:widowControl/>
                    <w:adjustRightInd w:val="0"/>
                    <w:snapToGrid w:val="0"/>
                    <w:jc w:val="center"/>
                    <w:rPr>
                      <w:rFonts w:ascii="Times New Roman" w:hAnsi="Times New Roman"/>
                      <w:kern w:val="0"/>
                      <w:sz w:val="21"/>
                      <w:szCs w:val="21"/>
                    </w:rPr>
                  </w:pPr>
                  <w:r>
                    <w:rPr>
                      <w:rFonts w:ascii="Times New Roman" w:hAnsi="Times New Roman"/>
                      <w:kern w:val="0"/>
                      <w:sz w:val="21"/>
                      <w:szCs w:val="21"/>
                    </w:rPr>
                    <w:t>VOCs</w:t>
                  </w:r>
                </w:p>
              </w:tc>
              <w:tc>
                <w:tcPr>
                  <w:tcW w:w="992" w:type="dxa"/>
                  <w:vAlign w:val="center"/>
                </w:tcPr>
                <w:p>
                  <w:pPr>
                    <w:widowControl/>
                    <w:adjustRightInd w:val="0"/>
                    <w:snapToGrid w:val="0"/>
                    <w:jc w:val="center"/>
                    <w:rPr>
                      <w:rFonts w:ascii="Times New Roman" w:hAnsi="Times New Roman"/>
                      <w:kern w:val="0"/>
                      <w:sz w:val="21"/>
                      <w:szCs w:val="21"/>
                    </w:rPr>
                  </w:pPr>
                  <w:r>
                    <w:rPr>
                      <w:rFonts w:ascii="Times New Roman" w:hAnsi="Times New Roman"/>
                      <w:kern w:val="0"/>
                      <w:sz w:val="21"/>
                      <w:szCs w:val="21"/>
                    </w:rPr>
                    <w:t>加强管理</w:t>
                  </w:r>
                </w:p>
              </w:tc>
              <w:tc>
                <w:tcPr>
                  <w:tcW w:w="3828" w:type="dxa"/>
                  <w:vAlign w:val="center"/>
                </w:tcPr>
                <w:p>
                  <w:pPr>
                    <w:widowControl/>
                    <w:adjustRightInd w:val="0"/>
                    <w:snapToGrid w:val="0"/>
                    <w:jc w:val="center"/>
                    <w:rPr>
                      <w:rFonts w:ascii="Times New Roman" w:hAnsi="Times New Roman"/>
                      <w:kern w:val="0"/>
                      <w:sz w:val="21"/>
                      <w:szCs w:val="21"/>
                    </w:rPr>
                  </w:pPr>
                  <w:r>
                    <w:rPr>
                      <w:rFonts w:hint="eastAsia" w:ascii="Times New Roman" w:hAnsi="Times New Roman"/>
                      <w:kern w:val="0"/>
                      <w:sz w:val="21"/>
                      <w:szCs w:val="21"/>
                    </w:rPr>
                    <w:t>《挥发性有机物排放标准第</w:t>
                  </w:r>
                  <w:r>
                    <w:rPr>
                      <w:rFonts w:ascii="Times New Roman" w:hAnsi="Times New Roman"/>
                      <w:kern w:val="0"/>
                      <w:sz w:val="21"/>
                      <w:szCs w:val="21"/>
                    </w:rPr>
                    <w:t xml:space="preserve">4部分：印刷业》(DB37/2801.4-2017)表3标准要求 </w:t>
                  </w:r>
                </w:p>
              </w:tc>
              <w:tc>
                <w:tcPr>
                  <w:tcW w:w="1275" w:type="dxa"/>
                  <w:vAlign w:val="center"/>
                </w:tcPr>
                <w:p>
                  <w:pPr>
                    <w:widowControl/>
                    <w:adjustRightInd w:val="0"/>
                    <w:snapToGrid w:val="0"/>
                    <w:jc w:val="center"/>
                    <w:rPr>
                      <w:rFonts w:ascii="Times New Roman" w:hAnsi="Times New Roman"/>
                      <w:kern w:val="0"/>
                      <w:sz w:val="21"/>
                      <w:szCs w:val="21"/>
                    </w:rPr>
                  </w:pPr>
                  <w:r>
                    <w:rPr>
                      <w:rFonts w:ascii="Times New Roman" w:hAnsi="Times New Roman"/>
                      <w:kern w:val="0"/>
                      <w:sz w:val="21"/>
                      <w:szCs w:val="21"/>
                    </w:rPr>
                    <w:t>2.0</w:t>
                  </w:r>
                </w:p>
              </w:tc>
              <w:tc>
                <w:tcPr>
                  <w:tcW w:w="1111" w:type="dxa"/>
                  <w:vAlign w:val="center"/>
                </w:tcPr>
                <w:p>
                  <w:pPr>
                    <w:widowControl/>
                    <w:adjustRightInd w:val="0"/>
                    <w:snapToGrid w:val="0"/>
                    <w:jc w:val="center"/>
                    <w:rPr>
                      <w:rFonts w:ascii="Times New Roman" w:hAnsi="Times New Roman"/>
                      <w:kern w:val="0"/>
                      <w:sz w:val="21"/>
                      <w:szCs w:val="21"/>
                    </w:rPr>
                  </w:pPr>
                  <w:r>
                    <w:rPr>
                      <w:rFonts w:hint="eastAsia" w:ascii="Times New Roman" w:hAnsi="Times New Roman"/>
                      <w:kern w:val="0"/>
                      <w:sz w:val="21"/>
                      <w:szCs w:val="21"/>
                    </w:rPr>
                    <w:t>0</w:t>
                  </w:r>
                  <w:r>
                    <w:rPr>
                      <w:rFonts w:ascii="Times New Roman" w:hAnsi="Times New Roman"/>
                      <w:kern w:val="0"/>
                      <w:sz w:val="21"/>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9461" w:type="dxa"/>
                  <w:gridSpan w:val="7"/>
                  <w:vAlign w:val="center"/>
                </w:tcPr>
                <w:p>
                  <w:pPr>
                    <w:widowControl/>
                    <w:adjustRightInd w:val="0"/>
                    <w:snapToGrid w:val="0"/>
                    <w:jc w:val="center"/>
                    <w:rPr>
                      <w:rFonts w:ascii="Times New Roman" w:hAnsi="Times New Roman"/>
                      <w:kern w:val="0"/>
                      <w:sz w:val="21"/>
                      <w:szCs w:val="21"/>
                    </w:rPr>
                  </w:pPr>
                  <w:r>
                    <w:rPr>
                      <w:rFonts w:ascii="Times New Roman" w:hAnsi="Times New Roman"/>
                      <w:kern w:val="0"/>
                      <w:sz w:val="21"/>
                      <w:szCs w:val="21"/>
                    </w:rPr>
                    <w:t>无组织排放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2255" w:type="dxa"/>
                  <w:gridSpan w:val="3"/>
                  <w:vAlign w:val="center"/>
                </w:tcPr>
                <w:p>
                  <w:pPr>
                    <w:widowControl/>
                    <w:adjustRightInd w:val="0"/>
                    <w:snapToGrid w:val="0"/>
                    <w:jc w:val="center"/>
                    <w:rPr>
                      <w:rFonts w:ascii="Times New Roman" w:hAnsi="Times New Roman"/>
                      <w:kern w:val="0"/>
                      <w:sz w:val="21"/>
                      <w:szCs w:val="21"/>
                    </w:rPr>
                  </w:pPr>
                  <w:r>
                    <w:rPr>
                      <w:rFonts w:ascii="Times New Roman" w:hAnsi="Times New Roman"/>
                      <w:kern w:val="0"/>
                      <w:sz w:val="21"/>
                      <w:szCs w:val="21"/>
                    </w:rPr>
                    <w:t>无组织排放总计</w:t>
                  </w:r>
                </w:p>
              </w:tc>
              <w:tc>
                <w:tcPr>
                  <w:tcW w:w="6095" w:type="dxa"/>
                  <w:gridSpan w:val="3"/>
                  <w:vAlign w:val="center"/>
                </w:tcPr>
                <w:p>
                  <w:pPr>
                    <w:widowControl/>
                    <w:adjustRightInd w:val="0"/>
                    <w:snapToGrid w:val="0"/>
                    <w:jc w:val="center"/>
                    <w:rPr>
                      <w:rFonts w:ascii="Times New Roman" w:hAnsi="Times New Roman"/>
                      <w:kern w:val="0"/>
                      <w:sz w:val="21"/>
                      <w:szCs w:val="21"/>
                    </w:rPr>
                  </w:pPr>
                  <w:r>
                    <w:rPr>
                      <w:rFonts w:ascii="Times New Roman" w:hAnsi="Times New Roman"/>
                      <w:kern w:val="0"/>
                      <w:sz w:val="21"/>
                      <w:szCs w:val="21"/>
                    </w:rPr>
                    <w:t>VOCs</w:t>
                  </w:r>
                </w:p>
              </w:tc>
              <w:tc>
                <w:tcPr>
                  <w:tcW w:w="1111" w:type="dxa"/>
                  <w:vAlign w:val="center"/>
                </w:tcPr>
                <w:p>
                  <w:pPr>
                    <w:widowControl/>
                    <w:adjustRightInd w:val="0"/>
                    <w:snapToGrid w:val="0"/>
                    <w:jc w:val="center"/>
                    <w:rPr>
                      <w:rFonts w:ascii="Times New Roman" w:hAnsi="Times New Roman"/>
                      <w:kern w:val="0"/>
                      <w:sz w:val="21"/>
                      <w:szCs w:val="21"/>
                    </w:rPr>
                  </w:pPr>
                  <w:r>
                    <w:rPr>
                      <w:rFonts w:hint="eastAsia" w:ascii="Times New Roman" w:hAnsi="Times New Roman"/>
                      <w:kern w:val="0"/>
                      <w:sz w:val="21"/>
                      <w:szCs w:val="21"/>
                    </w:rPr>
                    <w:t>0</w:t>
                  </w:r>
                  <w:r>
                    <w:rPr>
                      <w:rFonts w:ascii="Times New Roman" w:hAnsi="Times New Roman"/>
                      <w:kern w:val="0"/>
                      <w:sz w:val="21"/>
                      <w:szCs w:val="21"/>
                    </w:rPr>
                    <w:t>.10</w:t>
                  </w:r>
                </w:p>
              </w:tc>
            </w:tr>
          </w:tbl>
          <w:p>
            <w:pPr>
              <w:tabs>
                <w:tab w:val="left" w:pos="1372"/>
                <w:tab w:val="center" w:pos="4394"/>
              </w:tabs>
              <w:snapToGrid w:val="0"/>
              <w:jc w:val="center"/>
              <w:rPr>
                <w:rFonts w:ascii="Times New Roman" w:hAnsi="Times New Roman" w:eastAsia="黑体"/>
                <w:szCs w:val="24"/>
              </w:rPr>
            </w:pPr>
            <w:r>
              <w:rPr>
                <w:rFonts w:ascii="Times New Roman" w:hAnsi="Times New Roman" w:eastAsia="黑体"/>
                <w:szCs w:val="24"/>
              </w:rPr>
              <w:t>表</w:t>
            </w:r>
            <w:r>
              <w:rPr>
                <w:rFonts w:hint="eastAsia" w:ascii="Times New Roman" w:hAnsi="Times New Roman" w:eastAsia="黑体"/>
                <w:szCs w:val="24"/>
              </w:rPr>
              <w:t>27</w:t>
            </w:r>
            <w:r>
              <w:rPr>
                <w:rFonts w:ascii="Times New Roman" w:hAnsi="Times New Roman" w:eastAsia="黑体"/>
                <w:szCs w:val="24"/>
              </w:rPr>
              <w:t xml:space="preserve"> 大气污染物年排放量核算表</w:t>
            </w:r>
          </w:p>
          <w:tbl>
            <w:tblPr>
              <w:tblStyle w:val="30"/>
              <w:tblW w:w="946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98"/>
              <w:gridCol w:w="2526"/>
              <w:gridCol w:w="50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1898" w:type="dxa"/>
                  <w:vAlign w:val="center"/>
                </w:tcPr>
                <w:p>
                  <w:pPr>
                    <w:widowControl/>
                    <w:adjustRightInd w:val="0"/>
                    <w:snapToGrid w:val="0"/>
                    <w:jc w:val="center"/>
                    <w:rPr>
                      <w:rFonts w:ascii="Times New Roman" w:hAnsi="Times New Roman"/>
                      <w:bCs/>
                      <w:kern w:val="0"/>
                      <w:sz w:val="21"/>
                      <w:szCs w:val="21"/>
                    </w:rPr>
                  </w:pPr>
                  <w:r>
                    <w:rPr>
                      <w:rFonts w:ascii="Times New Roman" w:hAnsi="Times New Roman"/>
                      <w:bCs/>
                      <w:kern w:val="0"/>
                      <w:sz w:val="21"/>
                      <w:szCs w:val="21"/>
                    </w:rPr>
                    <w:t>序号</w:t>
                  </w:r>
                </w:p>
              </w:tc>
              <w:tc>
                <w:tcPr>
                  <w:tcW w:w="2526" w:type="dxa"/>
                  <w:vAlign w:val="center"/>
                </w:tcPr>
                <w:p>
                  <w:pPr>
                    <w:widowControl/>
                    <w:adjustRightInd w:val="0"/>
                    <w:snapToGrid w:val="0"/>
                    <w:jc w:val="center"/>
                    <w:rPr>
                      <w:rFonts w:ascii="Times New Roman" w:hAnsi="Times New Roman"/>
                      <w:bCs/>
                      <w:kern w:val="0"/>
                      <w:sz w:val="21"/>
                      <w:szCs w:val="21"/>
                    </w:rPr>
                  </w:pPr>
                  <w:r>
                    <w:rPr>
                      <w:rFonts w:ascii="Times New Roman" w:hAnsi="Times New Roman"/>
                      <w:bCs/>
                      <w:kern w:val="0"/>
                      <w:sz w:val="21"/>
                      <w:szCs w:val="21"/>
                    </w:rPr>
                    <w:t>污染物</w:t>
                  </w:r>
                </w:p>
              </w:tc>
              <w:tc>
                <w:tcPr>
                  <w:tcW w:w="5037" w:type="dxa"/>
                  <w:vAlign w:val="center"/>
                </w:tcPr>
                <w:p>
                  <w:pPr>
                    <w:widowControl/>
                    <w:adjustRightInd w:val="0"/>
                    <w:snapToGrid w:val="0"/>
                    <w:jc w:val="center"/>
                    <w:rPr>
                      <w:rFonts w:ascii="Times New Roman" w:hAnsi="Times New Roman"/>
                      <w:bCs/>
                      <w:kern w:val="0"/>
                      <w:sz w:val="21"/>
                      <w:szCs w:val="21"/>
                    </w:rPr>
                  </w:pPr>
                  <w:r>
                    <w:rPr>
                      <w:rFonts w:ascii="Times New Roman" w:hAnsi="Times New Roman"/>
                      <w:bCs/>
                      <w:kern w:val="0"/>
                      <w:sz w:val="21"/>
                      <w:szCs w:val="21"/>
                    </w:rPr>
                    <w:t>年排放量（t</w:t>
                  </w:r>
                  <w:r>
                    <w:rPr>
                      <w:rFonts w:ascii="Times New Roman" w:hAnsi="Times New Roman"/>
                      <w:bCs/>
                      <w:kern w:val="2"/>
                      <w:sz w:val="21"/>
                      <w:szCs w:val="21"/>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1898" w:type="dxa"/>
                  <w:vAlign w:val="center"/>
                </w:tcPr>
                <w:p>
                  <w:pPr>
                    <w:widowControl/>
                    <w:adjustRightInd w:val="0"/>
                    <w:snapToGrid w:val="0"/>
                    <w:jc w:val="center"/>
                    <w:rPr>
                      <w:rFonts w:ascii="Times New Roman" w:hAnsi="Times New Roman"/>
                      <w:bCs/>
                      <w:kern w:val="0"/>
                      <w:sz w:val="21"/>
                      <w:szCs w:val="21"/>
                    </w:rPr>
                  </w:pPr>
                  <w:r>
                    <w:rPr>
                      <w:rFonts w:ascii="Times New Roman" w:hAnsi="Times New Roman"/>
                      <w:bCs/>
                      <w:kern w:val="0"/>
                      <w:sz w:val="21"/>
                      <w:szCs w:val="21"/>
                    </w:rPr>
                    <w:t>1</w:t>
                  </w:r>
                </w:p>
              </w:tc>
              <w:tc>
                <w:tcPr>
                  <w:tcW w:w="2526" w:type="dxa"/>
                  <w:vAlign w:val="center"/>
                </w:tcPr>
                <w:p>
                  <w:pPr>
                    <w:widowControl/>
                    <w:adjustRightInd w:val="0"/>
                    <w:snapToGrid w:val="0"/>
                    <w:jc w:val="center"/>
                    <w:rPr>
                      <w:rFonts w:ascii="Times New Roman" w:hAnsi="Times New Roman"/>
                      <w:bCs/>
                      <w:kern w:val="0"/>
                      <w:sz w:val="21"/>
                      <w:szCs w:val="21"/>
                    </w:rPr>
                  </w:pPr>
                  <w:r>
                    <w:rPr>
                      <w:rFonts w:ascii="Times New Roman" w:hAnsi="Times New Roman"/>
                      <w:bCs/>
                      <w:kern w:val="0"/>
                      <w:sz w:val="21"/>
                      <w:szCs w:val="21"/>
                    </w:rPr>
                    <w:t>VOCs</w:t>
                  </w:r>
                </w:p>
              </w:tc>
              <w:tc>
                <w:tcPr>
                  <w:tcW w:w="5037" w:type="dxa"/>
                  <w:vAlign w:val="center"/>
                </w:tcPr>
                <w:p>
                  <w:pPr>
                    <w:widowControl/>
                    <w:adjustRightInd w:val="0"/>
                    <w:snapToGrid w:val="0"/>
                    <w:jc w:val="center"/>
                    <w:rPr>
                      <w:rFonts w:ascii="Times New Roman" w:hAnsi="Times New Roman"/>
                      <w:bCs/>
                      <w:kern w:val="0"/>
                      <w:sz w:val="21"/>
                      <w:szCs w:val="21"/>
                    </w:rPr>
                  </w:pPr>
                  <w:r>
                    <w:rPr>
                      <w:rFonts w:hint="eastAsia" w:ascii="Times New Roman" w:hAnsi="Times New Roman"/>
                      <w:bCs/>
                      <w:kern w:val="0"/>
                      <w:sz w:val="21"/>
                      <w:szCs w:val="21"/>
                    </w:rPr>
                    <w:t>0.19</w:t>
                  </w:r>
                  <w:r>
                    <w:rPr>
                      <w:rFonts w:ascii="Times New Roman" w:hAnsi="Times New Roman"/>
                      <w:bCs/>
                      <w:kern w:val="0"/>
                      <w:sz w:val="21"/>
                      <w:szCs w:val="21"/>
                    </w:rPr>
                    <w:t>0</w:t>
                  </w:r>
                </w:p>
              </w:tc>
            </w:tr>
          </w:tbl>
          <w:p>
            <w:pPr>
              <w:adjustRightInd w:val="0"/>
              <w:snapToGrid w:val="0"/>
              <w:spacing w:line="460" w:lineRule="exact"/>
              <w:ind w:firstLine="482" w:firstLineChars="200"/>
              <w:rPr>
                <w:rFonts w:ascii="Times New Roman" w:hAnsi="Times New Roman"/>
                <w:b/>
                <w:bCs/>
                <w:kern w:val="2"/>
                <w:szCs w:val="24"/>
              </w:rPr>
            </w:pPr>
            <w:r>
              <w:rPr>
                <w:rFonts w:ascii="Times New Roman" w:hAnsi="Times New Roman"/>
                <w:b/>
                <w:bCs/>
                <w:kern w:val="2"/>
                <w:szCs w:val="24"/>
              </w:rPr>
              <w:t>（5）大气环境防护距离</w:t>
            </w:r>
          </w:p>
          <w:p>
            <w:pPr>
              <w:autoSpaceDE w:val="0"/>
              <w:autoSpaceDN w:val="0"/>
              <w:adjustRightInd w:val="0"/>
              <w:snapToGrid w:val="0"/>
              <w:spacing w:line="460" w:lineRule="exact"/>
              <w:ind w:firstLine="480" w:firstLineChars="200"/>
              <w:rPr>
                <w:rFonts w:ascii="Times New Roman" w:hAnsi="Times New Roman"/>
                <w:kern w:val="0"/>
                <w:szCs w:val="24"/>
              </w:rPr>
            </w:pPr>
            <w:r>
              <w:rPr>
                <w:rFonts w:ascii="Times New Roman" w:hAnsi="Times New Roman"/>
                <w:kern w:val="0"/>
                <w:szCs w:val="24"/>
              </w:rPr>
              <w:t>本项目评价等级为二级评价，</w:t>
            </w:r>
            <w:r>
              <w:rPr>
                <w:rFonts w:hint="eastAsia" w:ascii="Times New Roman" w:hAnsi="Times New Roman"/>
                <w:kern w:val="0"/>
                <w:szCs w:val="24"/>
              </w:rPr>
              <w:t>根据预测结果，各污染物最大落地浓度均不超过环境质量浓度限值，</w:t>
            </w:r>
            <w:r>
              <w:rPr>
                <w:rFonts w:ascii="Times New Roman" w:hAnsi="Times New Roman"/>
                <w:kern w:val="0"/>
                <w:szCs w:val="24"/>
              </w:rPr>
              <w:t>根据HJ2.2-2018《环境影响评价技术导则 大气环境》的要求，本项目不需要设置大气环境防护距离。</w:t>
            </w:r>
          </w:p>
          <w:p>
            <w:pPr>
              <w:autoSpaceDE w:val="0"/>
              <w:autoSpaceDN w:val="0"/>
              <w:adjustRightInd w:val="0"/>
              <w:snapToGrid w:val="0"/>
              <w:spacing w:beforeLines="50" w:line="360" w:lineRule="auto"/>
              <w:ind w:firstLine="482" w:firstLineChars="200"/>
              <w:rPr>
                <w:rFonts w:ascii="Times New Roman" w:hAnsi="Times New Roman"/>
                <w:b/>
                <w:bCs/>
                <w:kern w:val="0"/>
                <w:szCs w:val="24"/>
              </w:rPr>
            </w:pPr>
            <w:r>
              <w:rPr>
                <w:rFonts w:ascii="Times New Roman" w:hAnsi="Times New Roman" w:eastAsia="仿宋_GB2312"/>
                <w:b/>
                <w:bCs/>
                <w:kern w:val="0"/>
                <w:szCs w:val="24"/>
              </w:rPr>
              <w:t>（</w:t>
            </w:r>
            <w:r>
              <w:rPr>
                <w:rFonts w:hint="eastAsia" w:ascii="Times New Roman" w:hAnsi="Times New Roman" w:eastAsia="仿宋_GB2312"/>
                <w:b/>
                <w:bCs/>
                <w:kern w:val="0"/>
                <w:szCs w:val="24"/>
              </w:rPr>
              <w:t>6</w:t>
            </w:r>
            <w:r>
              <w:rPr>
                <w:rFonts w:ascii="Times New Roman" w:hAnsi="Times New Roman" w:eastAsia="仿宋_GB2312"/>
                <w:b/>
                <w:bCs/>
                <w:kern w:val="0"/>
                <w:szCs w:val="24"/>
              </w:rPr>
              <w:t>）</w:t>
            </w:r>
            <w:r>
              <w:rPr>
                <w:rFonts w:ascii="Times New Roman" w:hAnsi="Times New Roman"/>
                <w:b/>
                <w:bCs/>
                <w:kern w:val="0"/>
                <w:szCs w:val="24"/>
              </w:rPr>
              <w:t>大气环境影响评价自查表</w:t>
            </w:r>
          </w:p>
          <w:p>
            <w:pPr>
              <w:tabs>
                <w:tab w:val="left" w:pos="1372"/>
                <w:tab w:val="center" w:pos="4394"/>
              </w:tabs>
              <w:snapToGrid w:val="0"/>
              <w:jc w:val="center"/>
              <w:rPr>
                <w:rFonts w:ascii="Times New Roman" w:hAnsi="Times New Roman"/>
                <w:b/>
                <w:bCs/>
                <w:kern w:val="0"/>
                <w:szCs w:val="24"/>
              </w:rPr>
            </w:pPr>
            <w:r>
              <w:rPr>
                <w:rFonts w:ascii="Times New Roman" w:hAnsi="Times New Roman" w:eastAsia="黑体"/>
                <w:szCs w:val="24"/>
              </w:rPr>
              <w:t>表</w:t>
            </w:r>
            <w:r>
              <w:rPr>
                <w:rFonts w:hint="eastAsia" w:ascii="Times New Roman" w:hAnsi="Times New Roman" w:eastAsia="黑体"/>
                <w:szCs w:val="24"/>
              </w:rPr>
              <w:t>28</w:t>
            </w:r>
            <w:r>
              <w:rPr>
                <w:rFonts w:ascii="Times New Roman" w:hAnsi="Times New Roman" w:eastAsia="黑体"/>
                <w:szCs w:val="24"/>
              </w:rPr>
              <w:t xml:space="preserve"> 建设项目大气环境影响评价自查表</w:t>
            </w:r>
          </w:p>
          <w:tbl>
            <w:tblPr>
              <w:tblStyle w:val="30"/>
              <w:tblW w:w="946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3"/>
              <w:gridCol w:w="1818"/>
              <w:gridCol w:w="1410"/>
              <w:gridCol w:w="445"/>
              <w:gridCol w:w="626"/>
              <w:gridCol w:w="518"/>
              <w:gridCol w:w="528"/>
              <w:gridCol w:w="1328"/>
              <w:gridCol w:w="225"/>
              <w:gridCol w:w="51"/>
              <w:gridCol w:w="13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2971" w:type="dxa"/>
                  <w:gridSpan w:val="2"/>
                  <w:vAlign w:val="center"/>
                </w:tcPr>
                <w:p>
                  <w:pPr>
                    <w:snapToGrid w:val="0"/>
                    <w:jc w:val="center"/>
                    <w:rPr>
                      <w:rFonts w:ascii="Times New Roman" w:hAnsi="Times New Roman"/>
                      <w:kern w:val="2"/>
                      <w:sz w:val="21"/>
                      <w:szCs w:val="21"/>
                    </w:rPr>
                  </w:pPr>
                  <w:r>
                    <w:rPr>
                      <w:rFonts w:ascii="Times New Roman" w:hAnsi="Times New Roman"/>
                      <w:kern w:val="2"/>
                      <w:sz w:val="21"/>
                      <w:szCs w:val="21"/>
                    </w:rPr>
                    <w:t>工作内容</w:t>
                  </w:r>
                </w:p>
              </w:tc>
              <w:tc>
                <w:tcPr>
                  <w:tcW w:w="6490" w:type="dxa"/>
                  <w:gridSpan w:val="9"/>
                  <w:vAlign w:val="center"/>
                </w:tcPr>
                <w:p>
                  <w:pPr>
                    <w:snapToGrid w:val="0"/>
                    <w:jc w:val="center"/>
                    <w:rPr>
                      <w:rFonts w:ascii="Times New Roman" w:hAnsi="Times New Roman"/>
                      <w:kern w:val="2"/>
                      <w:sz w:val="21"/>
                      <w:szCs w:val="21"/>
                    </w:rPr>
                  </w:pPr>
                  <w:r>
                    <w:rPr>
                      <w:rFonts w:ascii="Times New Roman" w:hAnsi="Times New Roman"/>
                      <w:kern w:val="2"/>
                      <w:sz w:val="21"/>
                      <w:szCs w:val="21"/>
                    </w:rPr>
                    <w:t>自查项目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53" w:type="dxa"/>
                  <w:vMerge w:val="restart"/>
                  <w:vAlign w:val="center"/>
                </w:tcPr>
                <w:p>
                  <w:pPr>
                    <w:snapToGrid w:val="0"/>
                    <w:jc w:val="center"/>
                    <w:rPr>
                      <w:rFonts w:ascii="Times New Roman" w:hAnsi="Times New Roman"/>
                      <w:kern w:val="2"/>
                      <w:sz w:val="21"/>
                      <w:szCs w:val="21"/>
                    </w:rPr>
                  </w:pPr>
                  <w:r>
                    <w:rPr>
                      <w:rFonts w:ascii="Times New Roman" w:hAnsi="Times New Roman"/>
                      <w:kern w:val="2"/>
                      <w:sz w:val="21"/>
                      <w:szCs w:val="21"/>
                    </w:rPr>
                    <w:t>评价等级与范围</w:t>
                  </w:r>
                </w:p>
              </w:tc>
              <w:tc>
                <w:tcPr>
                  <w:tcW w:w="1818"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评价等级</w:t>
                  </w:r>
                </w:p>
              </w:tc>
              <w:tc>
                <w:tcPr>
                  <w:tcW w:w="1855" w:type="dxa"/>
                  <w:gridSpan w:val="2"/>
                  <w:vAlign w:val="center"/>
                </w:tcPr>
                <w:p>
                  <w:pPr>
                    <w:snapToGrid w:val="0"/>
                    <w:jc w:val="center"/>
                    <w:rPr>
                      <w:rFonts w:ascii="Times New Roman" w:hAnsi="Times New Roman"/>
                      <w:kern w:val="2"/>
                      <w:sz w:val="21"/>
                      <w:szCs w:val="21"/>
                    </w:rPr>
                  </w:pPr>
                  <w:r>
                    <w:rPr>
                      <w:rFonts w:ascii="Times New Roman" w:hAnsi="Times New Roman"/>
                      <w:kern w:val="2"/>
                      <w:sz w:val="21"/>
                      <w:szCs w:val="21"/>
                    </w:rPr>
                    <w:t>一级□</w:t>
                  </w:r>
                </w:p>
              </w:tc>
              <w:tc>
                <w:tcPr>
                  <w:tcW w:w="3000" w:type="dxa"/>
                  <w:gridSpan w:val="4"/>
                  <w:vAlign w:val="center"/>
                </w:tcPr>
                <w:p>
                  <w:pPr>
                    <w:snapToGrid w:val="0"/>
                    <w:jc w:val="center"/>
                    <w:rPr>
                      <w:rFonts w:ascii="Times New Roman" w:hAnsi="Times New Roman"/>
                      <w:kern w:val="2"/>
                      <w:sz w:val="21"/>
                      <w:szCs w:val="21"/>
                    </w:rPr>
                  </w:pPr>
                  <w:r>
                    <w:rPr>
                      <w:rFonts w:ascii="Times New Roman" w:hAnsi="Times New Roman"/>
                      <w:kern w:val="2"/>
                      <w:sz w:val="21"/>
                      <w:szCs w:val="21"/>
                    </w:rPr>
                    <w:t>二级</w:t>
                  </w:r>
                  <w:r>
                    <w:rPr>
                      <w:rFonts w:ascii="Times New Roman" w:hAnsi="Times New Roman"/>
                      <w:kern w:val="2"/>
                      <w:sz w:val="21"/>
                      <w:szCs w:val="21"/>
                    </w:rPr>
                    <w:sym w:font="Wingdings 2" w:char="0052"/>
                  </w:r>
                </w:p>
              </w:tc>
              <w:tc>
                <w:tcPr>
                  <w:tcW w:w="1635" w:type="dxa"/>
                  <w:gridSpan w:val="3"/>
                  <w:vAlign w:val="center"/>
                </w:tcPr>
                <w:p>
                  <w:pPr>
                    <w:snapToGrid w:val="0"/>
                    <w:jc w:val="center"/>
                    <w:rPr>
                      <w:rFonts w:ascii="Times New Roman" w:hAnsi="Times New Roman"/>
                      <w:kern w:val="2"/>
                      <w:sz w:val="21"/>
                      <w:szCs w:val="21"/>
                    </w:rPr>
                  </w:pPr>
                  <w:r>
                    <w:rPr>
                      <w:rFonts w:ascii="Times New Roman" w:hAnsi="Times New Roman"/>
                      <w:kern w:val="2"/>
                      <w:sz w:val="21"/>
                      <w:szCs w:val="21"/>
                    </w:rPr>
                    <w:t>三级</w:t>
                  </w:r>
                  <w:r>
                    <w:rPr>
                      <w:rFonts w:ascii="Times New Roman" w:hAnsi="Times New Roman"/>
                      <w:kern w:val="2"/>
                      <w:sz w:val="21"/>
                      <w:szCs w:val="21"/>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53" w:type="dxa"/>
                  <w:vMerge w:val="continue"/>
                  <w:vAlign w:val="center"/>
                </w:tcPr>
                <w:p>
                  <w:pPr>
                    <w:snapToGrid w:val="0"/>
                    <w:jc w:val="center"/>
                    <w:rPr>
                      <w:rFonts w:ascii="Times New Roman" w:hAnsi="Times New Roman"/>
                      <w:kern w:val="2"/>
                      <w:sz w:val="21"/>
                      <w:szCs w:val="21"/>
                    </w:rPr>
                  </w:pPr>
                </w:p>
              </w:tc>
              <w:tc>
                <w:tcPr>
                  <w:tcW w:w="1818"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评价范围</w:t>
                  </w:r>
                </w:p>
              </w:tc>
              <w:tc>
                <w:tcPr>
                  <w:tcW w:w="1855" w:type="dxa"/>
                  <w:gridSpan w:val="2"/>
                  <w:vAlign w:val="center"/>
                </w:tcPr>
                <w:p>
                  <w:pPr>
                    <w:snapToGrid w:val="0"/>
                    <w:jc w:val="center"/>
                    <w:rPr>
                      <w:rFonts w:ascii="Times New Roman" w:hAnsi="Times New Roman"/>
                      <w:kern w:val="2"/>
                      <w:sz w:val="21"/>
                      <w:szCs w:val="21"/>
                    </w:rPr>
                  </w:pPr>
                  <w:r>
                    <w:rPr>
                      <w:rFonts w:ascii="Times New Roman" w:hAnsi="Times New Roman"/>
                      <w:kern w:val="2"/>
                      <w:sz w:val="21"/>
                      <w:szCs w:val="21"/>
                    </w:rPr>
                    <w:t>边长=50km</w:t>
                  </w:r>
                </w:p>
              </w:tc>
              <w:tc>
                <w:tcPr>
                  <w:tcW w:w="3000" w:type="dxa"/>
                  <w:gridSpan w:val="4"/>
                  <w:vAlign w:val="center"/>
                </w:tcPr>
                <w:p>
                  <w:pPr>
                    <w:snapToGrid w:val="0"/>
                    <w:jc w:val="center"/>
                    <w:rPr>
                      <w:rFonts w:ascii="Times New Roman" w:hAnsi="Times New Roman"/>
                      <w:kern w:val="2"/>
                      <w:sz w:val="21"/>
                      <w:szCs w:val="21"/>
                    </w:rPr>
                  </w:pPr>
                  <w:r>
                    <w:rPr>
                      <w:rFonts w:ascii="Times New Roman" w:hAnsi="Times New Roman"/>
                      <w:kern w:val="2"/>
                      <w:sz w:val="21"/>
                      <w:szCs w:val="21"/>
                    </w:rPr>
                    <w:t>边长5~50km</w:t>
                  </w:r>
                  <w:r>
                    <w:rPr>
                      <w:rFonts w:ascii="Times New Roman" w:hAnsi="Times New Roman"/>
                      <w:kern w:val="2"/>
                      <w:sz w:val="21"/>
                      <w:szCs w:val="21"/>
                    </w:rPr>
                    <w:sym w:font="Wingdings 2" w:char="0052"/>
                  </w:r>
                </w:p>
              </w:tc>
              <w:tc>
                <w:tcPr>
                  <w:tcW w:w="1635" w:type="dxa"/>
                  <w:gridSpan w:val="3"/>
                  <w:vAlign w:val="center"/>
                </w:tcPr>
                <w:p>
                  <w:pPr>
                    <w:snapToGrid w:val="0"/>
                    <w:jc w:val="center"/>
                    <w:rPr>
                      <w:rFonts w:ascii="Times New Roman" w:hAnsi="Times New Roman"/>
                      <w:kern w:val="2"/>
                      <w:sz w:val="21"/>
                      <w:szCs w:val="21"/>
                    </w:rPr>
                  </w:pPr>
                  <w:r>
                    <w:rPr>
                      <w:rFonts w:ascii="Times New Roman" w:hAnsi="Times New Roman"/>
                      <w:kern w:val="2"/>
                      <w:sz w:val="21"/>
                      <w:szCs w:val="21"/>
                    </w:rPr>
                    <w:t>边长=5km</w:t>
                  </w:r>
                  <w:r>
                    <w:rPr>
                      <w:rFonts w:ascii="Times New Roman" w:hAnsi="Times New Roman"/>
                      <w:kern w:val="2"/>
                      <w:sz w:val="21"/>
                      <w:szCs w:val="21"/>
                    </w:rPr>
                    <w:sym w:font="Wingdings 2" w:char="F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53" w:type="dxa"/>
                  <w:vMerge w:val="restart"/>
                  <w:vAlign w:val="center"/>
                </w:tcPr>
                <w:p>
                  <w:pPr>
                    <w:snapToGrid w:val="0"/>
                    <w:jc w:val="center"/>
                    <w:rPr>
                      <w:rFonts w:ascii="Times New Roman" w:hAnsi="Times New Roman"/>
                      <w:kern w:val="2"/>
                      <w:sz w:val="21"/>
                      <w:szCs w:val="21"/>
                    </w:rPr>
                  </w:pPr>
                  <w:r>
                    <w:rPr>
                      <w:rFonts w:ascii="Times New Roman" w:hAnsi="Times New Roman"/>
                      <w:kern w:val="2"/>
                      <w:sz w:val="21"/>
                      <w:szCs w:val="21"/>
                    </w:rPr>
                    <w:t>评价因子</w:t>
                  </w:r>
                </w:p>
              </w:tc>
              <w:tc>
                <w:tcPr>
                  <w:tcW w:w="1818"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SO</w:t>
                  </w:r>
                  <w:r>
                    <w:rPr>
                      <w:rFonts w:ascii="Times New Roman" w:hAnsi="Times New Roman"/>
                      <w:kern w:val="2"/>
                      <w:sz w:val="21"/>
                      <w:szCs w:val="21"/>
                      <w:vertAlign w:val="subscript"/>
                    </w:rPr>
                    <w:t>2</w:t>
                  </w:r>
                  <w:r>
                    <w:rPr>
                      <w:rFonts w:ascii="Times New Roman" w:hAnsi="Times New Roman"/>
                      <w:kern w:val="2"/>
                      <w:sz w:val="21"/>
                      <w:szCs w:val="21"/>
                    </w:rPr>
                    <w:t>+NO</w:t>
                  </w:r>
                  <w:r>
                    <w:rPr>
                      <w:rFonts w:ascii="Times New Roman" w:hAnsi="Times New Roman"/>
                      <w:kern w:val="2"/>
                      <w:sz w:val="21"/>
                      <w:szCs w:val="21"/>
                      <w:vertAlign w:val="subscript"/>
                    </w:rPr>
                    <w:t>X</w:t>
                  </w:r>
                  <w:r>
                    <w:rPr>
                      <w:rFonts w:ascii="Times New Roman" w:hAnsi="Times New Roman"/>
                      <w:kern w:val="2"/>
                      <w:sz w:val="21"/>
                      <w:szCs w:val="21"/>
                    </w:rPr>
                    <w:t>排放量</w:t>
                  </w:r>
                </w:p>
              </w:tc>
              <w:tc>
                <w:tcPr>
                  <w:tcW w:w="1410"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≥20000t/a□</w:t>
                  </w:r>
                </w:p>
              </w:tc>
              <w:tc>
                <w:tcPr>
                  <w:tcW w:w="1589" w:type="dxa"/>
                  <w:gridSpan w:val="3"/>
                  <w:vAlign w:val="center"/>
                </w:tcPr>
                <w:p>
                  <w:pPr>
                    <w:snapToGrid w:val="0"/>
                    <w:jc w:val="center"/>
                    <w:rPr>
                      <w:rFonts w:ascii="Times New Roman" w:hAnsi="Times New Roman"/>
                      <w:kern w:val="2"/>
                      <w:sz w:val="21"/>
                      <w:szCs w:val="21"/>
                    </w:rPr>
                  </w:pPr>
                  <w:r>
                    <w:rPr>
                      <w:rFonts w:ascii="Times New Roman" w:hAnsi="Times New Roman"/>
                      <w:kern w:val="2"/>
                      <w:sz w:val="21"/>
                      <w:szCs w:val="21"/>
                    </w:rPr>
                    <w:t>500~2000t/a□</w:t>
                  </w:r>
                </w:p>
              </w:tc>
              <w:tc>
                <w:tcPr>
                  <w:tcW w:w="3491" w:type="dxa"/>
                  <w:gridSpan w:val="5"/>
                  <w:vAlign w:val="center"/>
                </w:tcPr>
                <w:p>
                  <w:pPr>
                    <w:snapToGrid w:val="0"/>
                    <w:jc w:val="center"/>
                    <w:rPr>
                      <w:rFonts w:ascii="Times New Roman" w:hAnsi="Times New Roman"/>
                      <w:kern w:val="2"/>
                      <w:sz w:val="21"/>
                      <w:szCs w:val="21"/>
                    </w:rPr>
                  </w:pPr>
                  <w:r>
                    <w:rPr>
                      <w:rFonts w:ascii="Times New Roman" w:hAnsi="Times New Roman"/>
                      <w:kern w:val="2"/>
                      <w:sz w:val="21"/>
                      <w:szCs w:val="21"/>
                    </w:rPr>
                    <w:t>小于500t/a</w:t>
                  </w:r>
                  <w:r>
                    <w:rPr>
                      <w:rFonts w:ascii="Times New Roman" w:hAnsi="Times New Roman"/>
                      <w:kern w:val="2"/>
                      <w:sz w:val="21"/>
                      <w:szCs w:val="21"/>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53" w:type="dxa"/>
                  <w:vMerge w:val="continue"/>
                  <w:vAlign w:val="center"/>
                </w:tcPr>
                <w:p>
                  <w:pPr>
                    <w:snapToGrid w:val="0"/>
                    <w:jc w:val="center"/>
                    <w:rPr>
                      <w:rFonts w:ascii="Times New Roman" w:hAnsi="Times New Roman"/>
                      <w:kern w:val="2"/>
                      <w:sz w:val="21"/>
                      <w:szCs w:val="21"/>
                    </w:rPr>
                  </w:pPr>
                </w:p>
              </w:tc>
              <w:tc>
                <w:tcPr>
                  <w:tcW w:w="1818"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评价因子</w:t>
                  </w:r>
                </w:p>
              </w:tc>
              <w:tc>
                <w:tcPr>
                  <w:tcW w:w="2999" w:type="dxa"/>
                  <w:gridSpan w:val="4"/>
                  <w:vAlign w:val="center"/>
                </w:tcPr>
                <w:p>
                  <w:pPr>
                    <w:snapToGrid w:val="0"/>
                    <w:jc w:val="center"/>
                    <w:rPr>
                      <w:rFonts w:ascii="Times New Roman" w:hAnsi="Times New Roman"/>
                      <w:kern w:val="2"/>
                      <w:sz w:val="21"/>
                      <w:szCs w:val="21"/>
                    </w:rPr>
                  </w:pPr>
                  <w:r>
                    <w:rPr>
                      <w:rFonts w:ascii="Times New Roman" w:hAnsi="Times New Roman"/>
                      <w:kern w:val="2"/>
                      <w:sz w:val="21"/>
                      <w:szCs w:val="21"/>
                    </w:rPr>
                    <w:t>基本污染物（/）</w:t>
                  </w:r>
                </w:p>
                <w:p>
                  <w:pPr>
                    <w:snapToGrid w:val="0"/>
                    <w:jc w:val="center"/>
                    <w:rPr>
                      <w:rFonts w:ascii="Times New Roman" w:hAnsi="Times New Roman"/>
                      <w:kern w:val="2"/>
                      <w:sz w:val="21"/>
                      <w:szCs w:val="21"/>
                    </w:rPr>
                  </w:pPr>
                  <w:r>
                    <w:rPr>
                      <w:rFonts w:ascii="Times New Roman" w:hAnsi="Times New Roman"/>
                      <w:kern w:val="2"/>
                      <w:sz w:val="21"/>
                      <w:szCs w:val="21"/>
                    </w:rPr>
                    <w:t>其他污染物（VOCs）</w:t>
                  </w:r>
                </w:p>
              </w:tc>
              <w:tc>
                <w:tcPr>
                  <w:tcW w:w="3491" w:type="dxa"/>
                  <w:gridSpan w:val="5"/>
                  <w:vAlign w:val="center"/>
                </w:tcPr>
                <w:p>
                  <w:pPr>
                    <w:snapToGrid w:val="0"/>
                    <w:jc w:val="center"/>
                    <w:rPr>
                      <w:rFonts w:ascii="Times New Roman" w:hAnsi="Times New Roman"/>
                      <w:kern w:val="2"/>
                      <w:sz w:val="21"/>
                      <w:szCs w:val="21"/>
                    </w:rPr>
                  </w:pPr>
                  <w:r>
                    <w:rPr>
                      <w:rFonts w:ascii="Times New Roman" w:hAnsi="Times New Roman"/>
                      <w:kern w:val="2"/>
                      <w:sz w:val="21"/>
                      <w:szCs w:val="21"/>
                    </w:rPr>
                    <w:t>包括二次PM</w:t>
                  </w:r>
                  <w:r>
                    <w:rPr>
                      <w:rFonts w:ascii="Times New Roman" w:hAnsi="Times New Roman"/>
                      <w:kern w:val="2"/>
                      <w:sz w:val="21"/>
                      <w:szCs w:val="21"/>
                      <w:vertAlign w:val="subscript"/>
                    </w:rPr>
                    <w:t>2.5</w:t>
                  </w:r>
                  <w:r>
                    <w:rPr>
                      <w:rFonts w:ascii="Times New Roman" w:hAnsi="Times New Roman"/>
                      <w:kern w:val="2"/>
                      <w:sz w:val="21"/>
                      <w:szCs w:val="21"/>
                    </w:rPr>
                    <w:sym w:font="Wingdings 2" w:char="00A3"/>
                  </w:r>
                </w:p>
                <w:p>
                  <w:pPr>
                    <w:autoSpaceDE w:val="0"/>
                    <w:autoSpaceDN w:val="0"/>
                    <w:adjustRightInd w:val="0"/>
                    <w:jc w:val="center"/>
                    <w:rPr>
                      <w:rFonts w:ascii="Times New Roman" w:hAnsi="Times New Roman"/>
                      <w:kern w:val="0"/>
                      <w:sz w:val="21"/>
                      <w:szCs w:val="21"/>
                    </w:rPr>
                  </w:pPr>
                  <w:r>
                    <w:rPr>
                      <w:rFonts w:ascii="Times New Roman" w:hAnsi="Times New Roman"/>
                      <w:kern w:val="0"/>
                      <w:sz w:val="21"/>
                      <w:szCs w:val="21"/>
                    </w:rPr>
                    <w:t>不包括二次PM</w:t>
                  </w:r>
                  <w:r>
                    <w:rPr>
                      <w:rFonts w:ascii="Times New Roman" w:hAnsi="Times New Roman"/>
                      <w:kern w:val="0"/>
                      <w:sz w:val="21"/>
                      <w:szCs w:val="21"/>
                      <w:vertAlign w:val="subscript"/>
                    </w:rPr>
                    <w:t>2.5</w:t>
                  </w:r>
                  <w:r>
                    <w:rPr>
                      <w:rFonts w:ascii="Times New Roman" w:hAnsi="Times New Roman"/>
                      <w:kern w:val="2"/>
                      <w:sz w:val="21"/>
                      <w:szCs w:val="21"/>
                    </w:rPr>
                    <w:sym w:font="Wingdings 2" w:char="F052"/>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53"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评价标准</w:t>
                  </w:r>
                </w:p>
              </w:tc>
              <w:tc>
                <w:tcPr>
                  <w:tcW w:w="1818"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评价标准</w:t>
                  </w:r>
                </w:p>
              </w:tc>
              <w:tc>
                <w:tcPr>
                  <w:tcW w:w="1410"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国家标准</w:t>
                  </w:r>
                  <w:r>
                    <w:rPr>
                      <w:rFonts w:ascii="Times New Roman" w:hAnsi="Times New Roman"/>
                      <w:kern w:val="2"/>
                      <w:sz w:val="21"/>
                      <w:szCs w:val="21"/>
                    </w:rPr>
                    <w:sym w:font="Wingdings 2" w:char="F052"/>
                  </w:r>
                </w:p>
              </w:tc>
              <w:tc>
                <w:tcPr>
                  <w:tcW w:w="1589" w:type="dxa"/>
                  <w:gridSpan w:val="3"/>
                  <w:vAlign w:val="center"/>
                </w:tcPr>
                <w:p>
                  <w:pPr>
                    <w:snapToGrid w:val="0"/>
                    <w:jc w:val="center"/>
                    <w:rPr>
                      <w:rFonts w:ascii="Times New Roman" w:hAnsi="Times New Roman"/>
                      <w:kern w:val="2"/>
                      <w:sz w:val="21"/>
                      <w:szCs w:val="21"/>
                    </w:rPr>
                  </w:pPr>
                  <w:r>
                    <w:rPr>
                      <w:rFonts w:ascii="Times New Roman" w:hAnsi="Times New Roman"/>
                      <w:kern w:val="2"/>
                      <w:sz w:val="21"/>
                      <w:szCs w:val="21"/>
                    </w:rPr>
                    <w:t>地方标准</w:t>
                  </w:r>
                  <w:r>
                    <w:rPr>
                      <w:rFonts w:ascii="Times New Roman" w:hAnsi="Times New Roman"/>
                      <w:kern w:val="2"/>
                      <w:sz w:val="21"/>
                      <w:szCs w:val="21"/>
                    </w:rPr>
                    <w:sym w:font="Wingdings 2" w:char="00A3"/>
                  </w:r>
                </w:p>
              </w:tc>
              <w:tc>
                <w:tcPr>
                  <w:tcW w:w="1856" w:type="dxa"/>
                  <w:gridSpan w:val="2"/>
                  <w:vAlign w:val="center"/>
                </w:tcPr>
                <w:p>
                  <w:pPr>
                    <w:snapToGrid w:val="0"/>
                    <w:jc w:val="center"/>
                    <w:rPr>
                      <w:rFonts w:ascii="Times New Roman" w:hAnsi="Times New Roman"/>
                      <w:kern w:val="2"/>
                      <w:sz w:val="21"/>
                      <w:szCs w:val="21"/>
                    </w:rPr>
                  </w:pPr>
                  <w:r>
                    <w:rPr>
                      <w:rFonts w:ascii="Times New Roman" w:hAnsi="Times New Roman"/>
                      <w:kern w:val="2"/>
                      <w:sz w:val="21"/>
                      <w:szCs w:val="21"/>
                    </w:rPr>
                    <w:t>附录D</w:t>
                  </w:r>
                  <w:r>
                    <w:rPr>
                      <w:rFonts w:ascii="Times New Roman" w:hAnsi="Times New Roman"/>
                      <w:kern w:val="2"/>
                      <w:sz w:val="21"/>
                      <w:szCs w:val="21"/>
                    </w:rPr>
                    <w:sym w:font="Wingdings 2" w:char="F052"/>
                  </w:r>
                </w:p>
              </w:tc>
              <w:tc>
                <w:tcPr>
                  <w:tcW w:w="1635" w:type="dxa"/>
                  <w:gridSpan w:val="3"/>
                  <w:vAlign w:val="center"/>
                </w:tcPr>
                <w:p>
                  <w:pPr>
                    <w:snapToGrid w:val="0"/>
                    <w:jc w:val="center"/>
                    <w:rPr>
                      <w:rFonts w:ascii="Times New Roman" w:hAnsi="Times New Roman"/>
                      <w:kern w:val="2"/>
                      <w:sz w:val="21"/>
                      <w:szCs w:val="21"/>
                    </w:rPr>
                  </w:pPr>
                  <w:r>
                    <w:rPr>
                      <w:rFonts w:ascii="Times New Roman" w:hAnsi="Times New Roman"/>
                      <w:kern w:val="2"/>
                      <w:sz w:val="21"/>
                      <w:szCs w:val="21"/>
                    </w:rPr>
                    <w:t>其他标准□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53" w:type="dxa"/>
                  <w:vMerge w:val="restart"/>
                  <w:vAlign w:val="center"/>
                </w:tcPr>
                <w:p>
                  <w:pPr>
                    <w:snapToGrid w:val="0"/>
                    <w:jc w:val="center"/>
                    <w:rPr>
                      <w:rFonts w:ascii="Times New Roman" w:hAnsi="Times New Roman"/>
                      <w:kern w:val="2"/>
                      <w:sz w:val="21"/>
                      <w:szCs w:val="21"/>
                    </w:rPr>
                  </w:pPr>
                  <w:r>
                    <w:rPr>
                      <w:rFonts w:ascii="Times New Roman" w:hAnsi="Times New Roman"/>
                      <w:kern w:val="2"/>
                      <w:sz w:val="21"/>
                      <w:szCs w:val="21"/>
                    </w:rPr>
                    <w:t>现状评价</w:t>
                  </w:r>
                </w:p>
              </w:tc>
              <w:tc>
                <w:tcPr>
                  <w:tcW w:w="1818"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环境功能区</w:t>
                  </w:r>
                </w:p>
              </w:tc>
              <w:tc>
                <w:tcPr>
                  <w:tcW w:w="1410"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一类区□</w:t>
                  </w:r>
                </w:p>
              </w:tc>
              <w:tc>
                <w:tcPr>
                  <w:tcW w:w="1589" w:type="dxa"/>
                  <w:gridSpan w:val="3"/>
                  <w:vAlign w:val="center"/>
                </w:tcPr>
                <w:p>
                  <w:pPr>
                    <w:snapToGrid w:val="0"/>
                    <w:jc w:val="center"/>
                    <w:rPr>
                      <w:rFonts w:ascii="Times New Roman" w:hAnsi="Times New Roman"/>
                      <w:kern w:val="2"/>
                      <w:sz w:val="21"/>
                      <w:szCs w:val="21"/>
                    </w:rPr>
                  </w:pPr>
                  <w:r>
                    <w:rPr>
                      <w:rFonts w:ascii="Times New Roman" w:hAnsi="Times New Roman"/>
                      <w:kern w:val="2"/>
                      <w:sz w:val="21"/>
                      <w:szCs w:val="21"/>
                    </w:rPr>
                    <w:t>二类区</w:t>
                  </w:r>
                  <w:r>
                    <w:rPr>
                      <w:rFonts w:ascii="Times New Roman" w:hAnsi="Times New Roman"/>
                      <w:kern w:val="2"/>
                      <w:sz w:val="21"/>
                      <w:szCs w:val="21"/>
                    </w:rPr>
                    <w:sym w:font="Wingdings 2" w:char="F052"/>
                  </w:r>
                </w:p>
              </w:tc>
              <w:tc>
                <w:tcPr>
                  <w:tcW w:w="3491" w:type="dxa"/>
                  <w:gridSpan w:val="5"/>
                  <w:vAlign w:val="center"/>
                </w:tcPr>
                <w:p>
                  <w:pPr>
                    <w:snapToGrid w:val="0"/>
                    <w:jc w:val="center"/>
                    <w:rPr>
                      <w:rFonts w:ascii="Times New Roman" w:hAnsi="Times New Roman"/>
                      <w:kern w:val="2"/>
                      <w:sz w:val="21"/>
                      <w:szCs w:val="21"/>
                    </w:rPr>
                  </w:pPr>
                  <w:r>
                    <w:rPr>
                      <w:rFonts w:ascii="Times New Roman" w:hAnsi="Times New Roman"/>
                      <w:kern w:val="2"/>
                      <w:sz w:val="21"/>
                      <w:szCs w:val="21"/>
                    </w:rPr>
                    <w:t>一类区和二类区□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53" w:type="dxa"/>
                  <w:vMerge w:val="continue"/>
                  <w:vAlign w:val="center"/>
                </w:tcPr>
                <w:p>
                  <w:pPr>
                    <w:snapToGrid w:val="0"/>
                    <w:jc w:val="center"/>
                    <w:rPr>
                      <w:rFonts w:ascii="Times New Roman" w:hAnsi="Times New Roman"/>
                      <w:kern w:val="2"/>
                      <w:sz w:val="21"/>
                      <w:szCs w:val="21"/>
                    </w:rPr>
                  </w:pPr>
                </w:p>
              </w:tc>
              <w:tc>
                <w:tcPr>
                  <w:tcW w:w="1818"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评价基准年</w:t>
                  </w:r>
                </w:p>
              </w:tc>
              <w:tc>
                <w:tcPr>
                  <w:tcW w:w="6490" w:type="dxa"/>
                  <w:gridSpan w:val="9"/>
                  <w:vAlign w:val="center"/>
                </w:tcPr>
                <w:p>
                  <w:pPr>
                    <w:snapToGrid w:val="0"/>
                    <w:jc w:val="center"/>
                    <w:rPr>
                      <w:rFonts w:ascii="Times New Roman" w:hAnsi="Times New Roman"/>
                      <w:kern w:val="2"/>
                      <w:sz w:val="21"/>
                      <w:szCs w:val="21"/>
                    </w:rPr>
                  </w:pPr>
                  <w:r>
                    <w:rPr>
                      <w:rFonts w:ascii="Times New Roman" w:hAnsi="Times New Roman"/>
                      <w:kern w:val="2"/>
                      <w:sz w:val="21"/>
                      <w:szCs w:val="21"/>
                    </w:rPr>
                    <w:t>（201</w:t>
                  </w:r>
                  <w:r>
                    <w:rPr>
                      <w:rFonts w:hint="eastAsia" w:ascii="Times New Roman" w:hAnsi="Times New Roman"/>
                      <w:kern w:val="2"/>
                      <w:sz w:val="21"/>
                      <w:szCs w:val="21"/>
                    </w:rPr>
                    <w:t>9</w:t>
                  </w:r>
                  <w:r>
                    <w:rPr>
                      <w:rFonts w:ascii="Times New Roman" w:hAnsi="Times New Roman"/>
                      <w:kern w:val="2"/>
                      <w:sz w:val="21"/>
                      <w:szCs w:val="21"/>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53" w:type="dxa"/>
                  <w:vMerge w:val="continue"/>
                  <w:vAlign w:val="center"/>
                </w:tcPr>
                <w:p>
                  <w:pPr>
                    <w:snapToGrid w:val="0"/>
                    <w:jc w:val="center"/>
                    <w:rPr>
                      <w:rFonts w:ascii="Times New Roman" w:hAnsi="Times New Roman"/>
                      <w:kern w:val="2"/>
                      <w:sz w:val="21"/>
                      <w:szCs w:val="21"/>
                    </w:rPr>
                  </w:pPr>
                </w:p>
              </w:tc>
              <w:tc>
                <w:tcPr>
                  <w:tcW w:w="1818"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环境空气质量现状调查数据来源</w:t>
                  </w:r>
                </w:p>
              </w:tc>
              <w:tc>
                <w:tcPr>
                  <w:tcW w:w="2481" w:type="dxa"/>
                  <w:gridSpan w:val="3"/>
                  <w:vAlign w:val="center"/>
                </w:tcPr>
                <w:p>
                  <w:pPr>
                    <w:snapToGrid w:val="0"/>
                    <w:jc w:val="center"/>
                    <w:rPr>
                      <w:rFonts w:ascii="Times New Roman" w:hAnsi="Times New Roman"/>
                      <w:kern w:val="2"/>
                      <w:sz w:val="21"/>
                      <w:szCs w:val="21"/>
                    </w:rPr>
                  </w:pPr>
                  <w:r>
                    <w:rPr>
                      <w:rFonts w:ascii="Times New Roman" w:hAnsi="Times New Roman"/>
                      <w:kern w:val="2"/>
                      <w:sz w:val="21"/>
                      <w:szCs w:val="21"/>
                    </w:rPr>
                    <w:t>长期例行监测数据</w:t>
                  </w:r>
                  <w:r>
                    <w:rPr>
                      <w:rFonts w:ascii="Times New Roman" w:hAnsi="Times New Roman"/>
                      <w:kern w:val="2"/>
                      <w:sz w:val="21"/>
                      <w:szCs w:val="21"/>
                    </w:rPr>
                    <w:sym w:font="Wingdings 2" w:char="00A3"/>
                  </w:r>
                </w:p>
              </w:tc>
              <w:tc>
                <w:tcPr>
                  <w:tcW w:w="2374" w:type="dxa"/>
                  <w:gridSpan w:val="3"/>
                  <w:vAlign w:val="center"/>
                </w:tcPr>
                <w:p>
                  <w:pPr>
                    <w:snapToGrid w:val="0"/>
                    <w:jc w:val="center"/>
                    <w:rPr>
                      <w:rFonts w:ascii="Times New Roman" w:hAnsi="Times New Roman"/>
                      <w:kern w:val="2"/>
                      <w:sz w:val="21"/>
                      <w:szCs w:val="21"/>
                    </w:rPr>
                  </w:pPr>
                  <w:r>
                    <w:rPr>
                      <w:rFonts w:ascii="Times New Roman" w:hAnsi="Times New Roman"/>
                      <w:kern w:val="2"/>
                      <w:sz w:val="21"/>
                      <w:szCs w:val="21"/>
                    </w:rPr>
                    <w:t>主管部门发布的数据</w:t>
                  </w:r>
                  <w:r>
                    <w:rPr>
                      <w:rFonts w:ascii="Times New Roman" w:hAnsi="Times New Roman"/>
                      <w:kern w:val="2"/>
                      <w:sz w:val="21"/>
                      <w:szCs w:val="21"/>
                    </w:rPr>
                    <w:sym w:font="Wingdings 2" w:char="0052"/>
                  </w:r>
                </w:p>
              </w:tc>
              <w:tc>
                <w:tcPr>
                  <w:tcW w:w="1635" w:type="dxa"/>
                  <w:gridSpan w:val="3"/>
                  <w:vAlign w:val="center"/>
                </w:tcPr>
                <w:p>
                  <w:pPr>
                    <w:snapToGrid w:val="0"/>
                    <w:jc w:val="center"/>
                    <w:rPr>
                      <w:rFonts w:ascii="Times New Roman" w:hAnsi="Times New Roman"/>
                      <w:kern w:val="2"/>
                      <w:sz w:val="21"/>
                      <w:szCs w:val="21"/>
                    </w:rPr>
                  </w:pPr>
                  <w:r>
                    <w:rPr>
                      <w:rFonts w:ascii="Times New Roman" w:hAnsi="Times New Roman"/>
                      <w:kern w:val="2"/>
                      <w:sz w:val="21"/>
                      <w:szCs w:val="21"/>
                    </w:rPr>
                    <w:t>现状补充监测</w:t>
                  </w:r>
                  <w:r>
                    <w:rPr>
                      <w:rFonts w:ascii="Times New Roman" w:hAnsi="Times New Roman"/>
                      <w:kern w:val="2"/>
                      <w:sz w:val="21"/>
                      <w:szCs w:val="21"/>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53" w:type="dxa"/>
                  <w:vMerge w:val="continue"/>
                  <w:vAlign w:val="center"/>
                </w:tcPr>
                <w:p>
                  <w:pPr>
                    <w:snapToGrid w:val="0"/>
                    <w:jc w:val="center"/>
                    <w:rPr>
                      <w:rFonts w:ascii="Times New Roman" w:hAnsi="Times New Roman"/>
                      <w:kern w:val="2"/>
                      <w:sz w:val="21"/>
                      <w:szCs w:val="21"/>
                    </w:rPr>
                  </w:pPr>
                </w:p>
              </w:tc>
              <w:tc>
                <w:tcPr>
                  <w:tcW w:w="1818"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现状评价</w:t>
                  </w:r>
                </w:p>
              </w:tc>
              <w:tc>
                <w:tcPr>
                  <w:tcW w:w="2481" w:type="dxa"/>
                  <w:gridSpan w:val="3"/>
                  <w:vAlign w:val="center"/>
                </w:tcPr>
                <w:p>
                  <w:pPr>
                    <w:snapToGrid w:val="0"/>
                    <w:jc w:val="center"/>
                    <w:rPr>
                      <w:rFonts w:ascii="Times New Roman" w:hAnsi="Times New Roman"/>
                      <w:kern w:val="2"/>
                      <w:sz w:val="21"/>
                      <w:szCs w:val="21"/>
                    </w:rPr>
                  </w:pPr>
                  <w:r>
                    <w:rPr>
                      <w:rFonts w:ascii="Times New Roman" w:hAnsi="Times New Roman"/>
                      <w:kern w:val="2"/>
                      <w:sz w:val="21"/>
                      <w:szCs w:val="21"/>
                    </w:rPr>
                    <w:t>达标区</w:t>
                  </w:r>
                  <w:r>
                    <w:rPr>
                      <w:rFonts w:ascii="Times New Roman" w:hAnsi="Times New Roman"/>
                      <w:kern w:val="2"/>
                      <w:sz w:val="21"/>
                      <w:szCs w:val="21"/>
                    </w:rPr>
                    <w:sym w:font="Wingdings 2" w:char="0052"/>
                  </w:r>
                </w:p>
              </w:tc>
              <w:tc>
                <w:tcPr>
                  <w:tcW w:w="4009" w:type="dxa"/>
                  <w:gridSpan w:val="6"/>
                  <w:vAlign w:val="center"/>
                </w:tcPr>
                <w:p>
                  <w:pPr>
                    <w:snapToGrid w:val="0"/>
                    <w:jc w:val="center"/>
                    <w:rPr>
                      <w:rFonts w:ascii="Times New Roman" w:hAnsi="Times New Roman"/>
                      <w:kern w:val="2"/>
                      <w:sz w:val="21"/>
                      <w:szCs w:val="21"/>
                    </w:rPr>
                  </w:pPr>
                  <w:r>
                    <w:rPr>
                      <w:rFonts w:ascii="Times New Roman" w:hAnsi="Times New Roman"/>
                      <w:kern w:val="2"/>
                      <w:sz w:val="21"/>
                      <w:szCs w:val="21"/>
                    </w:rPr>
                    <w:t>不达标区</w:t>
                  </w:r>
                  <w:r>
                    <w:rPr>
                      <w:rFonts w:ascii="Times New Roman" w:hAnsi="Times New Roman"/>
                      <w:kern w:val="2"/>
                      <w:sz w:val="21"/>
                      <w:szCs w:val="21"/>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53"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污染源</w:t>
                  </w:r>
                </w:p>
                <w:p>
                  <w:pPr>
                    <w:snapToGrid w:val="0"/>
                    <w:jc w:val="center"/>
                    <w:rPr>
                      <w:rFonts w:ascii="Times New Roman" w:hAnsi="Times New Roman"/>
                      <w:kern w:val="2"/>
                      <w:sz w:val="21"/>
                      <w:szCs w:val="21"/>
                    </w:rPr>
                  </w:pPr>
                  <w:r>
                    <w:rPr>
                      <w:rFonts w:ascii="Times New Roman" w:hAnsi="Times New Roman"/>
                      <w:kern w:val="2"/>
                      <w:sz w:val="21"/>
                      <w:szCs w:val="21"/>
                    </w:rPr>
                    <w:t>调查</w:t>
                  </w:r>
                </w:p>
              </w:tc>
              <w:tc>
                <w:tcPr>
                  <w:tcW w:w="1818"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调查内容</w:t>
                  </w:r>
                </w:p>
              </w:tc>
              <w:tc>
                <w:tcPr>
                  <w:tcW w:w="2481" w:type="dxa"/>
                  <w:gridSpan w:val="3"/>
                  <w:vAlign w:val="center"/>
                </w:tcPr>
                <w:p>
                  <w:pPr>
                    <w:snapToGrid w:val="0"/>
                    <w:jc w:val="center"/>
                    <w:rPr>
                      <w:rFonts w:ascii="Times New Roman" w:hAnsi="Times New Roman"/>
                      <w:kern w:val="2"/>
                      <w:sz w:val="21"/>
                      <w:szCs w:val="21"/>
                    </w:rPr>
                  </w:pPr>
                  <w:r>
                    <w:rPr>
                      <w:rFonts w:ascii="Times New Roman" w:hAnsi="Times New Roman"/>
                      <w:kern w:val="2"/>
                      <w:sz w:val="21"/>
                      <w:szCs w:val="21"/>
                    </w:rPr>
                    <w:t>本项目正常排放源</w:t>
                  </w:r>
                  <w:r>
                    <w:rPr>
                      <w:rFonts w:ascii="Times New Roman" w:hAnsi="Times New Roman"/>
                      <w:kern w:val="2"/>
                      <w:sz w:val="21"/>
                      <w:szCs w:val="21"/>
                    </w:rPr>
                    <w:sym w:font="Wingdings 2" w:char="F052"/>
                  </w:r>
                </w:p>
                <w:p>
                  <w:pPr>
                    <w:snapToGrid w:val="0"/>
                    <w:jc w:val="center"/>
                    <w:rPr>
                      <w:rFonts w:ascii="Times New Roman" w:hAnsi="Times New Roman"/>
                      <w:kern w:val="2"/>
                      <w:sz w:val="21"/>
                      <w:szCs w:val="21"/>
                    </w:rPr>
                  </w:pPr>
                  <w:r>
                    <w:rPr>
                      <w:rFonts w:ascii="Times New Roman" w:hAnsi="Times New Roman"/>
                      <w:kern w:val="2"/>
                      <w:sz w:val="21"/>
                      <w:szCs w:val="21"/>
                    </w:rPr>
                    <w:t>本项目非正常排放源</w:t>
                  </w:r>
                  <w:r>
                    <w:rPr>
                      <w:rFonts w:ascii="Times New Roman" w:hAnsi="Times New Roman"/>
                      <w:kern w:val="2"/>
                      <w:sz w:val="21"/>
                      <w:szCs w:val="21"/>
                    </w:rPr>
                    <w:sym w:font="Wingdings 2" w:char="00A3"/>
                  </w:r>
                </w:p>
                <w:p>
                  <w:pPr>
                    <w:snapToGrid w:val="0"/>
                    <w:jc w:val="center"/>
                    <w:rPr>
                      <w:rFonts w:ascii="Times New Roman" w:hAnsi="Times New Roman"/>
                      <w:kern w:val="2"/>
                      <w:sz w:val="21"/>
                      <w:szCs w:val="21"/>
                    </w:rPr>
                  </w:pPr>
                  <w:r>
                    <w:rPr>
                      <w:rFonts w:ascii="Times New Roman" w:hAnsi="Times New Roman"/>
                      <w:kern w:val="2"/>
                      <w:sz w:val="21"/>
                      <w:szCs w:val="21"/>
                    </w:rPr>
                    <w:t>现有污染源□</w:t>
                  </w:r>
                </w:p>
              </w:tc>
              <w:tc>
                <w:tcPr>
                  <w:tcW w:w="1046" w:type="dxa"/>
                  <w:gridSpan w:val="2"/>
                  <w:vAlign w:val="center"/>
                </w:tcPr>
                <w:p>
                  <w:pPr>
                    <w:snapToGrid w:val="0"/>
                    <w:jc w:val="center"/>
                    <w:rPr>
                      <w:rFonts w:ascii="Times New Roman" w:hAnsi="Times New Roman"/>
                      <w:kern w:val="2"/>
                      <w:sz w:val="21"/>
                      <w:szCs w:val="21"/>
                    </w:rPr>
                  </w:pPr>
                  <w:r>
                    <w:rPr>
                      <w:rFonts w:ascii="Times New Roman" w:hAnsi="Times New Roman"/>
                      <w:kern w:val="2"/>
                      <w:sz w:val="21"/>
                      <w:szCs w:val="21"/>
                    </w:rPr>
                    <w:t>拟替代的污染源□</w:t>
                  </w:r>
                </w:p>
              </w:tc>
              <w:tc>
                <w:tcPr>
                  <w:tcW w:w="1553" w:type="dxa"/>
                  <w:gridSpan w:val="2"/>
                  <w:vAlign w:val="center"/>
                </w:tcPr>
                <w:p>
                  <w:pPr>
                    <w:snapToGrid w:val="0"/>
                    <w:jc w:val="center"/>
                    <w:rPr>
                      <w:rFonts w:ascii="Times New Roman" w:hAnsi="Times New Roman"/>
                      <w:kern w:val="2"/>
                      <w:sz w:val="21"/>
                      <w:szCs w:val="21"/>
                    </w:rPr>
                  </w:pPr>
                  <w:r>
                    <w:rPr>
                      <w:rFonts w:ascii="Times New Roman" w:hAnsi="Times New Roman"/>
                      <w:kern w:val="2"/>
                      <w:sz w:val="21"/>
                      <w:szCs w:val="21"/>
                    </w:rPr>
                    <w:t>其他在建、拟建项目污染源□</w:t>
                  </w:r>
                </w:p>
              </w:tc>
              <w:tc>
                <w:tcPr>
                  <w:tcW w:w="1410" w:type="dxa"/>
                  <w:gridSpan w:val="2"/>
                  <w:vAlign w:val="center"/>
                </w:tcPr>
                <w:p>
                  <w:pPr>
                    <w:snapToGrid w:val="0"/>
                    <w:jc w:val="center"/>
                    <w:rPr>
                      <w:rFonts w:ascii="Times New Roman" w:hAnsi="Times New Roman"/>
                      <w:kern w:val="2"/>
                      <w:sz w:val="21"/>
                      <w:szCs w:val="21"/>
                    </w:rPr>
                  </w:pPr>
                  <w:r>
                    <w:rPr>
                      <w:rFonts w:ascii="Times New Roman" w:hAnsi="Times New Roman"/>
                      <w:kern w:val="2"/>
                      <w:sz w:val="21"/>
                      <w:szCs w:val="21"/>
                    </w:rPr>
                    <w:t>区域污染源□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53" w:type="dxa"/>
                  <w:vMerge w:val="restart"/>
                  <w:vAlign w:val="center"/>
                </w:tcPr>
                <w:p>
                  <w:pPr>
                    <w:snapToGrid w:val="0"/>
                    <w:jc w:val="center"/>
                    <w:rPr>
                      <w:rFonts w:ascii="Times New Roman" w:hAnsi="Times New Roman"/>
                      <w:kern w:val="2"/>
                      <w:sz w:val="21"/>
                      <w:szCs w:val="21"/>
                    </w:rPr>
                  </w:pPr>
                  <w:r>
                    <w:rPr>
                      <w:rFonts w:ascii="Times New Roman" w:hAnsi="Times New Roman"/>
                      <w:kern w:val="2"/>
                      <w:sz w:val="21"/>
                      <w:szCs w:val="21"/>
                    </w:rPr>
                    <w:t>环境监测计划</w:t>
                  </w:r>
                </w:p>
              </w:tc>
              <w:tc>
                <w:tcPr>
                  <w:tcW w:w="1818"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污染源监测</w:t>
                  </w:r>
                </w:p>
              </w:tc>
              <w:tc>
                <w:tcPr>
                  <w:tcW w:w="2999" w:type="dxa"/>
                  <w:gridSpan w:val="4"/>
                  <w:vAlign w:val="center"/>
                </w:tcPr>
                <w:p>
                  <w:pPr>
                    <w:snapToGrid w:val="0"/>
                    <w:jc w:val="center"/>
                    <w:rPr>
                      <w:rFonts w:ascii="Times New Roman" w:hAnsi="Times New Roman"/>
                      <w:kern w:val="2"/>
                      <w:sz w:val="21"/>
                      <w:szCs w:val="21"/>
                    </w:rPr>
                  </w:pPr>
                  <w:r>
                    <w:rPr>
                      <w:rFonts w:ascii="Times New Roman" w:hAnsi="Times New Roman"/>
                      <w:kern w:val="2"/>
                      <w:sz w:val="21"/>
                      <w:szCs w:val="21"/>
                    </w:rPr>
                    <w:t>监测因子：（VOCs）</w:t>
                  </w:r>
                </w:p>
              </w:tc>
              <w:tc>
                <w:tcPr>
                  <w:tcW w:w="2132" w:type="dxa"/>
                  <w:gridSpan w:val="4"/>
                  <w:vAlign w:val="center"/>
                </w:tcPr>
                <w:p>
                  <w:pPr>
                    <w:snapToGrid w:val="0"/>
                    <w:jc w:val="center"/>
                    <w:rPr>
                      <w:rFonts w:ascii="Times New Roman" w:hAnsi="Times New Roman"/>
                      <w:kern w:val="2"/>
                      <w:sz w:val="21"/>
                      <w:szCs w:val="21"/>
                    </w:rPr>
                  </w:pPr>
                  <w:r>
                    <w:rPr>
                      <w:rFonts w:ascii="Times New Roman" w:hAnsi="Times New Roman"/>
                      <w:kern w:val="2"/>
                      <w:sz w:val="21"/>
                      <w:szCs w:val="21"/>
                    </w:rPr>
                    <w:t>有组织废气监测</w:t>
                  </w:r>
                  <w:r>
                    <w:rPr>
                      <w:rFonts w:ascii="Times New Roman" w:hAnsi="Times New Roman"/>
                      <w:kern w:val="2"/>
                      <w:sz w:val="21"/>
                      <w:szCs w:val="21"/>
                    </w:rPr>
                    <w:sym w:font="Wingdings 2" w:char="F052"/>
                  </w:r>
                </w:p>
                <w:p>
                  <w:pPr>
                    <w:snapToGrid w:val="0"/>
                    <w:jc w:val="center"/>
                    <w:rPr>
                      <w:rFonts w:ascii="Times New Roman" w:hAnsi="Times New Roman"/>
                      <w:kern w:val="2"/>
                      <w:sz w:val="21"/>
                      <w:szCs w:val="21"/>
                    </w:rPr>
                  </w:pPr>
                  <w:r>
                    <w:rPr>
                      <w:rFonts w:ascii="Times New Roman" w:hAnsi="Times New Roman"/>
                      <w:kern w:val="2"/>
                      <w:sz w:val="21"/>
                      <w:szCs w:val="21"/>
                    </w:rPr>
                    <w:t>无组织废气监测</w:t>
                  </w:r>
                  <w:r>
                    <w:rPr>
                      <w:rFonts w:ascii="Times New Roman" w:hAnsi="Times New Roman"/>
                      <w:kern w:val="2"/>
                      <w:sz w:val="21"/>
                      <w:szCs w:val="21"/>
                    </w:rPr>
                    <w:sym w:font="Wingdings 2" w:char="F052"/>
                  </w:r>
                </w:p>
              </w:tc>
              <w:tc>
                <w:tcPr>
                  <w:tcW w:w="1359"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无监测□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53" w:type="dxa"/>
                  <w:vMerge w:val="continue"/>
                  <w:vAlign w:val="center"/>
                </w:tcPr>
                <w:p>
                  <w:pPr>
                    <w:snapToGrid w:val="0"/>
                    <w:jc w:val="center"/>
                    <w:rPr>
                      <w:rFonts w:ascii="Times New Roman" w:hAnsi="Times New Roman"/>
                      <w:kern w:val="2"/>
                      <w:sz w:val="21"/>
                      <w:szCs w:val="21"/>
                    </w:rPr>
                  </w:pPr>
                </w:p>
              </w:tc>
              <w:tc>
                <w:tcPr>
                  <w:tcW w:w="1818"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环境质量检测</w:t>
                  </w:r>
                </w:p>
              </w:tc>
              <w:tc>
                <w:tcPr>
                  <w:tcW w:w="2999" w:type="dxa"/>
                  <w:gridSpan w:val="4"/>
                  <w:vAlign w:val="center"/>
                </w:tcPr>
                <w:p>
                  <w:pPr>
                    <w:snapToGrid w:val="0"/>
                    <w:jc w:val="center"/>
                    <w:rPr>
                      <w:rFonts w:ascii="Times New Roman" w:hAnsi="Times New Roman"/>
                      <w:kern w:val="2"/>
                      <w:sz w:val="21"/>
                      <w:szCs w:val="21"/>
                    </w:rPr>
                  </w:pPr>
                  <w:r>
                    <w:rPr>
                      <w:rFonts w:ascii="Times New Roman" w:hAnsi="Times New Roman"/>
                      <w:kern w:val="2"/>
                      <w:sz w:val="21"/>
                      <w:szCs w:val="21"/>
                    </w:rPr>
                    <w:t>监测因子：（无）</w:t>
                  </w:r>
                </w:p>
              </w:tc>
              <w:tc>
                <w:tcPr>
                  <w:tcW w:w="2132" w:type="dxa"/>
                  <w:gridSpan w:val="4"/>
                  <w:vAlign w:val="center"/>
                </w:tcPr>
                <w:p>
                  <w:pPr>
                    <w:snapToGrid w:val="0"/>
                    <w:jc w:val="center"/>
                    <w:rPr>
                      <w:rFonts w:ascii="Times New Roman" w:hAnsi="Times New Roman"/>
                      <w:kern w:val="2"/>
                      <w:sz w:val="21"/>
                      <w:szCs w:val="21"/>
                    </w:rPr>
                  </w:pPr>
                  <w:r>
                    <w:rPr>
                      <w:rFonts w:ascii="Times New Roman" w:hAnsi="Times New Roman"/>
                      <w:kern w:val="2"/>
                      <w:sz w:val="21"/>
                      <w:szCs w:val="21"/>
                    </w:rPr>
                    <w:t>监测点位数（0）</w:t>
                  </w:r>
                </w:p>
              </w:tc>
              <w:tc>
                <w:tcPr>
                  <w:tcW w:w="1359"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无监测</w:t>
                  </w:r>
                  <w:r>
                    <w:rPr>
                      <w:rFonts w:ascii="Times New Roman" w:hAnsi="Times New Roman"/>
                      <w:kern w:val="2"/>
                      <w:sz w:val="21"/>
                      <w:szCs w:val="21"/>
                    </w:rPr>
                    <w:sym w:font="Wingdings 2" w:char="F052"/>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53" w:type="dxa"/>
                  <w:vMerge w:val="restart"/>
                  <w:vAlign w:val="center"/>
                </w:tcPr>
                <w:p>
                  <w:pPr>
                    <w:snapToGrid w:val="0"/>
                    <w:jc w:val="center"/>
                    <w:rPr>
                      <w:rFonts w:ascii="Times New Roman" w:hAnsi="Times New Roman"/>
                      <w:kern w:val="2"/>
                      <w:sz w:val="21"/>
                      <w:szCs w:val="21"/>
                    </w:rPr>
                  </w:pPr>
                  <w:r>
                    <w:rPr>
                      <w:rFonts w:ascii="Times New Roman" w:hAnsi="Times New Roman"/>
                      <w:kern w:val="2"/>
                      <w:sz w:val="21"/>
                      <w:szCs w:val="21"/>
                    </w:rPr>
                    <w:t>评价</w:t>
                  </w:r>
                </w:p>
                <w:p>
                  <w:pPr>
                    <w:snapToGrid w:val="0"/>
                    <w:jc w:val="center"/>
                    <w:rPr>
                      <w:rFonts w:ascii="Times New Roman" w:hAnsi="Times New Roman"/>
                      <w:kern w:val="2"/>
                      <w:sz w:val="21"/>
                      <w:szCs w:val="21"/>
                    </w:rPr>
                  </w:pPr>
                  <w:r>
                    <w:rPr>
                      <w:rFonts w:ascii="Times New Roman" w:hAnsi="Times New Roman"/>
                      <w:kern w:val="2"/>
                      <w:sz w:val="21"/>
                      <w:szCs w:val="21"/>
                    </w:rPr>
                    <w:t>结论</w:t>
                  </w:r>
                </w:p>
              </w:tc>
              <w:tc>
                <w:tcPr>
                  <w:tcW w:w="1818"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环境影响</w:t>
                  </w:r>
                </w:p>
              </w:tc>
              <w:tc>
                <w:tcPr>
                  <w:tcW w:w="6490" w:type="dxa"/>
                  <w:gridSpan w:val="9"/>
                  <w:vAlign w:val="center"/>
                </w:tcPr>
                <w:p>
                  <w:pPr>
                    <w:snapToGrid w:val="0"/>
                    <w:jc w:val="center"/>
                    <w:rPr>
                      <w:rFonts w:ascii="Times New Roman" w:hAnsi="Times New Roman"/>
                      <w:kern w:val="2"/>
                      <w:sz w:val="21"/>
                      <w:szCs w:val="21"/>
                    </w:rPr>
                  </w:pPr>
                  <w:r>
                    <w:rPr>
                      <w:rFonts w:ascii="Times New Roman" w:hAnsi="Times New Roman"/>
                      <w:kern w:val="2"/>
                      <w:sz w:val="21"/>
                      <w:szCs w:val="21"/>
                    </w:rPr>
                    <w:t>可以接受</w:t>
                  </w:r>
                  <w:r>
                    <w:rPr>
                      <w:rFonts w:ascii="Times New Roman" w:hAnsi="Times New Roman"/>
                      <w:kern w:val="2"/>
                      <w:sz w:val="21"/>
                      <w:szCs w:val="21"/>
                    </w:rPr>
                    <w:sym w:font="Wingdings 2" w:char="F052"/>
                  </w:r>
                  <w:r>
                    <w:rPr>
                      <w:rFonts w:ascii="Times New Roman" w:hAnsi="Times New Roman"/>
                      <w:kern w:val="2"/>
                      <w:sz w:val="21"/>
                      <w:szCs w:val="21"/>
                    </w:rPr>
                    <w:t xml:space="preserve">             不可接受□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53" w:type="dxa"/>
                  <w:vMerge w:val="continue"/>
                  <w:vAlign w:val="center"/>
                </w:tcPr>
                <w:p>
                  <w:pPr>
                    <w:snapToGrid w:val="0"/>
                    <w:jc w:val="center"/>
                    <w:rPr>
                      <w:rFonts w:ascii="Times New Roman" w:hAnsi="Times New Roman"/>
                      <w:kern w:val="2"/>
                      <w:sz w:val="21"/>
                      <w:szCs w:val="21"/>
                    </w:rPr>
                  </w:pPr>
                </w:p>
              </w:tc>
              <w:tc>
                <w:tcPr>
                  <w:tcW w:w="1818"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大气环境防护距离</w:t>
                  </w:r>
                </w:p>
              </w:tc>
              <w:tc>
                <w:tcPr>
                  <w:tcW w:w="6490" w:type="dxa"/>
                  <w:gridSpan w:val="9"/>
                  <w:vAlign w:val="center"/>
                </w:tcPr>
                <w:p>
                  <w:pPr>
                    <w:snapToGrid w:val="0"/>
                    <w:jc w:val="center"/>
                    <w:rPr>
                      <w:rFonts w:ascii="Times New Roman" w:hAnsi="Times New Roman"/>
                      <w:kern w:val="2"/>
                      <w:sz w:val="21"/>
                      <w:szCs w:val="21"/>
                    </w:rPr>
                  </w:pPr>
                  <w:r>
                    <w:rPr>
                      <w:rFonts w:ascii="Times New Roman" w:hAnsi="Times New Roman"/>
                      <w:kern w:val="2"/>
                      <w:sz w:val="21"/>
                      <w:szCs w:val="21"/>
                    </w:rPr>
                    <w:t>距（）厂界最远（）m；二级评价，不计算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1153" w:type="dxa"/>
                  <w:vMerge w:val="continue"/>
                  <w:vAlign w:val="center"/>
                </w:tcPr>
                <w:p>
                  <w:pPr>
                    <w:snapToGrid w:val="0"/>
                    <w:jc w:val="center"/>
                    <w:rPr>
                      <w:rFonts w:ascii="Times New Roman" w:hAnsi="Times New Roman"/>
                      <w:kern w:val="2"/>
                      <w:sz w:val="21"/>
                      <w:szCs w:val="21"/>
                    </w:rPr>
                  </w:pPr>
                </w:p>
              </w:tc>
              <w:tc>
                <w:tcPr>
                  <w:tcW w:w="1818" w:type="dxa"/>
                  <w:vAlign w:val="center"/>
                </w:tcPr>
                <w:p>
                  <w:pPr>
                    <w:snapToGrid w:val="0"/>
                    <w:jc w:val="center"/>
                    <w:rPr>
                      <w:rFonts w:ascii="Times New Roman" w:hAnsi="Times New Roman"/>
                      <w:kern w:val="2"/>
                      <w:sz w:val="21"/>
                      <w:szCs w:val="21"/>
                    </w:rPr>
                  </w:pPr>
                  <w:r>
                    <w:rPr>
                      <w:rFonts w:ascii="Times New Roman" w:hAnsi="Times New Roman"/>
                      <w:kern w:val="2"/>
                      <w:sz w:val="21"/>
                      <w:szCs w:val="21"/>
                    </w:rPr>
                    <w:t>污染源</w:t>
                  </w:r>
                </w:p>
                <w:p>
                  <w:pPr>
                    <w:snapToGrid w:val="0"/>
                    <w:jc w:val="center"/>
                    <w:rPr>
                      <w:rFonts w:ascii="Times New Roman" w:hAnsi="Times New Roman"/>
                      <w:kern w:val="2"/>
                      <w:sz w:val="21"/>
                      <w:szCs w:val="21"/>
                    </w:rPr>
                  </w:pPr>
                  <w:r>
                    <w:rPr>
                      <w:rFonts w:ascii="Times New Roman" w:hAnsi="Times New Roman"/>
                      <w:kern w:val="2"/>
                      <w:sz w:val="21"/>
                      <w:szCs w:val="21"/>
                    </w:rPr>
                    <w:t>年排放量</w:t>
                  </w:r>
                </w:p>
              </w:tc>
              <w:tc>
                <w:tcPr>
                  <w:tcW w:w="6490" w:type="dxa"/>
                  <w:gridSpan w:val="9"/>
                  <w:vAlign w:val="center"/>
                </w:tcPr>
                <w:p>
                  <w:pPr>
                    <w:snapToGrid w:val="0"/>
                    <w:jc w:val="center"/>
                    <w:rPr>
                      <w:rFonts w:ascii="Times New Roman" w:hAnsi="Times New Roman"/>
                      <w:kern w:val="2"/>
                      <w:sz w:val="21"/>
                      <w:szCs w:val="21"/>
                    </w:rPr>
                  </w:pPr>
                  <w:r>
                    <w:rPr>
                      <w:rFonts w:ascii="Times New Roman" w:hAnsi="Times New Roman"/>
                      <w:kern w:val="2"/>
                      <w:sz w:val="21"/>
                      <w:szCs w:val="21"/>
                    </w:rPr>
                    <w:t>VOCs：（</w:t>
                  </w:r>
                  <w:r>
                    <w:rPr>
                      <w:rFonts w:hint="eastAsia" w:ascii="Times New Roman" w:hAnsi="Times New Roman"/>
                      <w:kern w:val="2"/>
                      <w:sz w:val="21"/>
                      <w:szCs w:val="21"/>
                    </w:rPr>
                    <w:t>0.19</w:t>
                  </w:r>
                  <w:r>
                    <w:rPr>
                      <w:rFonts w:ascii="Times New Roman" w:hAnsi="Times New Roman"/>
                      <w:kern w:val="2"/>
                      <w:sz w:val="21"/>
                      <w:szCs w:val="21"/>
                    </w:rPr>
                    <w:t>0</w:t>
                  </w:r>
                  <w:r>
                    <w:rPr>
                      <w:rFonts w:hint="eastAsia" w:ascii="Times New Roman" w:hAnsi="Times New Roman"/>
                      <w:kern w:val="2"/>
                      <w:sz w:val="21"/>
                      <w:szCs w:val="21"/>
                    </w:rPr>
                    <w:t>）</w:t>
                  </w:r>
                  <w:r>
                    <w:rPr>
                      <w:rFonts w:ascii="Times New Roman" w:hAnsi="Times New Roman"/>
                      <w:kern w:val="2"/>
                      <w:sz w:val="21"/>
                      <w:szCs w:val="21"/>
                    </w:rPr>
                    <w:t>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9461" w:type="dxa"/>
                  <w:gridSpan w:val="11"/>
                  <w:vAlign w:val="center"/>
                </w:tcPr>
                <w:p>
                  <w:pPr>
                    <w:snapToGrid w:val="0"/>
                    <w:jc w:val="center"/>
                    <w:rPr>
                      <w:rFonts w:ascii="Times New Roman" w:hAnsi="Times New Roman"/>
                      <w:kern w:val="2"/>
                      <w:sz w:val="21"/>
                      <w:szCs w:val="21"/>
                    </w:rPr>
                  </w:pPr>
                  <w:r>
                    <w:rPr>
                      <w:rFonts w:ascii="Times New Roman" w:hAnsi="Times New Roman"/>
                      <w:kern w:val="2"/>
                      <w:sz w:val="21"/>
                      <w:szCs w:val="21"/>
                    </w:rPr>
                    <w:t>注：“□”为勾选项，填“√”；“（    ）”为内容填写项</w:t>
                  </w:r>
                </w:p>
              </w:tc>
            </w:tr>
          </w:tbl>
          <w:p>
            <w:pPr>
              <w:pStyle w:val="41"/>
              <w:ind w:firstLine="480" w:firstLineChars="200"/>
            </w:pPr>
          </w:p>
          <w:p>
            <w:pPr>
              <w:pStyle w:val="15"/>
              <w:spacing w:after="0" w:line="360" w:lineRule="auto"/>
              <w:ind w:left="0" w:leftChars="0" w:firstLine="482" w:firstLineChars="200"/>
              <w:rPr>
                <w:rFonts w:ascii="Times New Roman" w:hAnsi="Times New Roman"/>
                <w:b/>
                <w:bCs/>
              </w:rPr>
            </w:pPr>
            <w:r>
              <w:rPr>
                <w:rFonts w:hint="eastAsia"/>
                <w:b/>
                <w:bCs/>
                <w:szCs w:val="24"/>
              </w:rPr>
              <w:t>（7）</w:t>
            </w:r>
            <w:r>
              <w:rPr>
                <w:rFonts w:ascii="Times New Roman" w:hAnsi="Times New Roman"/>
                <w:b/>
                <w:bCs/>
              </w:rPr>
              <w:t>项目废气处理措施可行性</w:t>
            </w:r>
          </w:p>
          <w:p>
            <w:pPr>
              <w:autoSpaceDE w:val="0"/>
              <w:autoSpaceDN w:val="0"/>
              <w:adjustRightInd w:val="0"/>
              <w:spacing w:line="360" w:lineRule="auto"/>
              <w:ind w:firstLine="482" w:firstLineChars="200"/>
            </w:pPr>
            <w:r>
              <w:rPr>
                <w:b/>
                <w:kern w:val="0"/>
              </w:rPr>
              <w:t>有机废气</w:t>
            </w:r>
            <w:r>
              <w:rPr>
                <w:rFonts w:hint="eastAsia"/>
                <w:b/>
                <w:kern w:val="0"/>
              </w:rPr>
              <w:t>去除</w:t>
            </w:r>
            <w:r>
              <w:rPr>
                <w:b/>
                <w:kern w:val="0"/>
              </w:rPr>
              <w:t>效率分析：</w:t>
            </w:r>
            <w:r>
              <w:t>有机废气的处理技术主要包括非破坏性（冷凝法、吸附法、吸收法）与破坏性（直燃式/触媒式焚化法、生物法、光催化法）处理技术二类。根据本项目的特点，本项目</w:t>
            </w:r>
            <w:r>
              <w:rPr>
                <w:rFonts w:hint="eastAsia"/>
              </w:rPr>
              <w:t>产生的有机废气经集气罩收集后，经活性炭吸附+催化燃烧装置处理后经15m 高排气筒排放</w:t>
            </w:r>
            <w:r>
              <w:t>。</w:t>
            </w:r>
          </w:p>
          <w:p>
            <w:pPr>
              <w:spacing w:line="360" w:lineRule="auto"/>
              <w:ind w:firstLine="480" w:firstLineChars="200"/>
              <w:jc w:val="left"/>
            </w:pPr>
            <w:r>
              <w:rPr>
                <w:rFonts w:hint="eastAsia"/>
              </w:rPr>
              <w:t>活性炭吸附+催化燃烧脱附装置原理：</w:t>
            </w:r>
            <w:r>
              <w:rPr>
                <w:rFonts w:hint="eastAsia" w:cs="宋体"/>
                <w:kern w:val="2"/>
                <w:szCs w:val="24"/>
              </w:rPr>
              <w:t>有机废气首先经过活性炭吸附箱，通过活性炭吸附废气中的有机成分使废气得以净化，净化的气体在离心风机作用下经15m排气筒排入大气。活性炭经吸附运行一段时间后达到饱和前，启动系统的脱附-催化燃烧过程，通过热气流将原来已经吸附在活性炭表面的有机溶剂脱附出来。脱附气体在脱附风机作用下先进入换热器进行换热，实现对余热的回收，换热后进入催化燃烧炉通过燃烧器加热对废气进一步升温（300℃），升温后的有机废气达到废气在催化剂（钯、铊等贵金属）作用下的起燃温度。废气进入催化燃烧床，在催化剂的作用下，经过催化燃烧反应转化生成CO</w:t>
            </w:r>
            <w:r>
              <w:rPr>
                <w:rFonts w:hint="eastAsia" w:cs="宋体"/>
                <w:kern w:val="2"/>
                <w:szCs w:val="24"/>
                <w:vertAlign w:val="subscript"/>
              </w:rPr>
              <w:t>2</w:t>
            </w:r>
            <w:r>
              <w:rPr>
                <w:rFonts w:hint="eastAsia" w:cs="宋体"/>
                <w:kern w:val="2"/>
                <w:szCs w:val="24"/>
              </w:rPr>
              <w:t>和水蒸气等无害物质，并放出热量，燃烧后的尾气一部分直接排到大气，大部分热气流被再次循环送往吸附床，用于对活性炭的脱附再生。这样既能满足燃烧和脱附所需热能，又能达到节能的目的，再生后的活性炭可用于下次吸附。当废气浓度达到一定程度时反应放热跟脱附加热达到平衡，系统在不外加热量的情况下完成脱附再生过程</w:t>
            </w:r>
            <w:r>
              <w:t>。</w:t>
            </w:r>
          </w:p>
          <w:p>
            <w:pPr>
              <w:spacing w:line="360" w:lineRule="auto"/>
              <w:ind w:firstLine="480" w:firstLineChars="200"/>
              <w:rPr>
                <w:rFonts w:cs="宋体"/>
                <w:szCs w:val="24"/>
              </w:rPr>
            </w:pPr>
            <w:r>
              <w:rPr>
                <w:rFonts w:hint="eastAsia" w:cs="宋体"/>
                <w:szCs w:val="24"/>
              </w:rPr>
              <w:t>项目活性炭吸附箱配套在线检测系统及压差显示器，</w:t>
            </w:r>
            <w:r>
              <w:rPr>
                <w:rFonts w:hint="eastAsia" w:cs="宋体"/>
                <w:bCs/>
                <w:szCs w:val="24"/>
              </w:rPr>
              <w:t>可随时查看设备运行状况，</w:t>
            </w:r>
            <w:r>
              <w:rPr>
                <w:rFonts w:hint="eastAsia" w:cs="宋体"/>
                <w:szCs w:val="24"/>
              </w:rPr>
              <w:t>随着吸附工况持续，积聚在活性炭颗粒上的有机废气分子将越积越多，相应就会增加设备的运行阻力，通过压差显示器监控吸附段的阻力变化，将吸附段阻力上限维持在1000~1200Pa范围内，当超过此限定范围，由自动控制器通过定阻发出指令，</w:t>
            </w:r>
            <w:r>
              <w:rPr>
                <w:rFonts w:hint="eastAsia" w:cs="宋体"/>
                <w:bCs/>
                <w:szCs w:val="24"/>
              </w:rPr>
              <w:t>启动催化燃烧装置</w:t>
            </w:r>
            <w:r>
              <w:rPr>
                <w:rFonts w:hint="eastAsia" w:cs="宋体"/>
                <w:szCs w:val="24"/>
              </w:rPr>
              <w:t>对活性炭脱附再生处理。</w:t>
            </w:r>
          </w:p>
          <w:p>
            <w:pPr>
              <w:spacing w:line="360" w:lineRule="auto"/>
              <w:ind w:firstLine="480" w:firstLineChars="200"/>
            </w:pPr>
            <w:r>
              <w:rPr>
                <w:rFonts w:hint="eastAsia" w:cs="宋体"/>
                <w:szCs w:val="24"/>
              </w:rPr>
              <w:t>活性炭吸附装置采用PLC控制方式，实时监测装置系统及活性炭饱和自动报警装置，用电脑或手机APP可随时得到设备运行情况。另外，采用PLC控制的方式，将生产设备的控制电源与污染防治设施的控制电源连成一体，并由生产设备的电源控制按钮同时控制生产设备、污染防治设施的开启、关闭</w:t>
            </w:r>
            <w:r>
              <w:rPr>
                <w:rFonts w:hint="eastAsia"/>
              </w:rPr>
              <w:t>。</w:t>
            </w:r>
          </w:p>
          <w:p>
            <w:pPr>
              <w:spacing w:line="360" w:lineRule="auto"/>
              <w:ind w:firstLine="480" w:firstLineChars="200"/>
              <w:rPr>
                <w:rFonts w:eastAsiaTheme="minorEastAsia"/>
                <w:szCs w:val="24"/>
              </w:rPr>
            </w:pPr>
            <w:r>
              <w:rPr>
                <w:rFonts w:ascii="Times New Roman" w:hAnsi="Times New Roman" w:eastAsiaTheme="minorEastAsia"/>
                <w:szCs w:val="24"/>
              </w:rPr>
              <w:t>项目</w:t>
            </w:r>
            <w:r>
              <w:rPr>
                <w:rFonts w:hint="eastAsia" w:eastAsiaTheme="minorEastAsia"/>
                <w:szCs w:val="24"/>
                <w:lang w:val="zh-CN"/>
              </w:rPr>
              <w:t>活性炭为蜂窝状活性炭箱，</w:t>
            </w:r>
            <w:r>
              <w:rPr>
                <w:rFonts w:hint="eastAsia" w:ascii="Times New Roman" w:hAnsi="Times New Roman"/>
                <w:bCs/>
                <w:szCs w:val="24"/>
              </w:rPr>
              <w:t>活性炭</w:t>
            </w:r>
            <w:r>
              <w:rPr>
                <w:rFonts w:hint="eastAsia"/>
                <w:bCs/>
                <w:szCs w:val="24"/>
              </w:rPr>
              <w:t>吸附处理装置</w:t>
            </w:r>
            <w:r>
              <w:rPr>
                <w:szCs w:val="24"/>
              </w:rPr>
              <w:t>配套压差显示器，随着吸附工况持续，积聚在活性炭颗粒上的有机废气分子将越积越多，相应就会增加设备的运行阻力，通过压差显示器监控吸附段的阻力变化，将吸附段阻力上限维持在1000~1200Pa范围内，当超过此限定范围，由自动控制器通过定阻发出指令，切断项目设备运行</w:t>
            </w:r>
            <w:r>
              <w:rPr>
                <w:rFonts w:hint="eastAsia"/>
              </w:rPr>
              <w:t>。</w:t>
            </w:r>
            <w:r>
              <w:rPr>
                <w:rFonts w:ascii="Times New Roman" w:hAnsi="Times New Roman" w:eastAsiaTheme="minorEastAsia"/>
                <w:szCs w:val="24"/>
              </w:rPr>
              <w:t>该系统设计</w:t>
            </w:r>
            <w:r>
              <w:rPr>
                <w:rFonts w:ascii="Times New Roman" w:hAnsi="Times New Roman" w:eastAsiaTheme="minorEastAsia"/>
                <w:kern w:val="2"/>
                <w:szCs w:val="24"/>
              </w:rPr>
              <w:t>活性炭</w:t>
            </w:r>
            <w:r>
              <w:rPr>
                <w:rFonts w:ascii="Times New Roman" w:hAnsi="Times New Roman" w:eastAsiaTheme="minorEastAsia"/>
                <w:szCs w:val="24"/>
              </w:rPr>
              <w:t>碘值不低于800毫克/克活性炭，并按设计要求足量添加</w:t>
            </w:r>
            <w:r>
              <w:rPr>
                <w:rFonts w:hint="eastAsia" w:ascii="Times New Roman" w:hAnsi="Times New Roman" w:eastAsiaTheme="minorEastAsia"/>
                <w:szCs w:val="24"/>
              </w:rPr>
              <w:t>。</w:t>
            </w:r>
          </w:p>
          <w:p>
            <w:pPr>
              <w:pStyle w:val="68"/>
              <w:ind w:firstLine="480"/>
              <w:rPr>
                <w:rFonts w:ascii="Times New Roman" w:hAnsi="Times New Roman"/>
                <w:szCs w:val="24"/>
              </w:rPr>
            </w:pPr>
            <w:r>
              <w:rPr>
                <w:rFonts w:ascii="Times New Roman" w:hAnsi="Times New Roman"/>
              </w:rPr>
              <w:t>为提高对有机气体的去除效率，按照《吸附法工业有机废气治理工程技术规范》，项目拟采用“</w:t>
            </w:r>
            <w:r>
              <w:rPr>
                <w:rFonts w:hint="eastAsia" w:ascii="Times New Roman" w:hAnsi="Times New Roman"/>
              </w:rPr>
              <w:t>活性炭吸附+催化燃烧脱附装置</w:t>
            </w:r>
            <w:r>
              <w:rPr>
                <w:rFonts w:ascii="Times New Roman" w:hAnsi="Times New Roman"/>
              </w:rPr>
              <w:t>”对产生的有机废气进行净化，</w:t>
            </w:r>
            <w:r>
              <w:rPr>
                <w:rFonts w:ascii="Times New Roman" w:hAnsi="Times New Roman"/>
                <w:bCs/>
              </w:rPr>
              <w:t>保证“</w:t>
            </w:r>
            <w:r>
              <w:rPr>
                <w:rFonts w:hint="eastAsia" w:ascii="Times New Roman" w:hAnsi="Times New Roman"/>
              </w:rPr>
              <w:t>活性炭吸附+催化燃烧脱附装置</w:t>
            </w:r>
            <w:r>
              <w:rPr>
                <w:rFonts w:ascii="Times New Roman" w:hAnsi="Times New Roman"/>
              </w:rPr>
              <w:t>”</w:t>
            </w:r>
            <w:r>
              <w:rPr>
                <w:rFonts w:ascii="Times New Roman" w:hAnsi="Times New Roman"/>
                <w:bCs/>
              </w:rPr>
              <w:t>效率能达到90%以上。</w:t>
            </w:r>
            <w:r>
              <w:rPr>
                <w:rFonts w:hint="eastAsia" w:ascii="Times New Roman" w:hAnsi="Times New Roman" w:eastAsiaTheme="minorEastAsia"/>
                <w:szCs w:val="24"/>
              </w:rPr>
              <w:t>满足</w:t>
            </w:r>
            <w:r>
              <w:rPr>
                <w:rFonts w:ascii="Times New Roman" w:hAnsi="Times New Roman" w:eastAsiaTheme="minorEastAsia"/>
                <w:szCs w:val="24"/>
              </w:rPr>
              <w:t>《重点行业挥发性有机物综合治理方案》的通知（环大气[2019]53号文）</w:t>
            </w:r>
            <w:r>
              <w:rPr>
                <w:rFonts w:hint="eastAsia" w:ascii="Times New Roman" w:hAnsi="Times New Roman" w:eastAsiaTheme="minorEastAsia"/>
                <w:szCs w:val="24"/>
              </w:rPr>
              <w:t>中</w:t>
            </w:r>
            <w:r>
              <w:rPr>
                <w:rFonts w:ascii="Times New Roman" w:hAnsi="Times New Roman" w:eastAsiaTheme="minorEastAsia"/>
                <w:szCs w:val="24"/>
              </w:rPr>
              <w:t>采用吸附处理工艺的，应满足《吸附法工业有机废气治理工程技术规范》（HJ2026-2013）要求，该技术规范要求“6.1.3 吸附装置的净化效率不得低于90%。”</w:t>
            </w:r>
            <w:r>
              <w:rPr>
                <w:rFonts w:hint="eastAsia" w:ascii="Times New Roman" w:hAnsi="Times New Roman" w:eastAsiaTheme="minorEastAsia"/>
                <w:szCs w:val="24"/>
              </w:rPr>
              <w:t>要求</w:t>
            </w:r>
            <w:r>
              <w:rPr>
                <w:rFonts w:hint="eastAsia"/>
              </w:rPr>
              <w:t>。</w:t>
            </w:r>
          </w:p>
          <w:p>
            <w:pPr>
              <w:pStyle w:val="15"/>
              <w:spacing w:after="0" w:line="360" w:lineRule="auto"/>
              <w:ind w:left="0" w:leftChars="0" w:firstLine="482" w:firstLineChars="200"/>
              <w:rPr>
                <w:rFonts w:ascii="Times New Roman" w:hAnsi="Times New Roman"/>
                <w:b/>
                <w:bCs/>
                <w:szCs w:val="24"/>
              </w:rPr>
            </w:pPr>
            <w:r>
              <w:rPr>
                <w:rFonts w:ascii="Times New Roman" w:hAnsi="Times New Roman"/>
                <w:b/>
                <w:bCs/>
                <w:szCs w:val="24"/>
              </w:rPr>
              <w:t>负压工作原理：</w:t>
            </w:r>
          </w:p>
          <w:p>
            <w:pPr>
              <w:pStyle w:val="15"/>
              <w:spacing w:after="0" w:line="360" w:lineRule="auto"/>
              <w:ind w:left="0" w:leftChars="0" w:firstLine="480" w:firstLineChars="200"/>
              <w:rPr>
                <w:rFonts w:ascii="Times New Roman" w:hAnsi="Times New Roman"/>
                <w:szCs w:val="24"/>
              </w:rPr>
            </w:pPr>
            <w:r>
              <w:rPr>
                <w:rFonts w:ascii="Times New Roman" w:hAnsi="Times New Roman"/>
                <w:szCs w:val="24"/>
              </w:rPr>
              <w:t>负压风机向外排出空气使室内气压下降，室内空气变稀薄，形成一个负压区，空气由于气压差补偿流入室内。在实际应用中，负压风机集中安装于厂房一侧，进气口于厂房另外一侧，空气由进出口到负压风机形成对流吹风。在这个过程中，靠近负压风机附近的门窗保持关闭，强迫空气由进气口一侧门窗补偿流入车间，空气排着队，有秩序的由进气口流入车间，从车间流过，由负压风机排出车间。</w:t>
            </w:r>
          </w:p>
          <w:p>
            <w:pPr>
              <w:pStyle w:val="32"/>
              <w:ind w:firstLine="480"/>
            </w:pPr>
            <w:r>
              <w:rPr>
                <w:color w:val="auto"/>
              </w:rPr>
              <w:t>综合上述分析内容，</w:t>
            </w:r>
            <w:r>
              <w:rPr>
                <w:rFonts w:hint="eastAsia"/>
                <w:color w:val="auto"/>
              </w:rPr>
              <w:t>项目</w:t>
            </w:r>
            <w:r>
              <w:rPr>
                <w:color w:val="auto"/>
              </w:rPr>
              <w:t>采取</w:t>
            </w:r>
            <w:r>
              <w:rPr>
                <w:rFonts w:hint="eastAsia"/>
                <w:color w:val="auto"/>
              </w:rPr>
              <w:t>的废气</w:t>
            </w:r>
            <w:r>
              <w:rPr>
                <w:color w:val="auto"/>
              </w:rPr>
              <w:t>处理方式可行</w:t>
            </w:r>
            <w:r>
              <w:t>。</w:t>
            </w:r>
          </w:p>
          <w:p>
            <w:pPr>
              <w:pStyle w:val="41"/>
              <w:ind w:firstLine="480" w:firstLineChars="200"/>
            </w:pPr>
            <w:r>
              <w:t>二、水环境影响分析</w:t>
            </w:r>
          </w:p>
          <w:p>
            <w:pPr>
              <w:spacing w:line="360" w:lineRule="auto"/>
              <w:ind w:firstLine="480" w:firstLineChars="200"/>
              <w:rPr>
                <w:rFonts w:ascii="Times New Roman" w:hAnsi="Times New Roman"/>
                <w:color w:val="000000"/>
                <w:kern w:val="2"/>
                <w:szCs w:val="24"/>
              </w:rPr>
            </w:pPr>
            <w:r>
              <w:rPr>
                <w:rFonts w:ascii="Times New Roman" w:hAnsi="Times New Roman"/>
                <w:color w:val="000000"/>
                <w:kern w:val="2"/>
                <w:szCs w:val="24"/>
              </w:rPr>
              <w:t>1、地下水环境影响分析</w:t>
            </w:r>
          </w:p>
          <w:p>
            <w:pPr>
              <w:spacing w:line="360" w:lineRule="auto"/>
              <w:ind w:firstLine="480" w:firstLineChars="200"/>
              <w:rPr>
                <w:rFonts w:ascii="Times New Roman" w:hAnsi="Times New Roman"/>
                <w:color w:val="000000"/>
                <w:kern w:val="0"/>
              </w:rPr>
            </w:pPr>
            <w:r>
              <w:rPr>
                <w:rFonts w:ascii="Times New Roman" w:hAnsi="Times New Roman"/>
                <w:color w:val="000000"/>
                <w:kern w:val="0"/>
              </w:rPr>
              <w:t>根据《环境影响评价技术导则</w:t>
            </w:r>
            <w:r>
              <w:rPr>
                <w:rFonts w:hint="eastAsia" w:ascii="Times New Roman" w:hAnsi="Times New Roman"/>
                <w:color w:val="000000"/>
                <w:kern w:val="0"/>
              </w:rPr>
              <w:t xml:space="preserve"> </w:t>
            </w:r>
            <w:r>
              <w:rPr>
                <w:rFonts w:ascii="Times New Roman" w:hAnsi="Times New Roman"/>
                <w:color w:val="000000"/>
                <w:kern w:val="0"/>
              </w:rPr>
              <w:t>地下水环境》（HJ 610-2016）</w:t>
            </w:r>
            <w:r>
              <w:rPr>
                <w:rFonts w:hint="eastAsia" w:ascii="Times New Roman" w:hAnsi="Times New Roman"/>
                <w:color w:val="000000"/>
                <w:kern w:val="0"/>
              </w:rPr>
              <w:t>，项目属于“</w:t>
            </w:r>
            <w:r>
              <w:rPr>
                <w:rFonts w:ascii="Times New Roman" w:hAnsi="Times New Roman"/>
                <w:color w:val="000000"/>
                <w:kern w:val="0"/>
              </w:rPr>
              <w:t>114</w:t>
            </w:r>
            <w:r>
              <w:rPr>
                <w:rFonts w:hint="eastAsia" w:ascii="Times New Roman" w:hAnsi="Times New Roman"/>
                <w:color w:val="000000"/>
                <w:kern w:val="0"/>
              </w:rPr>
              <w:t>、印刷、文教、体育、娱乐用品制造；磁性材料制品行业的环境影响评价报告表，地下水环境影响评价项目类别为IV类，IV类项目不开展地下水环境影响评价，因此，本项目不进行地下水环境影响评价。</w:t>
            </w:r>
          </w:p>
          <w:p>
            <w:pPr>
              <w:pStyle w:val="41"/>
              <w:ind w:firstLine="480" w:firstLineChars="200"/>
              <w:rPr>
                <w:rFonts w:ascii="宋体" w:hAnsi="宋体" w:eastAsia="宋体"/>
              </w:rPr>
            </w:pPr>
            <w:r>
              <w:rPr>
                <w:rFonts w:ascii="宋体" w:hAnsi="宋体" w:eastAsia="宋体"/>
              </w:rPr>
              <w:t>2</w:t>
            </w:r>
            <w:r>
              <w:rPr>
                <w:rFonts w:hint="eastAsia" w:ascii="宋体" w:hAnsi="宋体" w:eastAsia="宋体"/>
              </w:rPr>
              <w:t>、地表水环境影响分析</w:t>
            </w:r>
          </w:p>
          <w:p>
            <w:pPr>
              <w:pStyle w:val="41"/>
              <w:ind w:firstLine="480" w:firstLineChars="200"/>
              <w:rPr>
                <w:rFonts w:ascii="宋体" w:hAnsi="宋体" w:eastAsia="宋体"/>
              </w:rPr>
            </w:pPr>
            <w:r>
              <w:rPr>
                <w:rFonts w:eastAsia="宋体"/>
                <w:bCs w:val="0"/>
                <w:kern w:val="36"/>
                <w:szCs w:val="24"/>
              </w:rPr>
              <w:t>本项目建成后，生活污水</w:t>
            </w:r>
            <w:r>
              <w:rPr>
                <w:rFonts w:hint="eastAsia" w:eastAsia="宋体"/>
                <w:bCs w:val="0"/>
                <w:kern w:val="36"/>
                <w:szCs w:val="24"/>
              </w:rPr>
              <w:t>通过市政污水管网</w:t>
            </w:r>
            <w:r>
              <w:rPr>
                <w:rFonts w:eastAsia="宋体"/>
                <w:bCs w:val="0"/>
                <w:kern w:val="36"/>
                <w:szCs w:val="24"/>
              </w:rPr>
              <w:t>排入</w:t>
            </w:r>
            <w:r>
              <w:rPr>
                <w:rFonts w:hint="eastAsia" w:eastAsia="宋体"/>
                <w:bCs w:val="0"/>
                <w:kern w:val="36"/>
                <w:szCs w:val="24"/>
              </w:rPr>
              <w:t>威海水务集团有限公司崮山污水处理厂</w:t>
            </w:r>
            <w:r>
              <w:rPr>
                <w:rFonts w:eastAsia="宋体"/>
                <w:bCs w:val="0"/>
                <w:kern w:val="36"/>
                <w:szCs w:val="24"/>
              </w:rPr>
              <w:t>处理后排放，为间接排放，对照水污染型建设项目评价等级判定标准可知，本项目为评价等级为三级B。</w:t>
            </w:r>
          </w:p>
          <w:p>
            <w:pPr>
              <w:pStyle w:val="41"/>
              <w:ind w:firstLine="480" w:firstLineChars="200"/>
              <w:rPr>
                <w:rFonts w:ascii="宋体" w:hAnsi="宋体" w:eastAsia="宋体"/>
              </w:rPr>
            </w:pPr>
            <w:r>
              <w:rPr>
                <w:rFonts w:hint="eastAsia" w:ascii="宋体" w:hAnsi="宋体" w:eastAsia="宋体"/>
              </w:rPr>
              <w:t>（</w:t>
            </w:r>
            <w:r>
              <w:rPr>
                <w:rFonts w:ascii="宋体" w:hAnsi="宋体" w:eastAsia="宋体"/>
              </w:rPr>
              <w:t>1</w:t>
            </w:r>
            <w:r>
              <w:rPr>
                <w:rFonts w:hint="eastAsia" w:ascii="宋体" w:hAnsi="宋体" w:eastAsia="宋体"/>
              </w:rPr>
              <w:t>）治理设施及影响分析</w:t>
            </w:r>
          </w:p>
          <w:p>
            <w:pPr>
              <w:spacing w:line="360" w:lineRule="auto"/>
              <w:ind w:firstLine="480" w:firstLineChars="200"/>
              <w:rPr>
                <w:rFonts w:ascii="Times New Roman" w:hAnsi="Times New Roman"/>
                <w:szCs w:val="24"/>
              </w:rPr>
            </w:pPr>
            <w:r>
              <w:rPr>
                <w:rFonts w:hint="eastAsia" w:ascii="Times New Roman" w:hAnsi="Times New Roman"/>
              </w:rPr>
              <w:t>项目无生产废水产排，本项目生活用水量为</w:t>
            </w:r>
            <w:r>
              <w:rPr>
                <w:rFonts w:ascii="Times New Roman" w:hAnsi="Times New Roman"/>
              </w:rPr>
              <w:t>150t/a，</w:t>
            </w:r>
            <w:r>
              <w:rPr>
                <w:rFonts w:hint="eastAsia" w:ascii="Times New Roman" w:hAnsi="Times New Roman"/>
              </w:rPr>
              <w:t>生活污水按</w:t>
            </w:r>
            <w:r>
              <w:rPr>
                <w:rFonts w:ascii="Times New Roman" w:hAnsi="Times New Roman"/>
              </w:rPr>
              <w:t>生活用水总量为的80%计算，则项目生活污水产生量为120t/a，主要污染物COD和NH</w:t>
            </w:r>
            <w:r>
              <w:rPr>
                <w:rFonts w:ascii="Times New Roman" w:hAnsi="Times New Roman"/>
                <w:vertAlign w:val="subscript"/>
              </w:rPr>
              <w:t>3</w:t>
            </w:r>
            <w:r>
              <w:rPr>
                <w:rFonts w:ascii="Times New Roman" w:hAnsi="Times New Roman"/>
              </w:rPr>
              <w:t>-N经化粪池处理后，</w:t>
            </w:r>
            <w:r>
              <w:rPr>
                <w:rFonts w:hint="eastAsia" w:ascii="Times New Roman" w:hAnsi="Times New Roman"/>
              </w:rPr>
              <w:t>C</w:t>
            </w:r>
            <w:r>
              <w:rPr>
                <w:rFonts w:ascii="Times New Roman" w:hAnsi="Times New Roman"/>
              </w:rPr>
              <w:t>OD</w:t>
            </w:r>
            <w:r>
              <w:rPr>
                <w:rFonts w:hint="eastAsia" w:ascii="Times New Roman" w:hAnsi="Times New Roman"/>
              </w:rPr>
              <w:t>≤</w:t>
            </w:r>
            <w:r>
              <w:rPr>
                <w:rFonts w:ascii="Times New Roman" w:hAnsi="Times New Roman"/>
              </w:rPr>
              <w:t>500mg/L</w:t>
            </w:r>
            <w:r>
              <w:rPr>
                <w:rFonts w:hint="eastAsia" w:ascii="Times New Roman" w:hAnsi="Times New Roman"/>
              </w:rPr>
              <w:t>，</w:t>
            </w:r>
            <w:r>
              <w:rPr>
                <w:rFonts w:ascii="Times New Roman" w:hAnsi="Times New Roman"/>
              </w:rPr>
              <w:t>NH</w:t>
            </w:r>
            <w:r>
              <w:rPr>
                <w:rFonts w:ascii="Times New Roman" w:hAnsi="Times New Roman"/>
                <w:vertAlign w:val="subscript"/>
              </w:rPr>
              <w:t>3</w:t>
            </w:r>
            <w:r>
              <w:rPr>
                <w:rFonts w:ascii="Times New Roman" w:hAnsi="Times New Roman"/>
              </w:rPr>
              <w:t>-N</w:t>
            </w:r>
            <w:r>
              <w:rPr>
                <w:rFonts w:hint="eastAsia" w:ascii="Times New Roman" w:hAnsi="Times New Roman"/>
              </w:rPr>
              <w:t>≤</w:t>
            </w:r>
            <w:r>
              <w:rPr>
                <w:rFonts w:ascii="Times New Roman" w:hAnsi="Times New Roman"/>
              </w:rPr>
              <w:t>45mg/L，</w:t>
            </w:r>
            <w:r>
              <w:rPr>
                <w:rFonts w:ascii="Times New Roman" w:hAnsi="Times New Roman"/>
                <w:szCs w:val="24"/>
              </w:rPr>
              <w:t>能够达到</w:t>
            </w:r>
            <w:r>
              <w:rPr>
                <w:rFonts w:hint="eastAsia" w:ascii="Times New Roman" w:hAnsi="Times New Roman"/>
              </w:rPr>
              <w:t>《污水排入城镇下水道水质标准》（</w:t>
            </w:r>
            <w:r>
              <w:rPr>
                <w:rFonts w:ascii="Times New Roman" w:hAnsi="Times New Roman"/>
              </w:rPr>
              <w:t>GB/T31962-2015）</w:t>
            </w:r>
            <w:r>
              <w:rPr>
                <w:rFonts w:ascii="Times New Roman" w:hAnsi="Times New Roman"/>
                <w:szCs w:val="24"/>
              </w:rPr>
              <w:t>B等级标准</w:t>
            </w:r>
            <w:r>
              <w:rPr>
                <w:rFonts w:ascii="Times New Roman" w:hAnsi="Times New Roman"/>
              </w:rPr>
              <w:t>(COD≤500mg/L、</w:t>
            </w:r>
            <w:r>
              <w:rPr>
                <w:rFonts w:ascii="Times New Roman" w:hAnsi="Times New Roman"/>
                <w:szCs w:val="24"/>
              </w:rPr>
              <w:t>NH</w:t>
            </w:r>
            <w:r>
              <w:rPr>
                <w:rFonts w:ascii="Times New Roman" w:hAnsi="Times New Roman"/>
                <w:szCs w:val="24"/>
                <w:vertAlign w:val="subscript"/>
              </w:rPr>
              <w:t>3</w:t>
            </w:r>
            <w:r>
              <w:rPr>
                <w:rFonts w:ascii="Times New Roman" w:hAnsi="Times New Roman"/>
                <w:szCs w:val="24"/>
              </w:rPr>
              <w:t>-tN</w:t>
            </w:r>
            <w:r>
              <w:rPr>
                <w:rFonts w:ascii="Times New Roman" w:hAnsi="Times New Roman"/>
              </w:rPr>
              <w:t>≤45mg/L)</w:t>
            </w:r>
            <w:r>
              <w:rPr>
                <w:rFonts w:ascii="Times New Roman" w:hAnsi="Times New Roman"/>
                <w:szCs w:val="24"/>
              </w:rPr>
              <w:t>要求</w:t>
            </w:r>
            <w:r>
              <w:rPr>
                <w:rFonts w:hint="eastAsia" w:ascii="Times New Roman" w:hAnsi="Times New Roman"/>
                <w:szCs w:val="24"/>
              </w:rPr>
              <w:t>，</w:t>
            </w:r>
            <w:r>
              <w:rPr>
                <w:rFonts w:ascii="Times New Roman" w:hAnsi="Times New Roman"/>
              </w:rPr>
              <w:t>COD和NH</w:t>
            </w:r>
            <w:r>
              <w:rPr>
                <w:rFonts w:ascii="Times New Roman" w:hAnsi="Times New Roman"/>
                <w:vertAlign w:val="subscript"/>
              </w:rPr>
              <w:t>3</w:t>
            </w:r>
            <w:r>
              <w:rPr>
                <w:rFonts w:ascii="Times New Roman" w:hAnsi="Times New Roman"/>
              </w:rPr>
              <w:t>-N</w:t>
            </w:r>
            <w:r>
              <w:rPr>
                <w:rFonts w:hint="eastAsia" w:ascii="Times New Roman" w:hAnsi="Times New Roman"/>
              </w:rPr>
              <w:t>的产生量分别为</w:t>
            </w:r>
            <w:r>
              <w:rPr>
                <w:rFonts w:ascii="Times New Roman" w:hAnsi="Times New Roman"/>
              </w:rPr>
              <w:t>0.06t/a，0.005t/a</w:t>
            </w:r>
            <w:r>
              <w:rPr>
                <w:rFonts w:hint="eastAsia" w:ascii="Times New Roman" w:hAnsi="Times New Roman"/>
                <w:szCs w:val="24"/>
              </w:rPr>
              <w:t>。</w:t>
            </w:r>
            <w:r>
              <w:rPr>
                <w:rFonts w:hint="eastAsia" w:ascii="Times New Roman" w:hAnsi="Times New Roman"/>
              </w:rPr>
              <w:t>生活污水</w:t>
            </w:r>
            <w:r>
              <w:rPr>
                <w:rFonts w:hint="eastAsia"/>
                <w:kern w:val="2"/>
                <w:szCs w:val="24"/>
              </w:rPr>
              <w:t>排入市政污水管网进入威海水务集团有限公司崮山污水处理厂进一步处理</w:t>
            </w:r>
            <w:r>
              <w:rPr>
                <w:rFonts w:hint="eastAsia" w:ascii="Times New Roman" w:hAnsi="Times New Roman"/>
                <w:szCs w:val="24"/>
              </w:rPr>
              <w:t>，</w:t>
            </w:r>
            <w:r>
              <w:rPr>
                <w:rFonts w:ascii="Times New Roman" w:hAnsi="Times New Roman"/>
                <w:szCs w:val="24"/>
              </w:rPr>
              <w:t>达标排海。</w:t>
            </w:r>
          </w:p>
          <w:p>
            <w:pPr>
              <w:spacing w:line="360" w:lineRule="auto"/>
              <w:ind w:firstLine="480" w:firstLineChars="200"/>
              <w:rPr>
                <w:rFonts w:ascii="Times New Roman" w:hAnsi="Times New Roman"/>
                <w:szCs w:val="24"/>
              </w:rPr>
            </w:pPr>
            <w:r>
              <w:rPr>
                <w:rFonts w:hint="eastAsia" w:ascii="Times New Roman" w:hAnsi="Times New Roman"/>
                <w:szCs w:val="24"/>
              </w:rPr>
              <w:t>（2）</w:t>
            </w:r>
            <w:r>
              <w:rPr>
                <w:rFonts w:ascii="Times New Roman" w:hAnsi="Times New Roman"/>
                <w:szCs w:val="24"/>
              </w:rPr>
              <w:t>项目排水进入</w:t>
            </w:r>
            <w:r>
              <w:rPr>
                <w:rFonts w:hint="eastAsia" w:ascii="Times New Roman" w:hAnsi="Times New Roman"/>
                <w:szCs w:val="24"/>
              </w:rPr>
              <w:t>崮山污水处理厂</w:t>
            </w:r>
            <w:r>
              <w:rPr>
                <w:rFonts w:ascii="Times New Roman" w:hAnsi="Times New Roman"/>
                <w:szCs w:val="24"/>
              </w:rPr>
              <w:t>的可行性分析</w:t>
            </w:r>
          </w:p>
          <w:p>
            <w:pPr>
              <w:tabs>
                <w:tab w:val="left" w:pos="2894"/>
              </w:tabs>
              <w:spacing w:line="360" w:lineRule="auto"/>
              <w:ind w:firstLine="480" w:firstLineChars="200"/>
            </w:pPr>
            <w:r>
              <w:rPr>
                <w:rFonts w:ascii="Times New Roman" w:hAnsi="Times New Roman"/>
              </w:rPr>
              <w:t>威海市崮山污水处理厂位于崮山镇皂埠河下游南侧，占地面积 2 hm</w:t>
            </w:r>
            <w:r>
              <w:rPr>
                <w:rFonts w:ascii="Times New Roman" w:hAnsi="Times New Roman"/>
                <w:vertAlign w:val="superscript"/>
              </w:rPr>
              <w:t>2</w:t>
            </w:r>
            <w:r>
              <w:rPr>
                <w:rFonts w:ascii="Times New Roman" w:hAnsi="Times New Roman"/>
              </w:rPr>
              <w:t>，2012 年 12 月建成运转，总设计规模为 2.0×10</w:t>
            </w:r>
            <w:r>
              <w:rPr>
                <w:rFonts w:ascii="Times New Roman" w:hAnsi="Times New Roman"/>
                <w:vertAlign w:val="superscript"/>
              </w:rPr>
              <w:t>4</w:t>
            </w:r>
            <w:r>
              <w:rPr>
                <w:rFonts w:ascii="Times New Roman" w:hAnsi="Times New Roman"/>
              </w:rPr>
              <w:t xml:space="preserve"> m</w:t>
            </w:r>
            <w:r>
              <w:rPr>
                <w:rFonts w:ascii="Times New Roman" w:hAnsi="Times New Roman"/>
                <w:vertAlign w:val="superscript"/>
              </w:rPr>
              <w:t xml:space="preserve"> 3</w:t>
            </w:r>
            <w:r>
              <w:rPr>
                <w:rFonts w:ascii="Times New Roman" w:hAnsi="Times New Roman"/>
              </w:rPr>
              <w:t>/d。服务范围包括崮山镇城镇及相关区域。主体工艺：A/A/O 工艺。服务范围内污水经处理后满足《城镇污水处理厂污染 物排放标准》（GB 18918-2002）一级 A 标准后，由泵站加压送至百尺所北侧经威 海经区污水处理厂深海排污管道深海排放（位于威海市区东南距陆地 927 m、水深 21 m 的天乐湾海域）</w:t>
            </w:r>
            <w:r>
              <w:t>。</w:t>
            </w:r>
            <w:r>
              <w:rPr>
                <w:rFonts w:hint="eastAsia"/>
                <w:szCs w:val="24"/>
              </w:rPr>
              <w:t>根据</w:t>
            </w:r>
            <w:r>
              <w:t>威海水务</w:t>
            </w:r>
            <w:r>
              <w:rPr>
                <w:rFonts w:hint="eastAsia"/>
              </w:rPr>
              <w:t>投资有限责任</w:t>
            </w:r>
            <w:r>
              <w:t>公司</w:t>
            </w:r>
            <w:r>
              <w:rPr>
                <w:rFonts w:hint="eastAsia"/>
                <w:szCs w:val="24"/>
              </w:rPr>
              <w:t>核发的排污许可证（证书编号91372000080896598M004R），崮山污水处理厂</w:t>
            </w:r>
            <w:r>
              <w:rPr>
                <w:szCs w:val="24"/>
              </w:rPr>
              <w:t>COD、氨氮</w:t>
            </w:r>
            <w:r>
              <w:rPr>
                <w:rFonts w:hint="eastAsia"/>
                <w:szCs w:val="24"/>
              </w:rPr>
              <w:t>许可年排放量</w:t>
            </w:r>
            <w:r>
              <w:rPr>
                <w:szCs w:val="24"/>
              </w:rPr>
              <w:t>分别为</w:t>
            </w:r>
            <w:r>
              <w:rPr>
                <w:rFonts w:hint="eastAsia"/>
                <w:szCs w:val="24"/>
              </w:rPr>
              <w:t>365</w:t>
            </w:r>
            <w:r>
              <w:rPr>
                <w:szCs w:val="24"/>
              </w:rPr>
              <w:t xml:space="preserve"> t</w:t>
            </w:r>
            <w:r>
              <w:rPr>
                <w:rFonts w:hint="eastAsia"/>
                <w:szCs w:val="24"/>
              </w:rPr>
              <w:t>/a</w:t>
            </w:r>
            <w:r>
              <w:rPr>
                <w:szCs w:val="24"/>
              </w:rPr>
              <w:t>、</w:t>
            </w:r>
            <w:r>
              <w:rPr>
                <w:rFonts w:hint="eastAsia"/>
                <w:szCs w:val="24"/>
              </w:rPr>
              <w:t>45.625</w:t>
            </w:r>
            <w:r>
              <w:rPr>
                <w:szCs w:val="24"/>
              </w:rPr>
              <w:t xml:space="preserve"> t</w:t>
            </w:r>
            <w:r>
              <w:rPr>
                <w:rFonts w:hint="eastAsia"/>
                <w:szCs w:val="24"/>
              </w:rPr>
              <w:t>/a。崮山污水处理厂位于经济技术开发区崮山路东，主要负责崮山、桥头及泊于区域内工业废水和生活污水的处理。崮山污水处理厂总建设规模 4万 t/d，其中一期 1 万 t/d，已于 2013 年 3 月投入运行。目前，实际处理水量约为 3000t/d，排放 COD54.75t/a，氨氮 6.8t/a。“十三五”期间，威海市政府分配给崮山污水处理厂的总量指标为 COD182.5t/a，氨氮 22.8t/a（按每年夏季 7 个月，冬季 5 个月计算），因此，仍有一定的废水处理余量和污染物总量控制余量。本项目污水排放量约 0.4t/d，占污水处理厂可纳污空间很小，且项目排水指标浓度满足污水处理厂设计进水指标，因此不会对污水处理厂的运行负荷造成冲击。因此，崮山污水处理厂完全有能力接纳并处理项目废水，并使项目废水得到充分处理，项目废水治理排放方案合理可行</w:t>
            </w:r>
            <w:r>
              <w:t>。</w:t>
            </w:r>
          </w:p>
          <w:p>
            <w:pPr>
              <w:pStyle w:val="32"/>
              <w:ind w:firstLine="480"/>
              <w:rPr>
                <w:color w:val="auto"/>
              </w:rPr>
            </w:pPr>
            <w:r>
              <w:rPr>
                <w:color w:val="auto"/>
              </w:rPr>
              <w:t>经过污水处理厂集中处理后，污染物排海量很小，对海水环境影响很小；对地下水的影响方式主要为排污管道沿途下渗，项目在确保排水系统与污水主管网对接的前提下，并有效防止“跑、冒、滴、漏”现象的发生，项目废水对地下水环境影响很小。</w:t>
            </w:r>
          </w:p>
          <w:p>
            <w:pPr>
              <w:tabs>
                <w:tab w:val="left" w:pos="5292"/>
              </w:tabs>
              <w:spacing w:line="360" w:lineRule="auto"/>
              <w:ind w:firstLine="480" w:firstLineChars="200"/>
              <w:rPr>
                <w:rFonts w:ascii="Times New Roman" w:hAnsi="Times New Roman"/>
                <w:color w:val="000000"/>
                <w:kern w:val="2"/>
                <w:szCs w:val="24"/>
              </w:rPr>
            </w:pPr>
            <w:r>
              <w:rPr>
                <w:rFonts w:ascii="Times New Roman" w:hAnsi="Times New Roman"/>
                <w:color w:val="000000"/>
                <w:kern w:val="2"/>
                <w:szCs w:val="24"/>
              </w:rPr>
              <w:t>（3）建设项目污染物排放信息</w:t>
            </w:r>
          </w:p>
          <w:p>
            <w:pPr>
              <w:spacing w:line="360" w:lineRule="auto"/>
              <w:ind w:firstLine="480" w:firstLineChars="200"/>
              <w:rPr>
                <w:rFonts w:ascii="Times New Roman" w:hAnsi="Times New Roman"/>
                <w:color w:val="000000"/>
                <w:kern w:val="2"/>
                <w:szCs w:val="24"/>
              </w:rPr>
            </w:pPr>
            <w:r>
              <w:rPr>
                <w:rFonts w:ascii="Times New Roman" w:hAnsi="Times New Roman"/>
                <w:color w:val="000000"/>
                <w:kern w:val="2"/>
                <w:szCs w:val="24"/>
              </w:rPr>
              <w:t>根据《环境影响评价技术导则-地表水环境》（HJ2.3-2018）本项目为水污染影响型，根据水污染影响型建设项目评价等级判定标准，具体如下：</w:t>
            </w:r>
          </w:p>
          <w:p>
            <w:pPr>
              <w:tabs>
                <w:tab w:val="left" w:pos="1372"/>
                <w:tab w:val="center" w:pos="4394"/>
              </w:tabs>
              <w:snapToGrid w:val="0"/>
              <w:jc w:val="center"/>
              <w:rPr>
                <w:rFonts w:ascii="Times New Roman" w:hAnsi="Times New Roman" w:eastAsia="黑体"/>
                <w:szCs w:val="24"/>
              </w:rPr>
            </w:pPr>
            <w:r>
              <w:rPr>
                <w:rFonts w:ascii="Times New Roman" w:hAnsi="Times New Roman" w:eastAsia="黑体"/>
                <w:szCs w:val="24"/>
              </w:rPr>
              <w:t>表</w:t>
            </w:r>
            <w:r>
              <w:rPr>
                <w:rFonts w:hint="eastAsia" w:ascii="Times New Roman" w:hAnsi="Times New Roman" w:eastAsia="黑体"/>
                <w:szCs w:val="24"/>
              </w:rPr>
              <w:t>29</w:t>
            </w:r>
            <w:r>
              <w:rPr>
                <w:rFonts w:ascii="Times New Roman" w:hAnsi="Times New Roman" w:eastAsia="黑体"/>
                <w:szCs w:val="24"/>
              </w:rPr>
              <w:t xml:space="preserve"> 水污染型建设项目评价等级判定地表水等级判定</w:t>
            </w:r>
          </w:p>
          <w:tbl>
            <w:tblPr>
              <w:tblStyle w:val="30"/>
              <w:tblW w:w="9455"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2690"/>
              <w:gridCol w:w="2104"/>
              <w:gridCol w:w="46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Ex>
              <w:trPr>
                <w:trHeight w:val="242" w:hRule="atLeast"/>
              </w:trPr>
              <w:tc>
                <w:tcPr>
                  <w:tcW w:w="2690" w:type="dxa"/>
                  <w:vMerge w:val="restart"/>
                  <w:tcMar>
                    <w:top w:w="72" w:type="dxa"/>
                    <w:left w:w="144" w:type="dxa"/>
                    <w:bottom w:w="72" w:type="dxa"/>
                    <w:right w:w="144" w:type="dxa"/>
                  </w:tcMar>
                  <w:vAlign w:val="center"/>
                </w:tcPr>
                <w:p>
                  <w:pPr>
                    <w:autoSpaceDE w:val="0"/>
                    <w:autoSpaceDN w:val="0"/>
                    <w:adjustRightInd w:val="0"/>
                    <w:jc w:val="center"/>
                    <w:rPr>
                      <w:rFonts w:ascii="Times New Roman" w:hAnsi="Times New Roman"/>
                      <w:color w:val="000000"/>
                      <w:kern w:val="2"/>
                      <w:sz w:val="21"/>
                      <w:szCs w:val="21"/>
                    </w:rPr>
                  </w:pPr>
                  <w:r>
                    <w:rPr>
                      <w:rFonts w:ascii="Times New Roman" w:hAnsi="Times New Roman"/>
                      <w:color w:val="000000"/>
                      <w:kern w:val="2"/>
                      <w:sz w:val="21"/>
                      <w:szCs w:val="21"/>
                    </w:rPr>
                    <w:t>评价等级</w:t>
                  </w:r>
                </w:p>
              </w:tc>
              <w:tc>
                <w:tcPr>
                  <w:tcW w:w="6765" w:type="dxa"/>
                  <w:gridSpan w:val="2"/>
                  <w:tcMar>
                    <w:top w:w="72" w:type="dxa"/>
                    <w:left w:w="144" w:type="dxa"/>
                    <w:bottom w:w="72" w:type="dxa"/>
                    <w:right w:w="144" w:type="dxa"/>
                  </w:tcMar>
                  <w:vAlign w:val="center"/>
                </w:tcPr>
                <w:p>
                  <w:pPr>
                    <w:autoSpaceDE w:val="0"/>
                    <w:autoSpaceDN w:val="0"/>
                    <w:adjustRightInd w:val="0"/>
                    <w:jc w:val="center"/>
                    <w:rPr>
                      <w:rFonts w:ascii="Times New Roman" w:hAnsi="Times New Roman"/>
                      <w:color w:val="000000"/>
                      <w:kern w:val="2"/>
                      <w:sz w:val="21"/>
                      <w:szCs w:val="21"/>
                    </w:rPr>
                  </w:pPr>
                  <w:r>
                    <w:rPr>
                      <w:rFonts w:ascii="Times New Roman" w:hAnsi="Times New Roman"/>
                      <w:color w:val="000000"/>
                      <w:kern w:val="2"/>
                      <w:sz w:val="21"/>
                      <w:szCs w:val="21"/>
                    </w:rPr>
                    <w:t>判定依据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Ex>
              <w:trPr>
                <w:trHeight w:val="336" w:hRule="atLeast"/>
              </w:trPr>
              <w:tc>
                <w:tcPr>
                  <w:tcW w:w="2690" w:type="dxa"/>
                  <w:vMerge w:val="continue"/>
                  <w:vAlign w:val="center"/>
                </w:tcPr>
                <w:p>
                  <w:pPr>
                    <w:autoSpaceDE w:val="0"/>
                    <w:autoSpaceDN w:val="0"/>
                    <w:adjustRightInd w:val="0"/>
                    <w:jc w:val="center"/>
                    <w:rPr>
                      <w:rFonts w:ascii="Times New Roman" w:hAnsi="Times New Roman"/>
                      <w:color w:val="000000"/>
                      <w:kern w:val="2"/>
                      <w:sz w:val="21"/>
                      <w:szCs w:val="21"/>
                    </w:rPr>
                  </w:pPr>
                </w:p>
              </w:tc>
              <w:tc>
                <w:tcPr>
                  <w:tcW w:w="2104" w:type="dxa"/>
                  <w:tcMar>
                    <w:top w:w="72" w:type="dxa"/>
                    <w:left w:w="144" w:type="dxa"/>
                    <w:bottom w:w="72" w:type="dxa"/>
                    <w:right w:w="144" w:type="dxa"/>
                  </w:tcMar>
                  <w:vAlign w:val="center"/>
                </w:tcPr>
                <w:p>
                  <w:pPr>
                    <w:autoSpaceDE w:val="0"/>
                    <w:autoSpaceDN w:val="0"/>
                    <w:adjustRightInd w:val="0"/>
                    <w:jc w:val="center"/>
                    <w:rPr>
                      <w:rFonts w:ascii="Times New Roman" w:hAnsi="Times New Roman"/>
                      <w:color w:val="000000"/>
                      <w:kern w:val="2"/>
                      <w:sz w:val="21"/>
                      <w:szCs w:val="21"/>
                    </w:rPr>
                  </w:pPr>
                  <w:r>
                    <w:rPr>
                      <w:rFonts w:ascii="Times New Roman" w:hAnsi="Times New Roman"/>
                      <w:color w:val="000000"/>
                      <w:kern w:val="2"/>
                      <w:sz w:val="21"/>
                      <w:szCs w:val="21"/>
                    </w:rPr>
                    <w:t>排放方式</w:t>
                  </w:r>
                </w:p>
              </w:tc>
              <w:tc>
                <w:tcPr>
                  <w:tcW w:w="4661" w:type="dxa"/>
                  <w:tcMar>
                    <w:top w:w="72" w:type="dxa"/>
                    <w:left w:w="144" w:type="dxa"/>
                    <w:bottom w:w="72" w:type="dxa"/>
                    <w:right w:w="144" w:type="dxa"/>
                  </w:tcMar>
                  <w:vAlign w:val="center"/>
                </w:tcPr>
                <w:p>
                  <w:pPr>
                    <w:autoSpaceDE w:val="0"/>
                    <w:autoSpaceDN w:val="0"/>
                    <w:adjustRightInd w:val="0"/>
                    <w:jc w:val="center"/>
                    <w:rPr>
                      <w:rFonts w:ascii="Times New Roman" w:hAnsi="Times New Roman"/>
                      <w:color w:val="000000"/>
                      <w:kern w:val="2"/>
                      <w:sz w:val="21"/>
                      <w:szCs w:val="21"/>
                    </w:rPr>
                  </w:pPr>
                  <w:r>
                    <w:rPr>
                      <w:rFonts w:ascii="Times New Roman" w:hAnsi="Times New Roman"/>
                      <w:color w:val="000000"/>
                      <w:kern w:val="2"/>
                      <w:sz w:val="21"/>
                      <w:szCs w:val="21"/>
                    </w:rPr>
                    <w:t>废水排放量Q/m</w:t>
                  </w:r>
                  <w:r>
                    <w:rPr>
                      <w:rFonts w:ascii="Times New Roman" w:hAnsi="Times New Roman"/>
                      <w:color w:val="000000"/>
                      <w:kern w:val="2"/>
                      <w:sz w:val="21"/>
                      <w:szCs w:val="21"/>
                      <w:vertAlign w:val="superscript"/>
                    </w:rPr>
                    <w:t>3</w:t>
                  </w:r>
                  <w:r>
                    <w:rPr>
                      <w:rFonts w:ascii="Times New Roman" w:hAnsi="Times New Roman"/>
                      <w:color w:val="000000"/>
                      <w:kern w:val="2"/>
                      <w:sz w:val="21"/>
                      <w:szCs w:val="21"/>
                    </w:rPr>
                    <w:t>/d；</w:t>
                  </w:r>
                </w:p>
                <w:p>
                  <w:pPr>
                    <w:autoSpaceDE w:val="0"/>
                    <w:autoSpaceDN w:val="0"/>
                    <w:adjustRightInd w:val="0"/>
                    <w:jc w:val="center"/>
                    <w:rPr>
                      <w:rFonts w:ascii="Times New Roman" w:hAnsi="Times New Roman"/>
                      <w:color w:val="000000"/>
                      <w:kern w:val="2"/>
                      <w:sz w:val="21"/>
                      <w:szCs w:val="21"/>
                    </w:rPr>
                  </w:pPr>
                  <w:r>
                    <w:rPr>
                      <w:rFonts w:ascii="Times New Roman" w:hAnsi="Times New Roman"/>
                      <w:color w:val="000000"/>
                      <w:kern w:val="2"/>
                      <w:sz w:val="21"/>
                      <w:szCs w:val="21"/>
                    </w:rPr>
                    <w:t>水污染物当量数W/无量纲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Ex>
              <w:trPr>
                <w:trHeight w:val="205" w:hRule="atLeast"/>
              </w:trPr>
              <w:tc>
                <w:tcPr>
                  <w:tcW w:w="2690" w:type="dxa"/>
                  <w:tcMar>
                    <w:top w:w="72" w:type="dxa"/>
                    <w:left w:w="144" w:type="dxa"/>
                    <w:bottom w:w="72" w:type="dxa"/>
                    <w:right w:w="144" w:type="dxa"/>
                  </w:tcMar>
                  <w:vAlign w:val="center"/>
                </w:tcPr>
                <w:p>
                  <w:pPr>
                    <w:autoSpaceDE w:val="0"/>
                    <w:autoSpaceDN w:val="0"/>
                    <w:adjustRightInd w:val="0"/>
                    <w:jc w:val="center"/>
                    <w:rPr>
                      <w:rFonts w:ascii="Times New Roman" w:hAnsi="Times New Roman"/>
                      <w:color w:val="000000"/>
                      <w:kern w:val="2"/>
                      <w:sz w:val="21"/>
                      <w:szCs w:val="21"/>
                    </w:rPr>
                  </w:pPr>
                  <w:r>
                    <w:rPr>
                      <w:rFonts w:ascii="Times New Roman" w:hAnsi="Times New Roman"/>
                      <w:color w:val="000000"/>
                      <w:kern w:val="2"/>
                      <w:sz w:val="21"/>
                      <w:szCs w:val="21"/>
                    </w:rPr>
                    <w:t>一级</w:t>
                  </w:r>
                </w:p>
              </w:tc>
              <w:tc>
                <w:tcPr>
                  <w:tcW w:w="2104" w:type="dxa"/>
                  <w:tcMar>
                    <w:top w:w="72" w:type="dxa"/>
                    <w:left w:w="144" w:type="dxa"/>
                    <w:bottom w:w="72" w:type="dxa"/>
                    <w:right w:w="144" w:type="dxa"/>
                  </w:tcMar>
                  <w:vAlign w:val="center"/>
                </w:tcPr>
                <w:p>
                  <w:pPr>
                    <w:autoSpaceDE w:val="0"/>
                    <w:autoSpaceDN w:val="0"/>
                    <w:adjustRightInd w:val="0"/>
                    <w:jc w:val="center"/>
                    <w:rPr>
                      <w:rFonts w:ascii="Times New Roman" w:hAnsi="Times New Roman"/>
                      <w:color w:val="000000"/>
                      <w:kern w:val="2"/>
                      <w:sz w:val="21"/>
                      <w:szCs w:val="21"/>
                    </w:rPr>
                  </w:pPr>
                  <w:r>
                    <w:rPr>
                      <w:rFonts w:ascii="Times New Roman" w:hAnsi="Times New Roman"/>
                      <w:color w:val="000000"/>
                      <w:kern w:val="2"/>
                      <w:sz w:val="21"/>
                      <w:szCs w:val="21"/>
                    </w:rPr>
                    <w:t>直接排放</w:t>
                  </w:r>
                </w:p>
              </w:tc>
              <w:tc>
                <w:tcPr>
                  <w:tcW w:w="4661" w:type="dxa"/>
                  <w:tcMar>
                    <w:top w:w="72" w:type="dxa"/>
                    <w:left w:w="144" w:type="dxa"/>
                    <w:bottom w:w="72" w:type="dxa"/>
                    <w:right w:w="144" w:type="dxa"/>
                  </w:tcMar>
                  <w:vAlign w:val="center"/>
                </w:tcPr>
                <w:p>
                  <w:pPr>
                    <w:autoSpaceDE w:val="0"/>
                    <w:autoSpaceDN w:val="0"/>
                    <w:adjustRightInd w:val="0"/>
                    <w:jc w:val="center"/>
                    <w:rPr>
                      <w:rFonts w:ascii="Times New Roman" w:hAnsi="Times New Roman"/>
                      <w:color w:val="000000"/>
                      <w:kern w:val="2"/>
                      <w:sz w:val="21"/>
                      <w:szCs w:val="21"/>
                    </w:rPr>
                  </w:pPr>
                  <w:r>
                    <w:rPr>
                      <w:rFonts w:ascii="Times New Roman" w:hAnsi="Times New Roman"/>
                      <w:color w:val="000000"/>
                      <w:kern w:val="2"/>
                      <w:sz w:val="21"/>
                      <w:szCs w:val="21"/>
                    </w:rPr>
                    <w:t>Q≥20000或W≥600000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Ex>
              <w:trPr>
                <w:trHeight w:val="122" w:hRule="atLeast"/>
              </w:trPr>
              <w:tc>
                <w:tcPr>
                  <w:tcW w:w="2690" w:type="dxa"/>
                  <w:tcMar>
                    <w:top w:w="72" w:type="dxa"/>
                    <w:left w:w="144" w:type="dxa"/>
                    <w:bottom w:w="72" w:type="dxa"/>
                    <w:right w:w="144" w:type="dxa"/>
                  </w:tcMar>
                  <w:vAlign w:val="center"/>
                </w:tcPr>
                <w:p>
                  <w:pPr>
                    <w:autoSpaceDE w:val="0"/>
                    <w:autoSpaceDN w:val="0"/>
                    <w:adjustRightInd w:val="0"/>
                    <w:jc w:val="center"/>
                    <w:rPr>
                      <w:rFonts w:ascii="Times New Roman" w:hAnsi="Times New Roman"/>
                      <w:color w:val="000000"/>
                      <w:kern w:val="2"/>
                      <w:sz w:val="21"/>
                      <w:szCs w:val="21"/>
                    </w:rPr>
                  </w:pPr>
                  <w:r>
                    <w:rPr>
                      <w:rFonts w:ascii="Times New Roman" w:hAnsi="Times New Roman"/>
                      <w:color w:val="000000"/>
                      <w:kern w:val="2"/>
                      <w:sz w:val="21"/>
                      <w:szCs w:val="21"/>
                    </w:rPr>
                    <w:t>二级</w:t>
                  </w:r>
                </w:p>
              </w:tc>
              <w:tc>
                <w:tcPr>
                  <w:tcW w:w="2104" w:type="dxa"/>
                  <w:tcMar>
                    <w:top w:w="72" w:type="dxa"/>
                    <w:left w:w="144" w:type="dxa"/>
                    <w:bottom w:w="72" w:type="dxa"/>
                    <w:right w:w="144" w:type="dxa"/>
                  </w:tcMar>
                  <w:vAlign w:val="center"/>
                </w:tcPr>
                <w:p>
                  <w:pPr>
                    <w:autoSpaceDE w:val="0"/>
                    <w:autoSpaceDN w:val="0"/>
                    <w:adjustRightInd w:val="0"/>
                    <w:jc w:val="center"/>
                    <w:rPr>
                      <w:rFonts w:ascii="Times New Roman" w:hAnsi="Times New Roman"/>
                      <w:color w:val="000000"/>
                      <w:kern w:val="2"/>
                      <w:sz w:val="21"/>
                      <w:szCs w:val="21"/>
                    </w:rPr>
                  </w:pPr>
                  <w:r>
                    <w:rPr>
                      <w:rFonts w:ascii="Times New Roman" w:hAnsi="Times New Roman"/>
                      <w:color w:val="000000"/>
                      <w:kern w:val="2"/>
                      <w:sz w:val="21"/>
                      <w:szCs w:val="21"/>
                    </w:rPr>
                    <w:t>直接排放</w:t>
                  </w:r>
                </w:p>
              </w:tc>
              <w:tc>
                <w:tcPr>
                  <w:tcW w:w="4661" w:type="dxa"/>
                  <w:tcMar>
                    <w:top w:w="72" w:type="dxa"/>
                    <w:left w:w="144" w:type="dxa"/>
                    <w:bottom w:w="72" w:type="dxa"/>
                    <w:right w:w="144" w:type="dxa"/>
                  </w:tcMar>
                  <w:vAlign w:val="center"/>
                </w:tcPr>
                <w:p>
                  <w:pPr>
                    <w:autoSpaceDE w:val="0"/>
                    <w:autoSpaceDN w:val="0"/>
                    <w:adjustRightInd w:val="0"/>
                    <w:jc w:val="center"/>
                    <w:rPr>
                      <w:rFonts w:ascii="Times New Roman" w:hAnsi="Times New Roman"/>
                      <w:color w:val="000000"/>
                      <w:kern w:val="2"/>
                      <w:sz w:val="21"/>
                      <w:szCs w:val="21"/>
                    </w:rPr>
                  </w:pPr>
                  <w:r>
                    <w:rPr>
                      <w:rFonts w:ascii="Times New Roman" w:hAnsi="Times New Roman"/>
                      <w:color w:val="000000"/>
                      <w:kern w:val="2"/>
                      <w:sz w:val="21"/>
                      <w:szCs w:val="21"/>
                    </w:rP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Ex>
              <w:trPr>
                <w:trHeight w:val="90" w:hRule="atLeast"/>
              </w:trPr>
              <w:tc>
                <w:tcPr>
                  <w:tcW w:w="2690" w:type="dxa"/>
                  <w:tcMar>
                    <w:top w:w="72" w:type="dxa"/>
                    <w:left w:w="144" w:type="dxa"/>
                    <w:bottom w:w="72" w:type="dxa"/>
                    <w:right w:w="144" w:type="dxa"/>
                  </w:tcMar>
                  <w:vAlign w:val="center"/>
                </w:tcPr>
                <w:p>
                  <w:pPr>
                    <w:autoSpaceDE w:val="0"/>
                    <w:autoSpaceDN w:val="0"/>
                    <w:adjustRightInd w:val="0"/>
                    <w:jc w:val="center"/>
                    <w:rPr>
                      <w:rFonts w:ascii="Times New Roman" w:hAnsi="Times New Roman"/>
                      <w:color w:val="000000"/>
                      <w:kern w:val="2"/>
                      <w:sz w:val="21"/>
                      <w:szCs w:val="21"/>
                    </w:rPr>
                  </w:pPr>
                  <w:r>
                    <w:rPr>
                      <w:rFonts w:ascii="Times New Roman" w:hAnsi="Times New Roman"/>
                      <w:color w:val="000000"/>
                      <w:kern w:val="2"/>
                      <w:sz w:val="21"/>
                      <w:szCs w:val="21"/>
                    </w:rPr>
                    <w:t>三级A</w:t>
                  </w:r>
                </w:p>
              </w:tc>
              <w:tc>
                <w:tcPr>
                  <w:tcW w:w="2104" w:type="dxa"/>
                  <w:tcMar>
                    <w:top w:w="72" w:type="dxa"/>
                    <w:left w:w="144" w:type="dxa"/>
                    <w:bottom w:w="72" w:type="dxa"/>
                    <w:right w:w="144" w:type="dxa"/>
                  </w:tcMar>
                  <w:vAlign w:val="center"/>
                </w:tcPr>
                <w:p>
                  <w:pPr>
                    <w:autoSpaceDE w:val="0"/>
                    <w:autoSpaceDN w:val="0"/>
                    <w:adjustRightInd w:val="0"/>
                    <w:jc w:val="center"/>
                    <w:rPr>
                      <w:rFonts w:ascii="Times New Roman" w:hAnsi="Times New Roman"/>
                      <w:color w:val="000000"/>
                      <w:kern w:val="2"/>
                      <w:sz w:val="21"/>
                      <w:szCs w:val="21"/>
                    </w:rPr>
                  </w:pPr>
                  <w:r>
                    <w:rPr>
                      <w:rFonts w:ascii="Times New Roman" w:hAnsi="Times New Roman"/>
                      <w:color w:val="000000"/>
                      <w:kern w:val="2"/>
                      <w:sz w:val="21"/>
                      <w:szCs w:val="21"/>
                    </w:rPr>
                    <w:t>直接排放</w:t>
                  </w:r>
                </w:p>
              </w:tc>
              <w:tc>
                <w:tcPr>
                  <w:tcW w:w="4661" w:type="dxa"/>
                  <w:tcMar>
                    <w:top w:w="72" w:type="dxa"/>
                    <w:left w:w="144" w:type="dxa"/>
                    <w:bottom w:w="72" w:type="dxa"/>
                    <w:right w:w="144" w:type="dxa"/>
                  </w:tcMar>
                  <w:vAlign w:val="center"/>
                </w:tcPr>
                <w:p>
                  <w:pPr>
                    <w:autoSpaceDE w:val="0"/>
                    <w:autoSpaceDN w:val="0"/>
                    <w:adjustRightInd w:val="0"/>
                    <w:jc w:val="center"/>
                    <w:rPr>
                      <w:rFonts w:ascii="Times New Roman" w:hAnsi="Times New Roman"/>
                      <w:color w:val="000000"/>
                      <w:kern w:val="2"/>
                      <w:sz w:val="21"/>
                      <w:szCs w:val="21"/>
                    </w:rPr>
                  </w:pPr>
                  <w:r>
                    <w:rPr>
                      <w:rFonts w:ascii="Times New Roman" w:hAnsi="Times New Roman"/>
                      <w:color w:val="000000"/>
                      <w:kern w:val="2"/>
                      <w:sz w:val="21"/>
                      <w:szCs w:val="21"/>
                    </w:rPr>
                    <w:t>Q＜200且W＜6000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Ex>
              <w:trPr>
                <w:trHeight w:val="90" w:hRule="atLeast"/>
              </w:trPr>
              <w:tc>
                <w:tcPr>
                  <w:tcW w:w="2690" w:type="dxa"/>
                  <w:tcMar>
                    <w:top w:w="72" w:type="dxa"/>
                    <w:left w:w="144" w:type="dxa"/>
                    <w:bottom w:w="72" w:type="dxa"/>
                    <w:right w:w="144" w:type="dxa"/>
                  </w:tcMar>
                  <w:vAlign w:val="center"/>
                </w:tcPr>
                <w:p>
                  <w:pPr>
                    <w:autoSpaceDE w:val="0"/>
                    <w:autoSpaceDN w:val="0"/>
                    <w:adjustRightInd w:val="0"/>
                    <w:jc w:val="center"/>
                    <w:rPr>
                      <w:rFonts w:ascii="Times New Roman" w:hAnsi="Times New Roman"/>
                      <w:color w:val="000000"/>
                      <w:kern w:val="2"/>
                      <w:sz w:val="21"/>
                      <w:szCs w:val="21"/>
                    </w:rPr>
                  </w:pPr>
                  <w:r>
                    <w:rPr>
                      <w:rFonts w:ascii="Times New Roman" w:hAnsi="Times New Roman"/>
                      <w:color w:val="000000"/>
                      <w:kern w:val="2"/>
                      <w:sz w:val="21"/>
                      <w:szCs w:val="21"/>
                    </w:rPr>
                    <w:t>三级B</w:t>
                  </w:r>
                </w:p>
              </w:tc>
              <w:tc>
                <w:tcPr>
                  <w:tcW w:w="2104" w:type="dxa"/>
                  <w:tcMar>
                    <w:top w:w="72" w:type="dxa"/>
                    <w:left w:w="144" w:type="dxa"/>
                    <w:bottom w:w="72" w:type="dxa"/>
                    <w:right w:w="144" w:type="dxa"/>
                  </w:tcMar>
                  <w:vAlign w:val="center"/>
                </w:tcPr>
                <w:p>
                  <w:pPr>
                    <w:autoSpaceDE w:val="0"/>
                    <w:autoSpaceDN w:val="0"/>
                    <w:adjustRightInd w:val="0"/>
                    <w:jc w:val="center"/>
                    <w:rPr>
                      <w:rFonts w:ascii="Times New Roman" w:hAnsi="Times New Roman"/>
                      <w:color w:val="000000"/>
                      <w:kern w:val="2"/>
                      <w:sz w:val="21"/>
                      <w:szCs w:val="21"/>
                    </w:rPr>
                  </w:pPr>
                  <w:r>
                    <w:rPr>
                      <w:rFonts w:ascii="Times New Roman" w:hAnsi="Times New Roman"/>
                      <w:color w:val="000000"/>
                      <w:kern w:val="2"/>
                      <w:sz w:val="21"/>
                      <w:szCs w:val="21"/>
                    </w:rPr>
                    <w:t>间接排放</w:t>
                  </w:r>
                </w:p>
              </w:tc>
              <w:tc>
                <w:tcPr>
                  <w:tcW w:w="4661" w:type="dxa"/>
                  <w:tcMar>
                    <w:top w:w="72" w:type="dxa"/>
                    <w:left w:w="144" w:type="dxa"/>
                    <w:bottom w:w="72" w:type="dxa"/>
                    <w:right w:w="144" w:type="dxa"/>
                  </w:tcMar>
                  <w:vAlign w:val="center"/>
                </w:tcPr>
                <w:p>
                  <w:pPr>
                    <w:autoSpaceDE w:val="0"/>
                    <w:autoSpaceDN w:val="0"/>
                    <w:adjustRightInd w:val="0"/>
                    <w:jc w:val="center"/>
                    <w:rPr>
                      <w:rFonts w:ascii="Times New Roman" w:hAnsi="Times New Roman"/>
                      <w:color w:val="000000"/>
                      <w:kern w:val="2"/>
                      <w:sz w:val="21"/>
                      <w:szCs w:val="21"/>
                    </w:rPr>
                  </w:pPr>
                  <w:r>
                    <w:rPr>
                      <w:rFonts w:hint="eastAsia" w:ascii="Times New Roman" w:hAnsi="Times New Roman"/>
                      <w:color w:val="000000"/>
                      <w:kern w:val="2"/>
                      <w:sz w:val="21"/>
                      <w:szCs w:val="21"/>
                    </w:rPr>
                    <w:t>——</w:t>
                  </w:r>
                </w:p>
              </w:tc>
            </w:tr>
          </w:tbl>
          <w:p>
            <w:pPr>
              <w:autoSpaceDE w:val="0"/>
              <w:autoSpaceDN w:val="0"/>
              <w:adjustRightInd w:val="0"/>
              <w:spacing w:line="360" w:lineRule="auto"/>
              <w:ind w:firstLine="480" w:firstLineChars="200"/>
              <w:rPr>
                <w:rFonts w:hAnsi="Times New Roman" w:cs="宋体"/>
                <w:color w:val="000000"/>
                <w:kern w:val="2"/>
                <w:szCs w:val="24"/>
              </w:rPr>
            </w:pPr>
            <w:r>
              <w:rPr>
                <w:rFonts w:hAnsi="Times New Roman" w:cs="宋体"/>
                <w:color w:val="000000"/>
                <w:kern w:val="2"/>
                <w:szCs w:val="24"/>
              </w:rPr>
              <w:t>本项目建成后，生活污水</w:t>
            </w:r>
            <w:r>
              <w:rPr>
                <w:rFonts w:hint="eastAsia" w:hAnsi="Times New Roman" w:cs="宋体"/>
                <w:color w:val="000000"/>
                <w:kern w:val="2"/>
                <w:szCs w:val="24"/>
              </w:rPr>
              <w:t>通过市政污水管网</w:t>
            </w:r>
            <w:r>
              <w:rPr>
                <w:rFonts w:hAnsi="Times New Roman" w:cs="宋体"/>
                <w:color w:val="000000"/>
                <w:kern w:val="2"/>
                <w:szCs w:val="24"/>
              </w:rPr>
              <w:t>排入</w:t>
            </w:r>
            <w:r>
              <w:rPr>
                <w:rFonts w:hint="eastAsia" w:hAnsi="Times New Roman" w:cs="宋体"/>
                <w:color w:val="000000"/>
                <w:kern w:val="2"/>
                <w:szCs w:val="24"/>
              </w:rPr>
              <w:t>威海水务集团有限公司崮山污水处理厂</w:t>
            </w:r>
            <w:r>
              <w:rPr>
                <w:rFonts w:hAnsi="Times New Roman" w:cs="宋体"/>
                <w:color w:val="000000"/>
                <w:kern w:val="2"/>
                <w:szCs w:val="24"/>
              </w:rPr>
              <w:t>处理后排放，为间接排放，对照水污染型建设项目评价等级判定标准可知，本项目为评价等级为三级B。</w:t>
            </w:r>
          </w:p>
          <w:p>
            <w:pPr>
              <w:autoSpaceDE w:val="0"/>
              <w:autoSpaceDN w:val="0"/>
              <w:adjustRightInd w:val="0"/>
              <w:spacing w:line="360" w:lineRule="auto"/>
              <w:ind w:firstLine="480" w:firstLineChars="200"/>
              <w:rPr>
                <w:rFonts w:hAnsi="Times New Roman" w:cs="宋体"/>
                <w:color w:val="000000"/>
                <w:kern w:val="2"/>
                <w:szCs w:val="24"/>
              </w:rPr>
            </w:pPr>
            <w:r>
              <w:rPr>
                <w:rFonts w:hAnsi="Times New Roman" w:cs="宋体"/>
                <w:color w:val="000000"/>
                <w:kern w:val="2"/>
                <w:szCs w:val="24"/>
              </w:rPr>
              <w:t>根据三级B评价范围要求，需分析依托污染处理设施环境可行性分析的要求，涉及地表水环境风险的，应覆盖环境风险影响范围所及的水环境保护目标水域。本项目废水为生活污水，不涉及到地表水环境风险，本次主要对依托污染处理设施环境可行性分析进行分析。本项目废水类别、污染物及污染治理设施情况见下表。</w:t>
            </w:r>
          </w:p>
          <w:p>
            <w:pPr>
              <w:adjustRightInd w:val="0"/>
              <w:snapToGrid w:val="0"/>
              <w:spacing w:line="460" w:lineRule="exact"/>
              <w:jc w:val="center"/>
              <w:rPr>
                <w:rFonts w:ascii="Times New Roman" w:hAnsi="Times New Roman" w:eastAsia="黑体"/>
                <w:kern w:val="0"/>
                <w:szCs w:val="24"/>
              </w:rPr>
            </w:pPr>
            <w:r>
              <w:rPr>
                <w:rFonts w:ascii="Times New Roman" w:hAnsi="Times New Roman" w:eastAsia="黑体"/>
                <w:kern w:val="0"/>
                <w:szCs w:val="24"/>
              </w:rPr>
              <w:t>表3</w:t>
            </w:r>
            <w:r>
              <w:rPr>
                <w:rFonts w:hint="eastAsia" w:ascii="Times New Roman" w:hAnsi="Times New Roman" w:eastAsia="黑体"/>
                <w:kern w:val="0"/>
                <w:szCs w:val="24"/>
              </w:rPr>
              <w:t>0</w:t>
            </w:r>
            <w:r>
              <w:rPr>
                <w:rFonts w:ascii="Times New Roman" w:hAnsi="Times New Roman" w:eastAsia="黑体"/>
                <w:kern w:val="0"/>
                <w:szCs w:val="24"/>
              </w:rPr>
              <w:t xml:space="preserve"> 废水类别、污染治理设施信息表</w:t>
            </w:r>
          </w:p>
          <w:tbl>
            <w:tblPr>
              <w:tblStyle w:val="30"/>
              <w:tblW w:w="945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8"/>
              <w:gridCol w:w="689"/>
              <w:gridCol w:w="689"/>
              <w:gridCol w:w="827"/>
              <w:gridCol w:w="1205"/>
              <w:gridCol w:w="738"/>
              <w:gridCol w:w="738"/>
              <w:gridCol w:w="741"/>
              <w:gridCol w:w="590"/>
              <w:gridCol w:w="1035"/>
              <w:gridCol w:w="18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0" w:hRule="atLeast"/>
                <w:jc w:val="center"/>
              </w:trPr>
              <w:tc>
                <w:tcPr>
                  <w:tcW w:w="368" w:type="dxa"/>
                  <w:vMerge w:val="restart"/>
                  <w:tcBorders>
                    <w:tl2br w:val="nil"/>
                    <w:tr2bl w:val="nil"/>
                  </w:tcBorders>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序号</w:t>
                  </w:r>
                </w:p>
              </w:tc>
              <w:tc>
                <w:tcPr>
                  <w:tcW w:w="689" w:type="dxa"/>
                  <w:vMerge w:val="restart"/>
                  <w:tcBorders>
                    <w:tl2br w:val="nil"/>
                    <w:tr2bl w:val="nil"/>
                  </w:tcBorders>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废水类别</w:t>
                  </w:r>
                </w:p>
              </w:tc>
              <w:tc>
                <w:tcPr>
                  <w:tcW w:w="689" w:type="dxa"/>
                  <w:vMerge w:val="restart"/>
                  <w:tcBorders>
                    <w:tl2br w:val="nil"/>
                    <w:tr2bl w:val="nil"/>
                  </w:tcBorders>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污染物种类</w:t>
                  </w:r>
                </w:p>
              </w:tc>
              <w:tc>
                <w:tcPr>
                  <w:tcW w:w="827" w:type="dxa"/>
                  <w:vMerge w:val="restart"/>
                  <w:tcBorders>
                    <w:tl2br w:val="nil"/>
                    <w:tr2bl w:val="nil"/>
                  </w:tcBorders>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排放去向</w:t>
                  </w:r>
                </w:p>
              </w:tc>
              <w:tc>
                <w:tcPr>
                  <w:tcW w:w="1205" w:type="dxa"/>
                  <w:vMerge w:val="restart"/>
                  <w:tcBorders>
                    <w:tl2br w:val="nil"/>
                    <w:tr2bl w:val="nil"/>
                  </w:tcBorders>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排放规律</w:t>
                  </w:r>
                </w:p>
              </w:tc>
              <w:tc>
                <w:tcPr>
                  <w:tcW w:w="2217" w:type="dxa"/>
                  <w:gridSpan w:val="3"/>
                  <w:tcBorders>
                    <w:tl2br w:val="nil"/>
                    <w:tr2bl w:val="nil"/>
                  </w:tcBorders>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污染治理设施</w:t>
                  </w:r>
                </w:p>
              </w:tc>
              <w:tc>
                <w:tcPr>
                  <w:tcW w:w="590" w:type="dxa"/>
                  <w:vMerge w:val="restart"/>
                  <w:tcBorders>
                    <w:tl2br w:val="nil"/>
                    <w:tr2bl w:val="nil"/>
                  </w:tcBorders>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排放口编号</w:t>
                  </w:r>
                </w:p>
              </w:tc>
              <w:tc>
                <w:tcPr>
                  <w:tcW w:w="1035" w:type="dxa"/>
                  <w:vMerge w:val="restart"/>
                  <w:tcBorders>
                    <w:tl2br w:val="nil"/>
                    <w:tr2bl w:val="nil"/>
                  </w:tcBorders>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排放口设置是否符合要求</w:t>
                  </w:r>
                </w:p>
              </w:tc>
              <w:tc>
                <w:tcPr>
                  <w:tcW w:w="1837" w:type="dxa"/>
                  <w:vMerge w:val="restart"/>
                  <w:tcBorders>
                    <w:tl2br w:val="nil"/>
                    <w:tr2bl w:val="nil"/>
                  </w:tcBorders>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排放口类型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0" w:hRule="atLeast"/>
                <w:jc w:val="center"/>
              </w:trPr>
              <w:tc>
                <w:tcPr>
                  <w:tcW w:w="368" w:type="dxa"/>
                  <w:vMerge w:val="continue"/>
                  <w:tcBorders>
                    <w:tl2br w:val="nil"/>
                    <w:tr2bl w:val="nil"/>
                  </w:tcBorders>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p>
              </w:tc>
              <w:tc>
                <w:tcPr>
                  <w:tcW w:w="689" w:type="dxa"/>
                  <w:vMerge w:val="continue"/>
                  <w:tcBorders>
                    <w:tl2br w:val="nil"/>
                    <w:tr2bl w:val="nil"/>
                  </w:tcBorders>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p>
              </w:tc>
              <w:tc>
                <w:tcPr>
                  <w:tcW w:w="689" w:type="dxa"/>
                  <w:vMerge w:val="continue"/>
                  <w:tcBorders>
                    <w:tl2br w:val="nil"/>
                    <w:tr2bl w:val="nil"/>
                  </w:tcBorders>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p>
              </w:tc>
              <w:tc>
                <w:tcPr>
                  <w:tcW w:w="827" w:type="dxa"/>
                  <w:vMerge w:val="continue"/>
                  <w:tcBorders>
                    <w:tl2br w:val="nil"/>
                    <w:tr2bl w:val="nil"/>
                  </w:tcBorders>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p>
              </w:tc>
              <w:tc>
                <w:tcPr>
                  <w:tcW w:w="1205" w:type="dxa"/>
                  <w:vMerge w:val="continue"/>
                  <w:tcBorders>
                    <w:tl2br w:val="nil"/>
                    <w:tr2bl w:val="nil"/>
                  </w:tcBorders>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p>
              </w:tc>
              <w:tc>
                <w:tcPr>
                  <w:tcW w:w="738" w:type="dxa"/>
                  <w:tcBorders>
                    <w:tl2br w:val="nil"/>
                    <w:tr2bl w:val="nil"/>
                  </w:tcBorders>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污染治理设施编号</w:t>
                  </w:r>
                </w:p>
              </w:tc>
              <w:tc>
                <w:tcPr>
                  <w:tcW w:w="738" w:type="dxa"/>
                  <w:tcBorders>
                    <w:tl2br w:val="nil"/>
                    <w:tr2bl w:val="nil"/>
                  </w:tcBorders>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污染治理设施名称</w:t>
                  </w:r>
                </w:p>
              </w:tc>
              <w:tc>
                <w:tcPr>
                  <w:tcW w:w="741" w:type="dxa"/>
                  <w:tcBorders>
                    <w:tl2br w:val="nil"/>
                    <w:tr2bl w:val="nil"/>
                  </w:tcBorders>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污染治理设施工艺</w:t>
                  </w:r>
                </w:p>
              </w:tc>
              <w:tc>
                <w:tcPr>
                  <w:tcW w:w="590" w:type="dxa"/>
                  <w:vMerge w:val="continue"/>
                  <w:tcBorders>
                    <w:tl2br w:val="nil"/>
                    <w:tr2bl w:val="nil"/>
                  </w:tcBorders>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p>
              </w:tc>
              <w:tc>
                <w:tcPr>
                  <w:tcW w:w="1035" w:type="dxa"/>
                  <w:vMerge w:val="continue"/>
                  <w:tcBorders>
                    <w:tl2br w:val="nil"/>
                    <w:tr2bl w:val="nil"/>
                  </w:tcBorders>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p>
              </w:tc>
              <w:tc>
                <w:tcPr>
                  <w:tcW w:w="1837" w:type="dxa"/>
                  <w:vMerge w:val="continue"/>
                  <w:tcBorders>
                    <w:tl2br w:val="nil"/>
                    <w:tr2bl w:val="nil"/>
                  </w:tcBorders>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368" w:type="dxa"/>
                  <w:tcBorders>
                    <w:tl2br w:val="nil"/>
                    <w:tr2bl w:val="nil"/>
                  </w:tcBorders>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1</w:t>
                  </w:r>
                </w:p>
              </w:tc>
              <w:tc>
                <w:tcPr>
                  <w:tcW w:w="689" w:type="dxa"/>
                  <w:tcBorders>
                    <w:tl2br w:val="nil"/>
                    <w:tr2bl w:val="nil"/>
                  </w:tcBorders>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生活污水</w:t>
                  </w:r>
                </w:p>
              </w:tc>
              <w:tc>
                <w:tcPr>
                  <w:tcW w:w="689" w:type="dxa"/>
                  <w:tcBorders>
                    <w:tl2br w:val="nil"/>
                    <w:tr2bl w:val="nil"/>
                  </w:tcBorders>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COD</w:t>
                  </w:r>
                  <w:r>
                    <w:rPr>
                      <w:rFonts w:ascii="Times New Roman" w:hAnsi="Times New Roman"/>
                      <w:kern w:val="0"/>
                      <w:sz w:val="21"/>
                      <w:szCs w:val="21"/>
                      <w:vertAlign w:val="subscript"/>
                    </w:rPr>
                    <w:t>Cr</w:t>
                  </w:r>
                  <w:r>
                    <w:rPr>
                      <w:rFonts w:ascii="Times New Roman" w:hAnsi="Times New Roman"/>
                      <w:kern w:val="0"/>
                      <w:sz w:val="21"/>
                      <w:szCs w:val="21"/>
                    </w:rPr>
                    <w:t>氨氮</w:t>
                  </w:r>
                </w:p>
              </w:tc>
              <w:tc>
                <w:tcPr>
                  <w:tcW w:w="827" w:type="dxa"/>
                  <w:tcBorders>
                    <w:tl2br w:val="nil"/>
                    <w:tr2bl w:val="nil"/>
                  </w:tcBorders>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由市政污水管网进入</w:t>
                  </w:r>
                  <w:r>
                    <w:rPr>
                      <w:rFonts w:hint="eastAsia" w:ascii="Times New Roman" w:hAnsi="Times New Roman"/>
                      <w:kern w:val="0"/>
                      <w:sz w:val="21"/>
                      <w:szCs w:val="21"/>
                    </w:rPr>
                    <w:t>威海水务集团有限公司崮山污水处理厂</w:t>
                  </w:r>
                </w:p>
              </w:tc>
              <w:tc>
                <w:tcPr>
                  <w:tcW w:w="1205" w:type="dxa"/>
                  <w:tcBorders>
                    <w:tl2br w:val="nil"/>
                    <w:tr2bl w:val="nil"/>
                  </w:tcBorders>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hint="eastAsia" w:ascii="Times New Roman" w:hAnsi="Times New Roman"/>
                      <w:kern w:val="0"/>
                      <w:sz w:val="21"/>
                      <w:szCs w:val="21"/>
                    </w:rPr>
                    <w:t>间断</w:t>
                  </w:r>
                  <w:r>
                    <w:rPr>
                      <w:rFonts w:ascii="Times New Roman" w:hAnsi="Times New Roman"/>
                      <w:kern w:val="0"/>
                      <w:sz w:val="21"/>
                      <w:szCs w:val="21"/>
                    </w:rPr>
                    <w:t>排放，流量不稳定，但有周期性规律</w:t>
                  </w:r>
                </w:p>
              </w:tc>
              <w:tc>
                <w:tcPr>
                  <w:tcW w:w="738" w:type="dxa"/>
                  <w:tcBorders>
                    <w:tl2br w:val="nil"/>
                    <w:tr2bl w:val="nil"/>
                  </w:tcBorders>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H1</w:t>
                  </w:r>
                </w:p>
              </w:tc>
              <w:tc>
                <w:tcPr>
                  <w:tcW w:w="738" w:type="dxa"/>
                  <w:tcBorders>
                    <w:tl2br w:val="nil"/>
                    <w:tr2bl w:val="nil"/>
                  </w:tcBorders>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化粪池</w:t>
                  </w:r>
                </w:p>
              </w:tc>
              <w:tc>
                <w:tcPr>
                  <w:tcW w:w="741" w:type="dxa"/>
                  <w:tcBorders>
                    <w:tl2br w:val="nil"/>
                    <w:tr2bl w:val="nil"/>
                  </w:tcBorders>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化粪池</w:t>
                  </w:r>
                </w:p>
              </w:tc>
              <w:tc>
                <w:tcPr>
                  <w:tcW w:w="590" w:type="dxa"/>
                  <w:tcBorders>
                    <w:tl2br w:val="nil"/>
                    <w:tr2bl w:val="nil"/>
                  </w:tcBorders>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D1</w:t>
                  </w:r>
                </w:p>
              </w:tc>
              <w:tc>
                <w:tcPr>
                  <w:tcW w:w="1035" w:type="dxa"/>
                  <w:tcBorders>
                    <w:tl2br w:val="nil"/>
                    <w:tr2bl w:val="nil"/>
                  </w:tcBorders>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■是</w:t>
                  </w:r>
                </w:p>
                <w:p>
                  <w:pPr>
                    <w:spacing w:line="220" w:lineRule="exact"/>
                    <w:jc w:val="center"/>
                    <w:rPr>
                      <w:rFonts w:ascii="Times New Roman" w:hAnsi="Times New Roman"/>
                      <w:kern w:val="0"/>
                      <w:sz w:val="21"/>
                      <w:szCs w:val="21"/>
                    </w:rPr>
                  </w:pPr>
                  <w:r>
                    <w:rPr>
                      <w:rFonts w:ascii="Times New Roman" w:hAnsi="Times New Roman"/>
                      <w:kern w:val="0"/>
                      <w:sz w:val="21"/>
                      <w:szCs w:val="21"/>
                    </w:rPr>
                    <w:t>□否</w:t>
                  </w:r>
                </w:p>
              </w:tc>
              <w:tc>
                <w:tcPr>
                  <w:tcW w:w="1837" w:type="dxa"/>
                  <w:tcBorders>
                    <w:tl2br w:val="nil"/>
                    <w:tr2bl w:val="nil"/>
                  </w:tcBorders>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■企业总排</w:t>
                  </w:r>
                </w:p>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□雨水排放</w:t>
                  </w:r>
                </w:p>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□清净下水排放</w:t>
                  </w:r>
                </w:p>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□温排水排放</w:t>
                  </w:r>
                </w:p>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□车间或车间处理设施排放口</w:t>
                  </w:r>
                </w:p>
              </w:tc>
            </w:tr>
          </w:tbl>
          <w:p>
            <w:pPr>
              <w:autoSpaceDE w:val="0"/>
              <w:autoSpaceDN w:val="0"/>
              <w:adjustRightInd w:val="0"/>
              <w:spacing w:line="360" w:lineRule="auto"/>
              <w:ind w:firstLine="480" w:firstLineChars="200"/>
              <w:jc w:val="left"/>
              <w:rPr>
                <w:rFonts w:ascii="Times New Roman" w:hAnsi="Times New Roman"/>
                <w:kern w:val="0"/>
                <w:szCs w:val="24"/>
              </w:rPr>
            </w:pPr>
            <w:r>
              <w:rPr>
                <w:rFonts w:ascii="Times New Roman" w:hAnsi="Times New Roman"/>
                <w:kern w:val="0"/>
                <w:szCs w:val="24"/>
              </w:rPr>
              <w:t>项目废水间接排放口基本情况如下表：</w:t>
            </w:r>
          </w:p>
          <w:p>
            <w:pPr>
              <w:adjustRightInd w:val="0"/>
              <w:snapToGrid w:val="0"/>
              <w:spacing w:line="460" w:lineRule="exact"/>
              <w:jc w:val="center"/>
              <w:rPr>
                <w:rFonts w:ascii="Times New Roman" w:hAnsi="Times New Roman" w:eastAsia="黑体"/>
                <w:kern w:val="0"/>
                <w:szCs w:val="24"/>
              </w:rPr>
            </w:pPr>
            <w:r>
              <w:rPr>
                <w:rFonts w:ascii="Times New Roman" w:hAnsi="Times New Roman" w:eastAsia="黑体"/>
                <w:kern w:val="0"/>
                <w:szCs w:val="24"/>
              </w:rPr>
              <w:t>表3</w:t>
            </w:r>
            <w:r>
              <w:rPr>
                <w:rFonts w:hint="eastAsia" w:ascii="Times New Roman" w:hAnsi="Times New Roman" w:eastAsia="黑体"/>
                <w:kern w:val="0"/>
                <w:szCs w:val="24"/>
              </w:rPr>
              <w:t>1</w:t>
            </w:r>
            <w:r>
              <w:rPr>
                <w:rFonts w:ascii="Times New Roman" w:hAnsi="Times New Roman" w:eastAsia="黑体"/>
                <w:kern w:val="0"/>
                <w:szCs w:val="24"/>
              </w:rPr>
              <w:t xml:space="preserve"> 废水间接排放口基本情况</w:t>
            </w:r>
          </w:p>
          <w:tbl>
            <w:tblPr>
              <w:tblStyle w:val="30"/>
              <w:tblW w:w="945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2"/>
              <w:gridCol w:w="578"/>
              <w:gridCol w:w="862"/>
              <w:gridCol w:w="865"/>
              <w:gridCol w:w="844"/>
              <w:gridCol w:w="596"/>
              <w:gridCol w:w="1148"/>
              <w:gridCol w:w="1005"/>
              <w:gridCol w:w="577"/>
              <w:gridCol w:w="863"/>
              <w:gridCol w:w="16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432" w:type="dxa"/>
                  <w:vMerge w:val="restart"/>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序号</w:t>
                  </w:r>
                </w:p>
              </w:tc>
              <w:tc>
                <w:tcPr>
                  <w:tcW w:w="578" w:type="dxa"/>
                  <w:vMerge w:val="restart"/>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排放口编号</w:t>
                  </w:r>
                </w:p>
              </w:tc>
              <w:tc>
                <w:tcPr>
                  <w:tcW w:w="1727" w:type="dxa"/>
                  <w:gridSpan w:val="2"/>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排放口地理坐标</w:t>
                  </w:r>
                </w:p>
              </w:tc>
              <w:tc>
                <w:tcPr>
                  <w:tcW w:w="844" w:type="dxa"/>
                  <w:vMerge w:val="restart"/>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废水排放量（万t/a）</w:t>
                  </w:r>
                </w:p>
              </w:tc>
              <w:tc>
                <w:tcPr>
                  <w:tcW w:w="596" w:type="dxa"/>
                  <w:vMerge w:val="restart"/>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排放去向</w:t>
                  </w:r>
                </w:p>
              </w:tc>
              <w:tc>
                <w:tcPr>
                  <w:tcW w:w="1148" w:type="dxa"/>
                  <w:vMerge w:val="restart"/>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排放规律</w:t>
                  </w:r>
                </w:p>
              </w:tc>
              <w:tc>
                <w:tcPr>
                  <w:tcW w:w="1005" w:type="dxa"/>
                  <w:vMerge w:val="restart"/>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间歇排放时段</w:t>
                  </w:r>
                </w:p>
              </w:tc>
              <w:tc>
                <w:tcPr>
                  <w:tcW w:w="3129" w:type="dxa"/>
                  <w:gridSpan w:val="3"/>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收纳污水处理厂信息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432" w:type="dxa"/>
                  <w:vMerge w:val="continue"/>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p>
              </w:tc>
              <w:tc>
                <w:tcPr>
                  <w:tcW w:w="578" w:type="dxa"/>
                  <w:vMerge w:val="continue"/>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p>
              </w:tc>
              <w:tc>
                <w:tcPr>
                  <w:tcW w:w="862" w:type="dxa"/>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经度</w:t>
                  </w:r>
                </w:p>
              </w:tc>
              <w:tc>
                <w:tcPr>
                  <w:tcW w:w="865" w:type="dxa"/>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纬度</w:t>
                  </w:r>
                </w:p>
              </w:tc>
              <w:tc>
                <w:tcPr>
                  <w:tcW w:w="844" w:type="dxa"/>
                  <w:vMerge w:val="continue"/>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p>
              </w:tc>
              <w:tc>
                <w:tcPr>
                  <w:tcW w:w="596" w:type="dxa"/>
                  <w:vMerge w:val="continue"/>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p>
              </w:tc>
              <w:tc>
                <w:tcPr>
                  <w:tcW w:w="1148" w:type="dxa"/>
                  <w:vMerge w:val="continue"/>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p>
              </w:tc>
              <w:tc>
                <w:tcPr>
                  <w:tcW w:w="1005" w:type="dxa"/>
                  <w:vMerge w:val="continue"/>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p>
              </w:tc>
              <w:tc>
                <w:tcPr>
                  <w:tcW w:w="577" w:type="dxa"/>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名称</w:t>
                  </w:r>
                </w:p>
              </w:tc>
              <w:tc>
                <w:tcPr>
                  <w:tcW w:w="863" w:type="dxa"/>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污染物种类</w:t>
                  </w:r>
                </w:p>
              </w:tc>
              <w:tc>
                <w:tcPr>
                  <w:tcW w:w="1689" w:type="dxa"/>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国家或地方污染物排放浓度限值（mg/L）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6" w:hRule="atLeast"/>
                <w:jc w:val="center"/>
              </w:trPr>
              <w:tc>
                <w:tcPr>
                  <w:tcW w:w="432" w:type="dxa"/>
                  <w:vMerge w:val="restart"/>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1</w:t>
                  </w:r>
                </w:p>
              </w:tc>
              <w:tc>
                <w:tcPr>
                  <w:tcW w:w="578" w:type="dxa"/>
                  <w:vMerge w:val="restart"/>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D1</w:t>
                  </w:r>
                </w:p>
              </w:tc>
              <w:tc>
                <w:tcPr>
                  <w:tcW w:w="862" w:type="dxa"/>
                  <w:vMerge w:val="restart"/>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东经</w:t>
                  </w:r>
                </w:p>
                <w:p>
                  <w:pPr>
                    <w:autoSpaceDE w:val="0"/>
                    <w:autoSpaceDN w:val="0"/>
                    <w:adjustRightInd w:val="0"/>
                    <w:spacing w:line="220" w:lineRule="exact"/>
                    <w:jc w:val="center"/>
                    <w:rPr>
                      <w:rFonts w:ascii="Times New Roman" w:hAnsi="Times New Roman"/>
                      <w:kern w:val="0"/>
                      <w:sz w:val="21"/>
                      <w:szCs w:val="21"/>
                    </w:rPr>
                  </w:pPr>
                  <w:r>
                    <w:rPr>
                      <w:rFonts w:hint="eastAsia" w:ascii="Times New Roman" w:hAnsi="Times New Roman"/>
                      <w:kern w:val="0"/>
                      <w:sz w:val="21"/>
                      <w:szCs w:val="21"/>
                    </w:rPr>
                    <w:t>1</w:t>
                  </w:r>
                  <w:r>
                    <w:rPr>
                      <w:rFonts w:ascii="Times New Roman" w:hAnsi="Times New Roman"/>
                      <w:kern w:val="0"/>
                      <w:sz w:val="21"/>
                      <w:szCs w:val="21"/>
                    </w:rPr>
                    <w:t>22.009</w:t>
                  </w:r>
                </w:p>
              </w:tc>
              <w:tc>
                <w:tcPr>
                  <w:tcW w:w="865" w:type="dxa"/>
                  <w:vMerge w:val="restart"/>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北纬</w:t>
                  </w:r>
                </w:p>
                <w:p>
                  <w:pPr>
                    <w:autoSpaceDE w:val="0"/>
                    <w:autoSpaceDN w:val="0"/>
                    <w:adjustRightInd w:val="0"/>
                    <w:spacing w:line="220" w:lineRule="exact"/>
                    <w:jc w:val="center"/>
                    <w:rPr>
                      <w:rFonts w:ascii="Times New Roman" w:hAnsi="Times New Roman"/>
                      <w:kern w:val="0"/>
                      <w:sz w:val="21"/>
                      <w:szCs w:val="21"/>
                    </w:rPr>
                  </w:pPr>
                  <w:r>
                    <w:rPr>
                      <w:rFonts w:hint="eastAsia" w:ascii="Times New Roman" w:hAnsi="Times New Roman"/>
                      <w:kern w:val="0"/>
                      <w:sz w:val="21"/>
                      <w:szCs w:val="21"/>
                    </w:rPr>
                    <w:t>3</w:t>
                  </w:r>
                  <w:r>
                    <w:rPr>
                      <w:rFonts w:ascii="Times New Roman" w:hAnsi="Times New Roman"/>
                      <w:kern w:val="0"/>
                      <w:sz w:val="21"/>
                      <w:szCs w:val="21"/>
                    </w:rPr>
                    <w:t>7.478</w:t>
                  </w:r>
                </w:p>
              </w:tc>
              <w:tc>
                <w:tcPr>
                  <w:tcW w:w="844" w:type="dxa"/>
                  <w:vMerge w:val="restart"/>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0.012</w:t>
                  </w:r>
                </w:p>
              </w:tc>
              <w:tc>
                <w:tcPr>
                  <w:tcW w:w="596" w:type="dxa"/>
                  <w:vMerge w:val="restart"/>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市政污水管网</w:t>
                  </w:r>
                </w:p>
              </w:tc>
              <w:tc>
                <w:tcPr>
                  <w:tcW w:w="1148" w:type="dxa"/>
                  <w:vMerge w:val="restart"/>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hint="eastAsia" w:ascii="Times New Roman" w:hAnsi="Times New Roman"/>
                      <w:kern w:val="0"/>
                      <w:sz w:val="21"/>
                      <w:szCs w:val="21"/>
                    </w:rPr>
                    <w:t>间断</w:t>
                  </w:r>
                  <w:r>
                    <w:rPr>
                      <w:rFonts w:ascii="Times New Roman" w:hAnsi="Times New Roman"/>
                      <w:kern w:val="0"/>
                      <w:sz w:val="21"/>
                      <w:szCs w:val="21"/>
                    </w:rPr>
                    <w:t>排放，流量不稳定，但有周期性规律</w:t>
                  </w:r>
                </w:p>
              </w:tc>
              <w:tc>
                <w:tcPr>
                  <w:tcW w:w="1005" w:type="dxa"/>
                  <w:vMerge w:val="restart"/>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w:t>
                  </w:r>
                </w:p>
              </w:tc>
              <w:tc>
                <w:tcPr>
                  <w:tcW w:w="577" w:type="dxa"/>
                  <w:vMerge w:val="restart"/>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hint="eastAsia" w:ascii="Times New Roman" w:hAnsi="Times New Roman"/>
                      <w:kern w:val="0"/>
                      <w:sz w:val="21"/>
                      <w:szCs w:val="21"/>
                    </w:rPr>
                    <w:t>威海水务集团有限公司崮山污水处理厂</w:t>
                  </w:r>
                </w:p>
              </w:tc>
              <w:tc>
                <w:tcPr>
                  <w:tcW w:w="863" w:type="dxa"/>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COD</w:t>
                  </w:r>
                  <w:r>
                    <w:rPr>
                      <w:rFonts w:ascii="Times New Roman" w:hAnsi="Times New Roman"/>
                      <w:kern w:val="0"/>
                      <w:sz w:val="21"/>
                      <w:szCs w:val="21"/>
                      <w:vertAlign w:val="subscript"/>
                    </w:rPr>
                    <w:t>Cr</w:t>
                  </w:r>
                </w:p>
              </w:tc>
              <w:tc>
                <w:tcPr>
                  <w:tcW w:w="1689" w:type="dxa"/>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432" w:type="dxa"/>
                  <w:vMerge w:val="continue"/>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p>
              </w:tc>
              <w:tc>
                <w:tcPr>
                  <w:tcW w:w="578" w:type="dxa"/>
                  <w:vMerge w:val="continue"/>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p>
              </w:tc>
              <w:tc>
                <w:tcPr>
                  <w:tcW w:w="862" w:type="dxa"/>
                  <w:vMerge w:val="continue"/>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p>
              </w:tc>
              <w:tc>
                <w:tcPr>
                  <w:tcW w:w="865" w:type="dxa"/>
                  <w:vMerge w:val="continue"/>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p>
              </w:tc>
              <w:tc>
                <w:tcPr>
                  <w:tcW w:w="844" w:type="dxa"/>
                  <w:vMerge w:val="continue"/>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p>
              </w:tc>
              <w:tc>
                <w:tcPr>
                  <w:tcW w:w="596" w:type="dxa"/>
                  <w:vMerge w:val="continue"/>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p>
              </w:tc>
              <w:tc>
                <w:tcPr>
                  <w:tcW w:w="1148" w:type="dxa"/>
                  <w:vMerge w:val="continue"/>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p>
              </w:tc>
              <w:tc>
                <w:tcPr>
                  <w:tcW w:w="1005" w:type="dxa"/>
                  <w:vMerge w:val="continue"/>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p>
              </w:tc>
              <w:tc>
                <w:tcPr>
                  <w:tcW w:w="577" w:type="dxa"/>
                  <w:vMerge w:val="continue"/>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p>
              </w:tc>
              <w:tc>
                <w:tcPr>
                  <w:tcW w:w="863" w:type="dxa"/>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氨氮</w:t>
                  </w:r>
                </w:p>
              </w:tc>
              <w:tc>
                <w:tcPr>
                  <w:tcW w:w="1689" w:type="dxa"/>
                  <w:tcMar>
                    <w:left w:w="28" w:type="dxa"/>
                    <w:right w:w="28" w:type="dxa"/>
                  </w:tcMar>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45</w:t>
                  </w:r>
                </w:p>
              </w:tc>
            </w:tr>
          </w:tbl>
          <w:p>
            <w:pPr>
              <w:autoSpaceDE w:val="0"/>
              <w:autoSpaceDN w:val="0"/>
              <w:adjustRightInd w:val="0"/>
              <w:spacing w:line="360" w:lineRule="auto"/>
              <w:ind w:firstLine="480" w:firstLineChars="200"/>
              <w:jc w:val="left"/>
              <w:rPr>
                <w:rFonts w:ascii="Times New Roman" w:hAnsi="Times New Roman"/>
                <w:kern w:val="0"/>
                <w:szCs w:val="24"/>
              </w:rPr>
            </w:pPr>
            <w:r>
              <w:rPr>
                <w:rFonts w:ascii="Times New Roman" w:hAnsi="Times New Roman"/>
                <w:kern w:val="0"/>
                <w:szCs w:val="24"/>
              </w:rPr>
              <w:t>项目废水污染物排放执行标准表如下表：</w:t>
            </w:r>
          </w:p>
          <w:p>
            <w:pPr>
              <w:adjustRightInd w:val="0"/>
              <w:snapToGrid w:val="0"/>
              <w:spacing w:line="460" w:lineRule="exact"/>
              <w:jc w:val="center"/>
              <w:rPr>
                <w:rFonts w:ascii="Times New Roman" w:hAnsi="Times New Roman" w:eastAsia="黑体"/>
                <w:kern w:val="0"/>
                <w:szCs w:val="24"/>
              </w:rPr>
            </w:pPr>
            <w:r>
              <w:rPr>
                <w:rFonts w:ascii="Times New Roman" w:hAnsi="Times New Roman" w:eastAsia="黑体"/>
                <w:kern w:val="0"/>
                <w:szCs w:val="24"/>
              </w:rPr>
              <w:t>表3</w:t>
            </w:r>
            <w:r>
              <w:rPr>
                <w:rFonts w:hint="eastAsia" w:ascii="Times New Roman" w:hAnsi="Times New Roman" w:eastAsia="黑体"/>
                <w:kern w:val="0"/>
                <w:szCs w:val="24"/>
              </w:rPr>
              <w:t>2</w:t>
            </w:r>
            <w:r>
              <w:rPr>
                <w:rFonts w:ascii="Times New Roman" w:hAnsi="Times New Roman" w:eastAsia="黑体"/>
                <w:kern w:val="0"/>
                <w:szCs w:val="24"/>
              </w:rPr>
              <w:t xml:space="preserve"> 废水污染物排放执行标准表</w:t>
            </w:r>
          </w:p>
          <w:tbl>
            <w:tblPr>
              <w:tblStyle w:val="30"/>
              <w:tblW w:w="945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7"/>
              <w:gridCol w:w="1417"/>
              <w:gridCol w:w="1390"/>
              <w:gridCol w:w="3097"/>
              <w:gridCol w:w="283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17" w:type="dxa"/>
                  <w:vMerge w:val="restart"/>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序号</w:t>
                  </w:r>
                </w:p>
              </w:tc>
              <w:tc>
                <w:tcPr>
                  <w:tcW w:w="1417" w:type="dxa"/>
                  <w:vMerge w:val="restart"/>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排放口编号</w:t>
                  </w:r>
                </w:p>
              </w:tc>
              <w:tc>
                <w:tcPr>
                  <w:tcW w:w="1390" w:type="dxa"/>
                  <w:vMerge w:val="restart"/>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污染物种类</w:t>
                  </w:r>
                </w:p>
              </w:tc>
              <w:tc>
                <w:tcPr>
                  <w:tcW w:w="5935" w:type="dxa"/>
                  <w:gridSpan w:val="2"/>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国家或地方污染物排放标准及其他按规定的排放协议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17" w:type="dxa"/>
                  <w:vMerge w:val="continue"/>
                  <w:vAlign w:val="center"/>
                </w:tcPr>
                <w:p>
                  <w:pPr>
                    <w:autoSpaceDE w:val="0"/>
                    <w:autoSpaceDN w:val="0"/>
                    <w:adjustRightInd w:val="0"/>
                    <w:spacing w:line="220" w:lineRule="exact"/>
                    <w:jc w:val="center"/>
                    <w:rPr>
                      <w:rFonts w:ascii="Times New Roman" w:hAnsi="Times New Roman"/>
                      <w:kern w:val="0"/>
                      <w:sz w:val="21"/>
                      <w:szCs w:val="21"/>
                    </w:rPr>
                  </w:pPr>
                </w:p>
              </w:tc>
              <w:tc>
                <w:tcPr>
                  <w:tcW w:w="1417" w:type="dxa"/>
                  <w:vMerge w:val="continue"/>
                  <w:vAlign w:val="center"/>
                </w:tcPr>
                <w:p>
                  <w:pPr>
                    <w:autoSpaceDE w:val="0"/>
                    <w:autoSpaceDN w:val="0"/>
                    <w:adjustRightInd w:val="0"/>
                    <w:spacing w:line="220" w:lineRule="exact"/>
                    <w:jc w:val="center"/>
                    <w:rPr>
                      <w:rFonts w:ascii="Times New Roman" w:hAnsi="Times New Roman"/>
                      <w:kern w:val="0"/>
                      <w:sz w:val="21"/>
                      <w:szCs w:val="21"/>
                    </w:rPr>
                  </w:pPr>
                </w:p>
              </w:tc>
              <w:tc>
                <w:tcPr>
                  <w:tcW w:w="1390" w:type="dxa"/>
                  <w:vMerge w:val="continue"/>
                  <w:vAlign w:val="center"/>
                </w:tcPr>
                <w:p>
                  <w:pPr>
                    <w:autoSpaceDE w:val="0"/>
                    <w:autoSpaceDN w:val="0"/>
                    <w:adjustRightInd w:val="0"/>
                    <w:spacing w:line="220" w:lineRule="exact"/>
                    <w:jc w:val="center"/>
                    <w:rPr>
                      <w:rFonts w:ascii="Times New Roman" w:hAnsi="Times New Roman"/>
                      <w:kern w:val="0"/>
                      <w:sz w:val="21"/>
                      <w:szCs w:val="21"/>
                    </w:rPr>
                  </w:pPr>
                </w:p>
              </w:tc>
              <w:tc>
                <w:tcPr>
                  <w:tcW w:w="3097" w:type="dxa"/>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名称</w:t>
                  </w:r>
                </w:p>
              </w:tc>
              <w:tc>
                <w:tcPr>
                  <w:tcW w:w="2838" w:type="dxa"/>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浓度限值（mg/L）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3" w:hRule="atLeast"/>
              </w:trPr>
              <w:tc>
                <w:tcPr>
                  <w:tcW w:w="717" w:type="dxa"/>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1</w:t>
                  </w:r>
                </w:p>
              </w:tc>
              <w:tc>
                <w:tcPr>
                  <w:tcW w:w="1417" w:type="dxa"/>
                  <w:vMerge w:val="restart"/>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D1</w:t>
                  </w:r>
                </w:p>
              </w:tc>
              <w:tc>
                <w:tcPr>
                  <w:tcW w:w="1390" w:type="dxa"/>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COD</w:t>
                  </w:r>
                  <w:r>
                    <w:rPr>
                      <w:rFonts w:ascii="Times New Roman" w:hAnsi="Times New Roman"/>
                      <w:kern w:val="0"/>
                      <w:sz w:val="21"/>
                      <w:szCs w:val="21"/>
                      <w:vertAlign w:val="subscript"/>
                    </w:rPr>
                    <w:t>Cr</w:t>
                  </w:r>
                </w:p>
              </w:tc>
              <w:tc>
                <w:tcPr>
                  <w:tcW w:w="3097" w:type="dxa"/>
                  <w:vMerge w:val="restart"/>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《污水排入城镇下水道水质标准》（GB/T31962-2015）表1中的B等级标准</w:t>
                  </w:r>
                </w:p>
              </w:tc>
              <w:tc>
                <w:tcPr>
                  <w:tcW w:w="2838" w:type="dxa"/>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3" w:hRule="atLeast"/>
              </w:trPr>
              <w:tc>
                <w:tcPr>
                  <w:tcW w:w="717" w:type="dxa"/>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2</w:t>
                  </w:r>
                </w:p>
              </w:tc>
              <w:tc>
                <w:tcPr>
                  <w:tcW w:w="1417" w:type="dxa"/>
                  <w:vMerge w:val="continue"/>
                  <w:vAlign w:val="center"/>
                </w:tcPr>
                <w:p>
                  <w:pPr>
                    <w:autoSpaceDE w:val="0"/>
                    <w:autoSpaceDN w:val="0"/>
                    <w:adjustRightInd w:val="0"/>
                    <w:spacing w:line="220" w:lineRule="exact"/>
                    <w:jc w:val="center"/>
                    <w:rPr>
                      <w:rFonts w:ascii="Times New Roman" w:hAnsi="Times New Roman"/>
                      <w:kern w:val="0"/>
                      <w:sz w:val="21"/>
                      <w:szCs w:val="21"/>
                    </w:rPr>
                  </w:pPr>
                </w:p>
              </w:tc>
              <w:tc>
                <w:tcPr>
                  <w:tcW w:w="1390" w:type="dxa"/>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氨氮</w:t>
                  </w:r>
                </w:p>
              </w:tc>
              <w:tc>
                <w:tcPr>
                  <w:tcW w:w="3097" w:type="dxa"/>
                  <w:vMerge w:val="continue"/>
                  <w:vAlign w:val="center"/>
                </w:tcPr>
                <w:p>
                  <w:pPr>
                    <w:autoSpaceDE w:val="0"/>
                    <w:autoSpaceDN w:val="0"/>
                    <w:adjustRightInd w:val="0"/>
                    <w:spacing w:line="220" w:lineRule="exact"/>
                    <w:jc w:val="center"/>
                    <w:rPr>
                      <w:rFonts w:ascii="Times New Roman" w:hAnsi="Times New Roman"/>
                      <w:kern w:val="0"/>
                      <w:sz w:val="21"/>
                      <w:szCs w:val="21"/>
                    </w:rPr>
                  </w:pPr>
                </w:p>
              </w:tc>
              <w:tc>
                <w:tcPr>
                  <w:tcW w:w="2838" w:type="dxa"/>
                  <w:vAlign w:val="center"/>
                </w:tcPr>
                <w:p>
                  <w:pPr>
                    <w:autoSpaceDE w:val="0"/>
                    <w:autoSpaceDN w:val="0"/>
                    <w:adjustRightInd w:val="0"/>
                    <w:spacing w:line="220" w:lineRule="exact"/>
                    <w:jc w:val="center"/>
                    <w:rPr>
                      <w:rFonts w:ascii="Times New Roman" w:hAnsi="Times New Roman"/>
                      <w:kern w:val="0"/>
                      <w:sz w:val="21"/>
                      <w:szCs w:val="21"/>
                    </w:rPr>
                  </w:pPr>
                  <w:r>
                    <w:rPr>
                      <w:rFonts w:ascii="Times New Roman" w:hAnsi="Times New Roman"/>
                      <w:kern w:val="0"/>
                      <w:sz w:val="21"/>
                      <w:szCs w:val="21"/>
                    </w:rPr>
                    <w:t>45</w:t>
                  </w:r>
                </w:p>
              </w:tc>
            </w:tr>
          </w:tbl>
          <w:p>
            <w:pPr>
              <w:autoSpaceDE w:val="0"/>
              <w:autoSpaceDN w:val="0"/>
              <w:adjustRightInd w:val="0"/>
              <w:spacing w:line="360" w:lineRule="auto"/>
              <w:ind w:firstLine="480" w:firstLineChars="200"/>
              <w:jc w:val="left"/>
              <w:rPr>
                <w:rFonts w:ascii="Times New Roman" w:hAnsi="Times New Roman"/>
                <w:kern w:val="0"/>
                <w:szCs w:val="24"/>
              </w:rPr>
            </w:pPr>
            <w:r>
              <w:rPr>
                <w:rFonts w:ascii="Times New Roman" w:hAnsi="Times New Roman"/>
                <w:kern w:val="0"/>
                <w:szCs w:val="24"/>
              </w:rPr>
              <w:t>项目废水污染物排放信息如下表：</w:t>
            </w:r>
          </w:p>
          <w:p>
            <w:pPr>
              <w:adjustRightInd w:val="0"/>
              <w:snapToGrid w:val="0"/>
              <w:spacing w:line="460" w:lineRule="exact"/>
              <w:jc w:val="center"/>
              <w:rPr>
                <w:rFonts w:ascii="Times New Roman" w:hAnsi="Times New Roman" w:eastAsia="黑体"/>
                <w:kern w:val="0"/>
                <w:szCs w:val="24"/>
              </w:rPr>
            </w:pPr>
            <w:r>
              <w:rPr>
                <w:rFonts w:ascii="Times New Roman" w:hAnsi="Times New Roman" w:eastAsia="黑体"/>
                <w:kern w:val="0"/>
                <w:szCs w:val="24"/>
              </w:rPr>
              <w:t>表3</w:t>
            </w:r>
            <w:r>
              <w:rPr>
                <w:rFonts w:hint="eastAsia" w:ascii="Times New Roman" w:hAnsi="Times New Roman" w:eastAsia="黑体"/>
                <w:kern w:val="0"/>
                <w:szCs w:val="24"/>
              </w:rPr>
              <w:t>3</w:t>
            </w:r>
            <w:r>
              <w:rPr>
                <w:rFonts w:ascii="Times New Roman" w:hAnsi="Times New Roman" w:eastAsia="黑体"/>
                <w:kern w:val="0"/>
                <w:szCs w:val="24"/>
              </w:rPr>
              <w:t xml:space="preserve"> 废水污染物排放信息表</w:t>
            </w:r>
          </w:p>
          <w:tbl>
            <w:tblPr>
              <w:tblStyle w:val="30"/>
              <w:tblW w:w="945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5"/>
              <w:gridCol w:w="1345"/>
              <w:gridCol w:w="1495"/>
              <w:gridCol w:w="1945"/>
              <w:gridCol w:w="1945"/>
              <w:gridCol w:w="18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45" w:type="dxa"/>
                  <w:vAlign w:val="center"/>
                </w:tcPr>
                <w:p>
                  <w:pPr>
                    <w:autoSpaceDE w:val="0"/>
                    <w:autoSpaceDN w:val="0"/>
                    <w:adjustRightInd w:val="0"/>
                    <w:jc w:val="center"/>
                    <w:rPr>
                      <w:rFonts w:ascii="Times New Roman" w:hAnsi="Times New Roman"/>
                      <w:kern w:val="0"/>
                      <w:sz w:val="21"/>
                      <w:szCs w:val="21"/>
                    </w:rPr>
                  </w:pPr>
                  <w:r>
                    <w:rPr>
                      <w:rFonts w:ascii="Times New Roman" w:hAnsi="Times New Roman"/>
                      <w:kern w:val="0"/>
                      <w:sz w:val="21"/>
                      <w:szCs w:val="21"/>
                    </w:rPr>
                    <w:t>序号</w:t>
                  </w:r>
                </w:p>
              </w:tc>
              <w:tc>
                <w:tcPr>
                  <w:tcW w:w="1345" w:type="dxa"/>
                  <w:vAlign w:val="center"/>
                </w:tcPr>
                <w:p>
                  <w:pPr>
                    <w:autoSpaceDE w:val="0"/>
                    <w:autoSpaceDN w:val="0"/>
                    <w:adjustRightInd w:val="0"/>
                    <w:jc w:val="center"/>
                    <w:rPr>
                      <w:rFonts w:ascii="Times New Roman" w:hAnsi="Times New Roman"/>
                      <w:kern w:val="0"/>
                      <w:sz w:val="21"/>
                      <w:szCs w:val="21"/>
                    </w:rPr>
                  </w:pPr>
                  <w:r>
                    <w:rPr>
                      <w:rFonts w:ascii="Times New Roman" w:hAnsi="Times New Roman"/>
                      <w:kern w:val="0"/>
                      <w:sz w:val="21"/>
                      <w:szCs w:val="21"/>
                    </w:rPr>
                    <w:t>排放口编号</w:t>
                  </w:r>
                </w:p>
              </w:tc>
              <w:tc>
                <w:tcPr>
                  <w:tcW w:w="1495" w:type="dxa"/>
                  <w:vAlign w:val="center"/>
                </w:tcPr>
                <w:p>
                  <w:pPr>
                    <w:autoSpaceDE w:val="0"/>
                    <w:autoSpaceDN w:val="0"/>
                    <w:adjustRightInd w:val="0"/>
                    <w:jc w:val="center"/>
                    <w:rPr>
                      <w:rFonts w:ascii="Times New Roman" w:hAnsi="Times New Roman"/>
                      <w:kern w:val="0"/>
                      <w:sz w:val="21"/>
                      <w:szCs w:val="21"/>
                    </w:rPr>
                  </w:pPr>
                  <w:r>
                    <w:rPr>
                      <w:rFonts w:ascii="Times New Roman" w:hAnsi="Times New Roman"/>
                      <w:kern w:val="0"/>
                      <w:sz w:val="21"/>
                      <w:szCs w:val="21"/>
                    </w:rPr>
                    <w:t>污染物种类</w:t>
                  </w:r>
                </w:p>
              </w:tc>
              <w:tc>
                <w:tcPr>
                  <w:tcW w:w="1945" w:type="dxa"/>
                  <w:vAlign w:val="center"/>
                </w:tcPr>
                <w:p>
                  <w:pPr>
                    <w:autoSpaceDE w:val="0"/>
                    <w:autoSpaceDN w:val="0"/>
                    <w:adjustRightInd w:val="0"/>
                    <w:jc w:val="center"/>
                    <w:rPr>
                      <w:rFonts w:ascii="Times New Roman" w:hAnsi="Times New Roman"/>
                      <w:kern w:val="0"/>
                      <w:sz w:val="21"/>
                      <w:szCs w:val="21"/>
                    </w:rPr>
                  </w:pPr>
                  <w:r>
                    <w:rPr>
                      <w:rFonts w:ascii="Times New Roman" w:hAnsi="Times New Roman"/>
                      <w:kern w:val="0"/>
                      <w:sz w:val="21"/>
                      <w:szCs w:val="21"/>
                    </w:rPr>
                    <w:t>排放浓度（mg/L）</w:t>
                  </w:r>
                </w:p>
              </w:tc>
              <w:tc>
                <w:tcPr>
                  <w:tcW w:w="1945" w:type="dxa"/>
                  <w:vAlign w:val="center"/>
                </w:tcPr>
                <w:p>
                  <w:pPr>
                    <w:autoSpaceDE w:val="0"/>
                    <w:autoSpaceDN w:val="0"/>
                    <w:adjustRightInd w:val="0"/>
                    <w:jc w:val="center"/>
                    <w:rPr>
                      <w:rFonts w:ascii="Times New Roman" w:hAnsi="Times New Roman"/>
                      <w:kern w:val="0"/>
                      <w:sz w:val="21"/>
                      <w:szCs w:val="21"/>
                    </w:rPr>
                  </w:pPr>
                  <w:r>
                    <w:rPr>
                      <w:rFonts w:ascii="Times New Roman" w:hAnsi="Times New Roman"/>
                      <w:kern w:val="0"/>
                      <w:sz w:val="21"/>
                      <w:szCs w:val="21"/>
                    </w:rPr>
                    <w:t>日排放量（t/d）</w:t>
                  </w:r>
                </w:p>
              </w:tc>
              <w:tc>
                <w:tcPr>
                  <w:tcW w:w="1884" w:type="dxa"/>
                  <w:vAlign w:val="center"/>
                </w:tcPr>
                <w:p>
                  <w:pPr>
                    <w:autoSpaceDE w:val="0"/>
                    <w:autoSpaceDN w:val="0"/>
                    <w:adjustRightInd w:val="0"/>
                    <w:jc w:val="center"/>
                    <w:rPr>
                      <w:rFonts w:ascii="Times New Roman" w:hAnsi="Times New Roman"/>
                      <w:kern w:val="0"/>
                      <w:sz w:val="21"/>
                      <w:szCs w:val="21"/>
                    </w:rPr>
                  </w:pPr>
                  <w:r>
                    <w:rPr>
                      <w:rFonts w:ascii="Times New Roman" w:hAnsi="Times New Roman"/>
                      <w:kern w:val="0"/>
                      <w:sz w:val="21"/>
                      <w:szCs w:val="21"/>
                    </w:rPr>
                    <w:t>年排放量（t/a）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57" w:hRule="atLeast"/>
              </w:trPr>
              <w:tc>
                <w:tcPr>
                  <w:tcW w:w="845" w:type="dxa"/>
                  <w:vAlign w:val="center"/>
                </w:tcPr>
                <w:p>
                  <w:pPr>
                    <w:autoSpaceDE w:val="0"/>
                    <w:autoSpaceDN w:val="0"/>
                    <w:adjustRightInd w:val="0"/>
                    <w:jc w:val="center"/>
                    <w:rPr>
                      <w:rFonts w:ascii="Times New Roman" w:hAnsi="Times New Roman"/>
                      <w:kern w:val="0"/>
                      <w:sz w:val="21"/>
                      <w:szCs w:val="21"/>
                    </w:rPr>
                  </w:pPr>
                  <w:r>
                    <w:rPr>
                      <w:rFonts w:ascii="Times New Roman" w:hAnsi="Times New Roman"/>
                      <w:kern w:val="0"/>
                      <w:sz w:val="21"/>
                      <w:szCs w:val="21"/>
                    </w:rPr>
                    <w:t>1</w:t>
                  </w:r>
                </w:p>
              </w:tc>
              <w:tc>
                <w:tcPr>
                  <w:tcW w:w="1345" w:type="dxa"/>
                  <w:vMerge w:val="restart"/>
                  <w:vAlign w:val="center"/>
                </w:tcPr>
                <w:p>
                  <w:pPr>
                    <w:autoSpaceDE w:val="0"/>
                    <w:autoSpaceDN w:val="0"/>
                    <w:adjustRightInd w:val="0"/>
                    <w:jc w:val="center"/>
                    <w:rPr>
                      <w:rFonts w:ascii="Times New Roman" w:hAnsi="Times New Roman"/>
                      <w:kern w:val="0"/>
                      <w:sz w:val="21"/>
                      <w:szCs w:val="21"/>
                    </w:rPr>
                  </w:pPr>
                  <w:r>
                    <w:rPr>
                      <w:rFonts w:ascii="Times New Roman" w:hAnsi="Times New Roman"/>
                      <w:kern w:val="0"/>
                      <w:sz w:val="21"/>
                      <w:szCs w:val="21"/>
                    </w:rPr>
                    <w:t>D1</w:t>
                  </w:r>
                </w:p>
              </w:tc>
              <w:tc>
                <w:tcPr>
                  <w:tcW w:w="1495" w:type="dxa"/>
                  <w:vAlign w:val="center"/>
                </w:tcPr>
                <w:p>
                  <w:pPr>
                    <w:autoSpaceDE w:val="0"/>
                    <w:autoSpaceDN w:val="0"/>
                    <w:adjustRightInd w:val="0"/>
                    <w:jc w:val="center"/>
                    <w:rPr>
                      <w:rFonts w:ascii="Times New Roman" w:hAnsi="Times New Roman"/>
                      <w:kern w:val="0"/>
                      <w:sz w:val="21"/>
                      <w:szCs w:val="21"/>
                    </w:rPr>
                  </w:pPr>
                  <w:r>
                    <w:rPr>
                      <w:rFonts w:ascii="Times New Roman" w:hAnsi="Times New Roman"/>
                      <w:kern w:val="0"/>
                      <w:sz w:val="21"/>
                      <w:szCs w:val="21"/>
                    </w:rPr>
                    <w:t>COD</w:t>
                  </w:r>
                  <w:r>
                    <w:rPr>
                      <w:rFonts w:ascii="Times New Roman" w:hAnsi="Times New Roman"/>
                      <w:kern w:val="0"/>
                      <w:sz w:val="21"/>
                      <w:szCs w:val="21"/>
                      <w:vertAlign w:val="subscript"/>
                    </w:rPr>
                    <w:t>Cr</w:t>
                  </w:r>
                </w:p>
              </w:tc>
              <w:tc>
                <w:tcPr>
                  <w:tcW w:w="1945" w:type="dxa"/>
                  <w:vAlign w:val="center"/>
                </w:tcPr>
                <w:p>
                  <w:pPr>
                    <w:autoSpaceDE w:val="0"/>
                    <w:autoSpaceDN w:val="0"/>
                    <w:adjustRightInd w:val="0"/>
                    <w:jc w:val="center"/>
                    <w:rPr>
                      <w:rFonts w:ascii="Times New Roman" w:hAnsi="Times New Roman"/>
                      <w:kern w:val="0"/>
                      <w:sz w:val="21"/>
                      <w:szCs w:val="21"/>
                    </w:rPr>
                  </w:pPr>
                  <w:r>
                    <w:rPr>
                      <w:rFonts w:ascii="Times New Roman" w:hAnsi="Times New Roman"/>
                      <w:kern w:val="0"/>
                      <w:sz w:val="21"/>
                      <w:szCs w:val="21"/>
                    </w:rPr>
                    <w:t>500</w:t>
                  </w:r>
                </w:p>
              </w:tc>
              <w:tc>
                <w:tcPr>
                  <w:tcW w:w="1945" w:type="dxa"/>
                  <w:vAlign w:val="center"/>
                </w:tcPr>
                <w:p>
                  <w:pPr>
                    <w:autoSpaceDE w:val="0"/>
                    <w:autoSpaceDN w:val="0"/>
                    <w:adjustRightInd w:val="0"/>
                    <w:jc w:val="center"/>
                    <w:rPr>
                      <w:rFonts w:ascii="Times New Roman" w:hAnsi="Times New Roman"/>
                      <w:kern w:val="0"/>
                      <w:sz w:val="21"/>
                      <w:szCs w:val="21"/>
                    </w:rPr>
                  </w:pPr>
                  <w:r>
                    <w:rPr>
                      <w:rFonts w:hint="eastAsia" w:ascii="Times New Roman" w:hAnsi="Times New Roman"/>
                      <w:kern w:val="0"/>
                      <w:sz w:val="21"/>
                      <w:szCs w:val="21"/>
                    </w:rPr>
                    <w:t>0</w:t>
                  </w:r>
                  <w:r>
                    <w:rPr>
                      <w:rFonts w:ascii="Times New Roman" w:hAnsi="Times New Roman"/>
                      <w:kern w:val="0"/>
                      <w:sz w:val="21"/>
                      <w:szCs w:val="21"/>
                    </w:rPr>
                    <w:t>.0002</w:t>
                  </w:r>
                </w:p>
              </w:tc>
              <w:tc>
                <w:tcPr>
                  <w:tcW w:w="1884" w:type="dxa"/>
                  <w:vAlign w:val="center"/>
                </w:tcPr>
                <w:p>
                  <w:pPr>
                    <w:autoSpaceDE w:val="0"/>
                    <w:autoSpaceDN w:val="0"/>
                    <w:adjustRightInd w:val="0"/>
                    <w:jc w:val="center"/>
                    <w:rPr>
                      <w:rFonts w:ascii="Times New Roman" w:hAnsi="Times New Roman"/>
                      <w:kern w:val="0"/>
                      <w:sz w:val="21"/>
                      <w:szCs w:val="21"/>
                    </w:rPr>
                  </w:pPr>
                  <w:r>
                    <w:rPr>
                      <w:rFonts w:hint="eastAsia" w:ascii="Times New Roman" w:hAnsi="Times New Roman"/>
                      <w:kern w:val="0"/>
                      <w:sz w:val="21"/>
                      <w:szCs w:val="21"/>
                    </w:rPr>
                    <w:t>0</w:t>
                  </w:r>
                  <w:r>
                    <w:rPr>
                      <w:rFonts w:ascii="Times New Roman" w:hAnsi="Times New Roman"/>
                      <w:kern w:val="0"/>
                      <w:sz w:val="21"/>
                      <w:szCs w:val="21"/>
                    </w:rPr>
                    <w:t>.06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45" w:type="dxa"/>
                  <w:vAlign w:val="center"/>
                </w:tcPr>
                <w:p>
                  <w:pPr>
                    <w:autoSpaceDE w:val="0"/>
                    <w:autoSpaceDN w:val="0"/>
                    <w:adjustRightInd w:val="0"/>
                    <w:jc w:val="center"/>
                    <w:rPr>
                      <w:rFonts w:ascii="Times New Roman" w:hAnsi="Times New Roman"/>
                      <w:kern w:val="0"/>
                      <w:sz w:val="21"/>
                      <w:szCs w:val="21"/>
                    </w:rPr>
                  </w:pPr>
                  <w:r>
                    <w:rPr>
                      <w:rFonts w:ascii="Times New Roman" w:hAnsi="Times New Roman"/>
                      <w:kern w:val="0"/>
                      <w:sz w:val="21"/>
                      <w:szCs w:val="21"/>
                    </w:rPr>
                    <w:t>2</w:t>
                  </w:r>
                </w:p>
              </w:tc>
              <w:tc>
                <w:tcPr>
                  <w:tcW w:w="1345" w:type="dxa"/>
                  <w:vMerge w:val="continue"/>
                  <w:vAlign w:val="center"/>
                </w:tcPr>
                <w:p>
                  <w:pPr>
                    <w:autoSpaceDE w:val="0"/>
                    <w:autoSpaceDN w:val="0"/>
                    <w:adjustRightInd w:val="0"/>
                    <w:jc w:val="center"/>
                    <w:rPr>
                      <w:rFonts w:ascii="Times New Roman" w:hAnsi="Times New Roman"/>
                      <w:kern w:val="0"/>
                      <w:sz w:val="21"/>
                      <w:szCs w:val="21"/>
                    </w:rPr>
                  </w:pPr>
                </w:p>
              </w:tc>
              <w:tc>
                <w:tcPr>
                  <w:tcW w:w="1495" w:type="dxa"/>
                  <w:vAlign w:val="center"/>
                </w:tcPr>
                <w:p>
                  <w:pPr>
                    <w:autoSpaceDE w:val="0"/>
                    <w:autoSpaceDN w:val="0"/>
                    <w:adjustRightInd w:val="0"/>
                    <w:jc w:val="center"/>
                    <w:rPr>
                      <w:rFonts w:ascii="Times New Roman" w:hAnsi="Times New Roman"/>
                      <w:kern w:val="0"/>
                      <w:sz w:val="21"/>
                      <w:szCs w:val="21"/>
                    </w:rPr>
                  </w:pPr>
                  <w:r>
                    <w:rPr>
                      <w:rFonts w:ascii="Times New Roman" w:hAnsi="Times New Roman"/>
                      <w:kern w:val="0"/>
                      <w:sz w:val="21"/>
                      <w:szCs w:val="21"/>
                    </w:rPr>
                    <w:t>氨氮</w:t>
                  </w:r>
                </w:p>
              </w:tc>
              <w:tc>
                <w:tcPr>
                  <w:tcW w:w="1945" w:type="dxa"/>
                  <w:vAlign w:val="center"/>
                </w:tcPr>
                <w:p>
                  <w:pPr>
                    <w:autoSpaceDE w:val="0"/>
                    <w:autoSpaceDN w:val="0"/>
                    <w:adjustRightInd w:val="0"/>
                    <w:jc w:val="center"/>
                    <w:rPr>
                      <w:rFonts w:ascii="Times New Roman" w:hAnsi="Times New Roman"/>
                      <w:kern w:val="0"/>
                      <w:sz w:val="21"/>
                      <w:szCs w:val="21"/>
                    </w:rPr>
                  </w:pPr>
                  <w:r>
                    <w:rPr>
                      <w:rFonts w:ascii="Times New Roman" w:hAnsi="Times New Roman"/>
                      <w:kern w:val="0"/>
                      <w:sz w:val="21"/>
                      <w:szCs w:val="21"/>
                    </w:rPr>
                    <w:t>45</w:t>
                  </w:r>
                </w:p>
              </w:tc>
              <w:tc>
                <w:tcPr>
                  <w:tcW w:w="1945" w:type="dxa"/>
                  <w:vAlign w:val="center"/>
                </w:tcPr>
                <w:p>
                  <w:pPr>
                    <w:autoSpaceDE w:val="0"/>
                    <w:autoSpaceDN w:val="0"/>
                    <w:adjustRightInd w:val="0"/>
                    <w:jc w:val="center"/>
                    <w:rPr>
                      <w:rFonts w:ascii="Times New Roman" w:hAnsi="Times New Roman"/>
                      <w:kern w:val="0"/>
                      <w:sz w:val="21"/>
                      <w:szCs w:val="21"/>
                    </w:rPr>
                  </w:pPr>
                  <w:r>
                    <w:rPr>
                      <w:rFonts w:hint="eastAsia" w:ascii="Times New Roman" w:hAnsi="Times New Roman"/>
                      <w:kern w:val="0"/>
                      <w:sz w:val="21"/>
                      <w:szCs w:val="21"/>
                    </w:rPr>
                    <w:t>0</w:t>
                  </w:r>
                  <w:r>
                    <w:rPr>
                      <w:rFonts w:ascii="Times New Roman" w:hAnsi="Times New Roman"/>
                      <w:kern w:val="0"/>
                      <w:sz w:val="21"/>
                      <w:szCs w:val="21"/>
                    </w:rPr>
                    <w:t>.00002</w:t>
                  </w:r>
                </w:p>
              </w:tc>
              <w:tc>
                <w:tcPr>
                  <w:tcW w:w="1884" w:type="dxa"/>
                  <w:vAlign w:val="center"/>
                </w:tcPr>
                <w:p>
                  <w:pPr>
                    <w:autoSpaceDE w:val="0"/>
                    <w:autoSpaceDN w:val="0"/>
                    <w:adjustRightInd w:val="0"/>
                    <w:jc w:val="center"/>
                    <w:rPr>
                      <w:rFonts w:ascii="Times New Roman" w:hAnsi="Times New Roman"/>
                      <w:kern w:val="0"/>
                      <w:sz w:val="21"/>
                      <w:szCs w:val="21"/>
                    </w:rPr>
                  </w:pPr>
                  <w:r>
                    <w:rPr>
                      <w:rFonts w:hint="eastAsia" w:ascii="Times New Roman" w:hAnsi="Times New Roman"/>
                      <w:kern w:val="0"/>
                      <w:sz w:val="21"/>
                      <w:szCs w:val="21"/>
                    </w:rPr>
                    <w:t>0</w:t>
                  </w:r>
                  <w:r>
                    <w:rPr>
                      <w:rFonts w:ascii="Times New Roman" w:hAnsi="Times New Roman"/>
                      <w:kern w:val="0"/>
                      <w:sz w:val="21"/>
                      <w:szCs w:val="21"/>
                    </w:rPr>
                    <w:t>.005</w:t>
                  </w:r>
                </w:p>
              </w:tc>
            </w:tr>
          </w:tbl>
          <w:p>
            <w:pPr>
              <w:adjustRightInd w:val="0"/>
              <w:snapToGrid w:val="0"/>
              <w:spacing w:line="460" w:lineRule="exact"/>
              <w:jc w:val="center"/>
              <w:rPr>
                <w:rFonts w:ascii="Times New Roman" w:hAnsi="Times New Roman" w:eastAsia="黑体"/>
                <w:kern w:val="0"/>
                <w:szCs w:val="24"/>
              </w:rPr>
            </w:pPr>
            <w:r>
              <w:rPr>
                <w:rFonts w:ascii="Times New Roman" w:hAnsi="Times New Roman" w:eastAsia="黑体"/>
                <w:kern w:val="0"/>
                <w:szCs w:val="24"/>
              </w:rPr>
              <w:t>表3</w:t>
            </w:r>
            <w:r>
              <w:rPr>
                <w:rFonts w:hint="eastAsia" w:ascii="Times New Roman" w:hAnsi="Times New Roman" w:eastAsia="黑体"/>
                <w:kern w:val="0"/>
                <w:szCs w:val="24"/>
              </w:rPr>
              <w:t>4</w:t>
            </w:r>
            <w:r>
              <w:rPr>
                <w:rFonts w:ascii="Times New Roman" w:hAnsi="Times New Roman" w:eastAsia="黑体"/>
                <w:kern w:val="0"/>
                <w:szCs w:val="24"/>
              </w:rPr>
              <w:t xml:space="preserve"> 地表水环境影响评价自查表</w:t>
            </w:r>
          </w:p>
          <w:tbl>
            <w:tblPr>
              <w:tblStyle w:val="30"/>
              <w:tblW w:w="946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9"/>
              <w:gridCol w:w="1740"/>
              <w:gridCol w:w="1141"/>
              <w:gridCol w:w="142"/>
              <w:gridCol w:w="1043"/>
              <w:gridCol w:w="134"/>
              <w:gridCol w:w="403"/>
              <w:gridCol w:w="986"/>
              <w:gridCol w:w="272"/>
              <w:gridCol w:w="1366"/>
              <w:gridCol w:w="38"/>
              <w:gridCol w:w="17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36" w:hRule="atLeast"/>
                <w:jc w:val="center"/>
              </w:trPr>
              <w:tc>
                <w:tcPr>
                  <w:tcW w:w="2159" w:type="dxa"/>
                  <w:gridSpan w:val="2"/>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作内容</w:t>
                  </w:r>
                </w:p>
              </w:tc>
              <w:tc>
                <w:tcPr>
                  <w:tcW w:w="7302" w:type="dxa"/>
                  <w:gridSpan w:val="10"/>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自查项目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36" w:hRule="atLeast"/>
                <w:jc w:val="center"/>
              </w:trPr>
              <w:tc>
                <w:tcPr>
                  <w:tcW w:w="419" w:type="dxa"/>
                  <w:vMerge w:val="restart"/>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影</w:t>
                  </w:r>
                </w:p>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响</w:t>
                  </w:r>
                </w:p>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识</w:t>
                  </w:r>
                </w:p>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别</w:t>
                  </w:r>
                </w:p>
                <w:p>
                  <w:pPr>
                    <w:tabs>
                      <w:tab w:val="left" w:pos="630"/>
                    </w:tabs>
                    <w:adjustRightInd w:val="0"/>
                    <w:snapToGrid w:val="0"/>
                    <w:jc w:val="center"/>
                    <w:rPr>
                      <w:rFonts w:ascii="Times New Roman" w:hAnsi="Times New Roman"/>
                      <w:spacing w:val="-10"/>
                      <w:kern w:val="2"/>
                      <w:sz w:val="21"/>
                      <w:szCs w:val="21"/>
                    </w:rPr>
                  </w:pPr>
                </w:p>
              </w:tc>
              <w:tc>
                <w:tcPr>
                  <w:tcW w:w="1740" w:type="dxa"/>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影响类型</w:t>
                  </w:r>
                </w:p>
              </w:tc>
              <w:tc>
                <w:tcPr>
                  <w:tcW w:w="7302" w:type="dxa"/>
                  <w:gridSpan w:val="10"/>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水污染影响型</w:t>
                  </w:r>
                  <w:r>
                    <w:rPr>
                      <w:rFonts w:ascii="Times New Roman" w:hAnsi="Times New Roman"/>
                      <w:spacing w:val="-10"/>
                      <w:kern w:val="2"/>
                      <w:sz w:val="21"/>
                      <w:szCs w:val="21"/>
                    </w:rPr>
                    <w:sym w:font="Wingdings 2" w:char="0052"/>
                  </w:r>
                  <w:r>
                    <w:rPr>
                      <w:rFonts w:ascii="Times New Roman" w:hAnsi="Times New Roman"/>
                      <w:spacing w:val="-10"/>
                      <w:kern w:val="2"/>
                      <w:sz w:val="21"/>
                      <w:szCs w:val="21"/>
                    </w:rPr>
                    <w:t>；水文要素影响型□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53" w:hRule="atLeast"/>
                <w:jc w:val="center"/>
              </w:trPr>
              <w:tc>
                <w:tcPr>
                  <w:tcW w:w="419" w:type="dxa"/>
                  <w:vMerge w:val="continue"/>
                  <w:shd w:val="clear" w:color="auto" w:fill="auto"/>
                  <w:vAlign w:val="center"/>
                </w:tcPr>
                <w:p>
                  <w:pPr>
                    <w:adjustRightInd w:val="0"/>
                    <w:snapToGrid w:val="0"/>
                    <w:ind w:left="630"/>
                    <w:jc w:val="center"/>
                    <w:rPr>
                      <w:rFonts w:ascii="Times New Roman" w:hAnsi="Times New Roman"/>
                      <w:spacing w:val="-10"/>
                      <w:kern w:val="2"/>
                      <w:sz w:val="21"/>
                      <w:szCs w:val="21"/>
                    </w:rPr>
                  </w:pPr>
                </w:p>
              </w:tc>
              <w:tc>
                <w:tcPr>
                  <w:tcW w:w="1740" w:type="dxa"/>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水环境保护目标</w:t>
                  </w:r>
                </w:p>
              </w:tc>
              <w:tc>
                <w:tcPr>
                  <w:tcW w:w="7302" w:type="dxa"/>
                  <w:gridSpan w:val="10"/>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饮用水水源保护区□；饮用水取水口□；涉水的自然保护区□；重要湿地□；重点保护与珍稀水生生物的栖息地□；重要水生生物的自然产卵场及索饵场、越冬场和洄游通道、天然渔场等渔业水体□；涉水的风景名胜区□；其他□</w:t>
                  </w:r>
                  <w:r>
                    <w:rPr>
                      <w:rFonts w:ascii="Times New Roman" w:hAnsi="Times New Roman"/>
                      <w:spacing w:val="-10"/>
                      <w:kern w:val="2"/>
                      <w:sz w:val="21"/>
                      <w:szCs w:val="21"/>
                    </w:rPr>
                    <w:sym w:font="Times New Roman" w:char="0000"/>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36" w:hRule="atLeast"/>
                <w:jc w:val="center"/>
              </w:trPr>
              <w:tc>
                <w:tcPr>
                  <w:tcW w:w="419" w:type="dxa"/>
                  <w:vMerge w:val="continue"/>
                  <w:shd w:val="clear" w:color="auto" w:fill="auto"/>
                  <w:vAlign w:val="center"/>
                </w:tcPr>
                <w:p>
                  <w:pPr>
                    <w:adjustRightInd w:val="0"/>
                    <w:snapToGrid w:val="0"/>
                    <w:ind w:left="630"/>
                    <w:jc w:val="center"/>
                    <w:rPr>
                      <w:rFonts w:ascii="Times New Roman" w:hAnsi="Times New Roman"/>
                      <w:spacing w:val="-10"/>
                      <w:kern w:val="2"/>
                      <w:sz w:val="21"/>
                      <w:szCs w:val="21"/>
                    </w:rPr>
                  </w:pPr>
                </w:p>
              </w:tc>
              <w:tc>
                <w:tcPr>
                  <w:tcW w:w="1740" w:type="dxa"/>
                  <w:vMerge w:val="restart"/>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影响途径</w:t>
                  </w:r>
                </w:p>
              </w:tc>
              <w:tc>
                <w:tcPr>
                  <w:tcW w:w="3849" w:type="dxa"/>
                  <w:gridSpan w:val="6"/>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水污染影响型</w:t>
                  </w:r>
                </w:p>
              </w:tc>
              <w:tc>
                <w:tcPr>
                  <w:tcW w:w="3453" w:type="dxa"/>
                  <w:gridSpan w:val="4"/>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水文要素影响型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36" w:hRule="atLeast"/>
                <w:jc w:val="center"/>
              </w:trPr>
              <w:tc>
                <w:tcPr>
                  <w:tcW w:w="419" w:type="dxa"/>
                  <w:vMerge w:val="continue"/>
                  <w:shd w:val="clear" w:color="auto" w:fill="auto"/>
                  <w:vAlign w:val="center"/>
                </w:tcPr>
                <w:p>
                  <w:pPr>
                    <w:adjustRightInd w:val="0"/>
                    <w:snapToGrid w:val="0"/>
                    <w:ind w:left="630"/>
                    <w:jc w:val="center"/>
                    <w:rPr>
                      <w:rFonts w:ascii="Times New Roman" w:hAnsi="Times New Roman"/>
                      <w:spacing w:val="-10"/>
                      <w:kern w:val="2"/>
                      <w:sz w:val="21"/>
                      <w:szCs w:val="21"/>
                    </w:rPr>
                  </w:pPr>
                </w:p>
              </w:tc>
              <w:tc>
                <w:tcPr>
                  <w:tcW w:w="1740" w:type="dxa"/>
                  <w:vMerge w:val="continue"/>
                  <w:shd w:val="clear" w:color="auto" w:fill="auto"/>
                  <w:vAlign w:val="center"/>
                </w:tcPr>
                <w:p>
                  <w:pPr>
                    <w:adjustRightInd w:val="0"/>
                    <w:snapToGrid w:val="0"/>
                    <w:ind w:left="630"/>
                    <w:jc w:val="center"/>
                    <w:rPr>
                      <w:rFonts w:ascii="Times New Roman" w:hAnsi="Times New Roman"/>
                      <w:spacing w:val="-10"/>
                      <w:kern w:val="2"/>
                      <w:sz w:val="21"/>
                      <w:szCs w:val="21"/>
                    </w:rPr>
                  </w:pPr>
                </w:p>
              </w:tc>
              <w:tc>
                <w:tcPr>
                  <w:tcW w:w="3849" w:type="dxa"/>
                  <w:gridSpan w:val="6"/>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直接排放</w:t>
                  </w:r>
                  <w:r>
                    <w:rPr>
                      <w:rFonts w:ascii="Times New Roman" w:hAnsi="Times New Roman"/>
                      <w:spacing w:val="-10"/>
                      <w:kern w:val="2"/>
                      <w:sz w:val="21"/>
                      <w:szCs w:val="21"/>
                    </w:rPr>
                    <w:sym w:font="Wingdings 2" w:char="00A3"/>
                  </w:r>
                  <w:r>
                    <w:rPr>
                      <w:rFonts w:ascii="Times New Roman" w:hAnsi="Times New Roman"/>
                      <w:spacing w:val="-10"/>
                      <w:kern w:val="2"/>
                      <w:sz w:val="21"/>
                      <w:szCs w:val="21"/>
                    </w:rPr>
                    <w:t>；间接排放</w:t>
                  </w:r>
                  <w:r>
                    <w:rPr>
                      <w:rFonts w:ascii="Times New Roman" w:hAnsi="Times New Roman"/>
                      <w:spacing w:val="-10"/>
                      <w:kern w:val="2"/>
                      <w:sz w:val="21"/>
                      <w:szCs w:val="21"/>
                    </w:rPr>
                    <w:sym w:font="Wingdings 2" w:char="0052"/>
                  </w:r>
                  <w:r>
                    <w:rPr>
                      <w:rFonts w:ascii="Times New Roman" w:hAnsi="Times New Roman"/>
                      <w:spacing w:val="-10"/>
                      <w:kern w:val="2"/>
                      <w:sz w:val="21"/>
                      <w:szCs w:val="21"/>
                    </w:rPr>
                    <w:t>；其他</w:t>
                  </w:r>
                  <w:r>
                    <w:rPr>
                      <w:rFonts w:ascii="Times New Roman" w:hAnsi="Times New Roman"/>
                      <w:spacing w:val="-10"/>
                      <w:kern w:val="2"/>
                      <w:sz w:val="21"/>
                      <w:szCs w:val="21"/>
                    </w:rPr>
                    <w:sym w:font="Wingdings 2" w:char="00A3"/>
                  </w:r>
                </w:p>
              </w:tc>
              <w:tc>
                <w:tcPr>
                  <w:tcW w:w="3453" w:type="dxa"/>
                  <w:gridSpan w:val="4"/>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水温□；径流□；水域面积□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53" w:hRule="atLeast"/>
                <w:jc w:val="center"/>
              </w:trPr>
              <w:tc>
                <w:tcPr>
                  <w:tcW w:w="419" w:type="dxa"/>
                  <w:vMerge w:val="continue"/>
                  <w:shd w:val="clear" w:color="auto" w:fill="auto"/>
                  <w:vAlign w:val="center"/>
                </w:tcPr>
                <w:p>
                  <w:pPr>
                    <w:adjustRightInd w:val="0"/>
                    <w:snapToGrid w:val="0"/>
                    <w:ind w:left="630"/>
                    <w:jc w:val="center"/>
                    <w:rPr>
                      <w:rFonts w:ascii="Times New Roman" w:hAnsi="Times New Roman"/>
                      <w:spacing w:val="-10"/>
                      <w:kern w:val="2"/>
                      <w:sz w:val="21"/>
                      <w:szCs w:val="21"/>
                    </w:rPr>
                  </w:pPr>
                </w:p>
              </w:tc>
              <w:tc>
                <w:tcPr>
                  <w:tcW w:w="1740" w:type="dxa"/>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影响因子</w:t>
                  </w:r>
                </w:p>
              </w:tc>
              <w:tc>
                <w:tcPr>
                  <w:tcW w:w="3849" w:type="dxa"/>
                  <w:gridSpan w:val="6"/>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持久性污染物□；有毒有害污染物</w:t>
                  </w:r>
                  <w:r>
                    <w:rPr>
                      <w:rFonts w:ascii="Times New Roman" w:hAnsi="Times New Roman"/>
                      <w:spacing w:val="-10"/>
                      <w:kern w:val="2"/>
                      <w:sz w:val="21"/>
                      <w:szCs w:val="21"/>
                    </w:rPr>
                    <w:sym w:font="Wingdings 2" w:char="00A3"/>
                  </w:r>
                  <w:r>
                    <w:rPr>
                      <w:rFonts w:ascii="Times New Roman" w:hAnsi="Times New Roman"/>
                      <w:spacing w:val="-10"/>
                      <w:kern w:val="2"/>
                      <w:sz w:val="21"/>
                      <w:szCs w:val="21"/>
                    </w:rPr>
                    <w:t>；</w:t>
                  </w:r>
                </w:p>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非持久性污染物</w:t>
                  </w:r>
                  <w:r>
                    <w:rPr>
                      <w:rFonts w:ascii="Times New Roman" w:hAnsi="Times New Roman"/>
                      <w:spacing w:val="-10"/>
                      <w:kern w:val="2"/>
                      <w:sz w:val="21"/>
                      <w:szCs w:val="21"/>
                    </w:rPr>
                    <w:sym w:font="Wingdings 2" w:char="0052"/>
                  </w:r>
                  <w:r>
                    <w:rPr>
                      <w:rFonts w:ascii="Times New Roman" w:hAnsi="Times New Roman"/>
                      <w:spacing w:val="-10"/>
                      <w:kern w:val="2"/>
                      <w:sz w:val="21"/>
                      <w:szCs w:val="21"/>
                    </w:rPr>
                    <w:t>；</w:t>
                  </w:r>
                </w:p>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pH值□；热污染□；富营养化□；其他□</w:t>
                  </w:r>
                  <w:r>
                    <w:rPr>
                      <w:rFonts w:ascii="Times New Roman" w:hAnsi="Times New Roman"/>
                      <w:spacing w:val="-10"/>
                      <w:kern w:val="2"/>
                      <w:sz w:val="21"/>
                      <w:szCs w:val="21"/>
                    </w:rPr>
                    <w:sym w:font="Times New Roman" w:char="0000"/>
                  </w:r>
                </w:p>
              </w:tc>
              <w:tc>
                <w:tcPr>
                  <w:tcW w:w="3453" w:type="dxa"/>
                  <w:gridSpan w:val="4"/>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水温□；水位（水深）□；流速□；流量□；其他□</w:t>
                  </w:r>
                  <w:r>
                    <w:rPr>
                      <w:rFonts w:ascii="Times New Roman" w:hAnsi="Times New Roman"/>
                      <w:spacing w:val="-10"/>
                      <w:kern w:val="2"/>
                      <w:sz w:val="21"/>
                      <w:szCs w:val="21"/>
                    </w:rPr>
                    <w:sym w:font="Times New Roman" w:char="0000"/>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36" w:hRule="atLeast"/>
                <w:jc w:val="center"/>
              </w:trPr>
              <w:tc>
                <w:tcPr>
                  <w:tcW w:w="2159" w:type="dxa"/>
                  <w:gridSpan w:val="2"/>
                  <w:vMerge w:val="restart"/>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评价等级</w:t>
                  </w:r>
                </w:p>
              </w:tc>
              <w:tc>
                <w:tcPr>
                  <w:tcW w:w="3849" w:type="dxa"/>
                  <w:gridSpan w:val="6"/>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水污染影响型</w:t>
                  </w:r>
                </w:p>
              </w:tc>
              <w:tc>
                <w:tcPr>
                  <w:tcW w:w="3453" w:type="dxa"/>
                  <w:gridSpan w:val="4"/>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水文要素影响型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36" w:hRule="atLeast"/>
                <w:jc w:val="center"/>
              </w:trPr>
              <w:tc>
                <w:tcPr>
                  <w:tcW w:w="2159" w:type="dxa"/>
                  <w:gridSpan w:val="2"/>
                  <w:vMerge w:val="continue"/>
                  <w:shd w:val="clear" w:color="auto" w:fill="auto"/>
                  <w:vAlign w:val="center"/>
                </w:tcPr>
                <w:p>
                  <w:pPr>
                    <w:adjustRightInd w:val="0"/>
                    <w:snapToGrid w:val="0"/>
                    <w:ind w:left="630"/>
                    <w:jc w:val="center"/>
                    <w:rPr>
                      <w:rFonts w:ascii="Times New Roman" w:hAnsi="Times New Roman"/>
                      <w:spacing w:val="-10"/>
                      <w:kern w:val="2"/>
                      <w:sz w:val="21"/>
                      <w:szCs w:val="21"/>
                    </w:rPr>
                  </w:pPr>
                </w:p>
              </w:tc>
              <w:tc>
                <w:tcPr>
                  <w:tcW w:w="3849" w:type="dxa"/>
                  <w:gridSpan w:val="6"/>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一级□；二级□；三级A□；三级B</w:t>
                  </w:r>
                  <w:r>
                    <w:rPr>
                      <w:rFonts w:ascii="Times New Roman" w:hAnsi="Times New Roman"/>
                      <w:spacing w:val="-10"/>
                      <w:kern w:val="2"/>
                      <w:sz w:val="21"/>
                      <w:szCs w:val="21"/>
                    </w:rPr>
                    <w:sym w:font="Wingdings 2" w:char="0052"/>
                  </w:r>
                </w:p>
              </w:tc>
              <w:tc>
                <w:tcPr>
                  <w:tcW w:w="3453" w:type="dxa"/>
                  <w:gridSpan w:val="4"/>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一级□；二级□；三级□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36" w:hRule="atLeast"/>
                <w:jc w:val="center"/>
              </w:trPr>
              <w:tc>
                <w:tcPr>
                  <w:tcW w:w="419" w:type="dxa"/>
                  <w:vMerge w:val="restart"/>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现</w:t>
                  </w:r>
                </w:p>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状</w:t>
                  </w:r>
                </w:p>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调</w:t>
                  </w:r>
                </w:p>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查</w:t>
                  </w:r>
                </w:p>
              </w:tc>
              <w:tc>
                <w:tcPr>
                  <w:tcW w:w="1740" w:type="dxa"/>
                  <w:vMerge w:val="restart"/>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区域污染源</w:t>
                  </w:r>
                </w:p>
              </w:tc>
              <w:tc>
                <w:tcPr>
                  <w:tcW w:w="3849" w:type="dxa"/>
                  <w:gridSpan w:val="6"/>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调查项目</w:t>
                  </w:r>
                </w:p>
              </w:tc>
              <w:tc>
                <w:tcPr>
                  <w:tcW w:w="3453" w:type="dxa"/>
                  <w:gridSpan w:val="4"/>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数据来源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53" w:hRule="atLeast"/>
                <w:jc w:val="center"/>
              </w:trPr>
              <w:tc>
                <w:tcPr>
                  <w:tcW w:w="419" w:type="dxa"/>
                  <w:vMerge w:val="continue"/>
                  <w:shd w:val="clear" w:color="auto" w:fill="auto"/>
                  <w:vAlign w:val="center"/>
                </w:tcPr>
                <w:p>
                  <w:pPr>
                    <w:adjustRightInd w:val="0"/>
                    <w:snapToGrid w:val="0"/>
                    <w:ind w:left="630"/>
                    <w:jc w:val="center"/>
                    <w:rPr>
                      <w:rFonts w:ascii="Times New Roman" w:hAnsi="Times New Roman"/>
                      <w:spacing w:val="-10"/>
                      <w:kern w:val="2"/>
                      <w:sz w:val="21"/>
                      <w:szCs w:val="21"/>
                    </w:rPr>
                  </w:pPr>
                </w:p>
              </w:tc>
              <w:tc>
                <w:tcPr>
                  <w:tcW w:w="1740" w:type="dxa"/>
                  <w:vMerge w:val="continue"/>
                  <w:shd w:val="clear" w:color="auto" w:fill="auto"/>
                  <w:vAlign w:val="center"/>
                </w:tcPr>
                <w:p>
                  <w:pPr>
                    <w:adjustRightInd w:val="0"/>
                    <w:snapToGrid w:val="0"/>
                    <w:ind w:left="630"/>
                    <w:jc w:val="center"/>
                    <w:rPr>
                      <w:rFonts w:ascii="Times New Roman" w:hAnsi="Times New Roman"/>
                      <w:spacing w:val="-10"/>
                      <w:kern w:val="2"/>
                      <w:sz w:val="21"/>
                      <w:szCs w:val="21"/>
                    </w:rPr>
                  </w:pPr>
                </w:p>
              </w:tc>
              <w:tc>
                <w:tcPr>
                  <w:tcW w:w="2460" w:type="dxa"/>
                  <w:gridSpan w:val="4"/>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已建□；在建□；拟建□；其他□</w:t>
                  </w:r>
                </w:p>
              </w:tc>
              <w:tc>
                <w:tcPr>
                  <w:tcW w:w="1389" w:type="dxa"/>
                  <w:gridSpan w:val="2"/>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拟替代的污染源□</w:t>
                  </w:r>
                </w:p>
              </w:tc>
              <w:tc>
                <w:tcPr>
                  <w:tcW w:w="3453" w:type="dxa"/>
                  <w:gridSpan w:val="4"/>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排污许可证□；环评□；环保验收□；既有实测</w:t>
                  </w:r>
                  <w:r>
                    <w:rPr>
                      <w:rFonts w:ascii="Times New Roman" w:hAnsi="Times New Roman"/>
                      <w:spacing w:val="-10"/>
                      <w:kern w:val="2"/>
                      <w:sz w:val="21"/>
                      <w:szCs w:val="21"/>
                    </w:rPr>
                    <w:sym w:font="Wingdings 2" w:char="0052"/>
                  </w:r>
                  <w:r>
                    <w:rPr>
                      <w:rFonts w:ascii="Times New Roman" w:hAnsi="Times New Roman"/>
                      <w:spacing w:val="-10"/>
                      <w:kern w:val="2"/>
                      <w:sz w:val="21"/>
                      <w:szCs w:val="21"/>
                    </w:rPr>
                    <w:t>；现场监测□；入河排放口数据□；其他□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36" w:hRule="atLeast"/>
                <w:jc w:val="center"/>
              </w:trPr>
              <w:tc>
                <w:tcPr>
                  <w:tcW w:w="419" w:type="dxa"/>
                  <w:vMerge w:val="continue"/>
                  <w:shd w:val="clear" w:color="auto" w:fill="auto"/>
                  <w:vAlign w:val="center"/>
                </w:tcPr>
                <w:p>
                  <w:pPr>
                    <w:adjustRightInd w:val="0"/>
                    <w:snapToGrid w:val="0"/>
                    <w:ind w:left="630"/>
                    <w:jc w:val="center"/>
                    <w:rPr>
                      <w:rFonts w:ascii="Times New Roman" w:hAnsi="Times New Roman"/>
                      <w:spacing w:val="-10"/>
                      <w:kern w:val="2"/>
                      <w:sz w:val="21"/>
                      <w:szCs w:val="21"/>
                    </w:rPr>
                  </w:pPr>
                </w:p>
              </w:tc>
              <w:tc>
                <w:tcPr>
                  <w:tcW w:w="1740" w:type="dxa"/>
                  <w:vMerge w:val="restart"/>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受影响水体水环境质量</w:t>
                  </w:r>
                </w:p>
              </w:tc>
              <w:tc>
                <w:tcPr>
                  <w:tcW w:w="3849" w:type="dxa"/>
                  <w:gridSpan w:val="6"/>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调查时期</w:t>
                  </w:r>
                </w:p>
              </w:tc>
              <w:tc>
                <w:tcPr>
                  <w:tcW w:w="3453" w:type="dxa"/>
                  <w:gridSpan w:val="4"/>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数据来源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82" w:hRule="atLeast"/>
                <w:jc w:val="center"/>
              </w:trPr>
              <w:tc>
                <w:tcPr>
                  <w:tcW w:w="419" w:type="dxa"/>
                  <w:vMerge w:val="continue"/>
                  <w:shd w:val="clear" w:color="auto" w:fill="auto"/>
                  <w:vAlign w:val="center"/>
                </w:tcPr>
                <w:p>
                  <w:pPr>
                    <w:adjustRightInd w:val="0"/>
                    <w:snapToGrid w:val="0"/>
                    <w:ind w:left="630"/>
                    <w:jc w:val="center"/>
                    <w:rPr>
                      <w:rFonts w:ascii="Times New Roman" w:hAnsi="Times New Roman"/>
                      <w:spacing w:val="-10"/>
                      <w:kern w:val="2"/>
                      <w:sz w:val="21"/>
                      <w:szCs w:val="21"/>
                    </w:rPr>
                  </w:pPr>
                </w:p>
              </w:tc>
              <w:tc>
                <w:tcPr>
                  <w:tcW w:w="1740" w:type="dxa"/>
                  <w:vMerge w:val="continue"/>
                  <w:shd w:val="clear" w:color="auto" w:fill="auto"/>
                  <w:vAlign w:val="center"/>
                </w:tcPr>
                <w:p>
                  <w:pPr>
                    <w:adjustRightInd w:val="0"/>
                    <w:snapToGrid w:val="0"/>
                    <w:ind w:left="630"/>
                    <w:jc w:val="center"/>
                    <w:rPr>
                      <w:rFonts w:ascii="Times New Roman" w:hAnsi="Times New Roman"/>
                      <w:spacing w:val="-10"/>
                      <w:kern w:val="2"/>
                      <w:sz w:val="21"/>
                      <w:szCs w:val="21"/>
                    </w:rPr>
                  </w:pPr>
                </w:p>
              </w:tc>
              <w:tc>
                <w:tcPr>
                  <w:tcW w:w="3849" w:type="dxa"/>
                  <w:gridSpan w:val="6"/>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丰水期□；平水期□</w:t>
                  </w:r>
                  <w:r>
                    <w:rPr>
                      <w:rFonts w:ascii="Times New Roman" w:hAnsi="Times New Roman"/>
                      <w:spacing w:val="-10"/>
                      <w:kern w:val="2"/>
                      <w:sz w:val="21"/>
                      <w:szCs w:val="21"/>
                    </w:rPr>
                    <w:sym w:font="Times New Roman" w:char="0000"/>
                  </w:r>
                  <w:r>
                    <w:rPr>
                      <w:rFonts w:ascii="Times New Roman" w:hAnsi="Times New Roman"/>
                      <w:spacing w:val="-10"/>
                      <w:kern w:val="2"/>
                      <w:sz w:val="21"/>
                      <w:szCs w:val="21"/>
                    </w:rPr>
                    <w:t>；枯水期□；冰封期□春季□；夏季□；秋季□；冬季□</w:t>
                  </w:r>
                  <w:r>
                    <w:rPr>
                      <w:rFonts w:ascii="Times New Roman" w:hAnsi="Times New Roman"/>
                      <w:spacing w:val="-10"/>
                      <w:kern w:val="2"/>
                      <w:sz w:val="21"/>
                      <w:szCs w:val="21"/>
                    </w:rPr>
                    <w:sym w:font="Times New Roman" w:char="0000"/>
                  </w:r>
                </w:p>
              </w:tc>
              <w:tc>
                <w:tcPr>
                  <w:tcW w:w="3453" w:type="dxa"/>
                  <w:gridSpan w:val="4"/>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生态环境保护主管部门</w:t>
                  </w:r>
                  <w:r>
                    <w:rPr>
                      <w:rFonts w:ascii="Times New Roman" w:hAnsi="Times New Roman"/>
                      <w:spacing w:val="-10"/>
                      <w:kern w:val="2"/>
                      <w:sz w:val="21"/>
                      <w:szCs w:val="21"/>
                    </w:rPr>
                    <w:sym w:font="Wingdings 2" w:char="00A3"/>
                  </w:r>
                  <w:r>
                    <w:rPr>
                      <w:rFonts w:ascii="Times New Roman" w:hAnsi="Times New Roman"/>
                      <w:spacing w:val="-10"/>
                      <w:kern w:val="2"/>
                      <w:sz w:val="21"/>
                      <w:szCs w:val="21"/>
                    </w:rPr>
                    <w:t>；补充监测</w:t>
                  </w:r>
                  <w:r>
                    <w:rPr>
                      <w:rFonts w:ascii="Times New Roman" w:hAnsi="Times New Roman"/>
                      <w:spacing w:val="-10"/>
                      <w:kern w:val="2"/>
                      <w:sz w:val="21"/>
                      <w:szCs w:val="21"/>
                    </w:rPr>
                    <w:sym w:font="Wingdings 2" w:char="00A3"/>
                  </w:r>
                  <w:r>
                    <w:rPr>
                      <w:rFonts w:ascii="Times New Roman" w:hAnsi="Times New Roman"/>
                      <w:spacing w:val="-10"/>
                      <w:kern w:val="2"/>
                      <w:sz w:val="21"/>
                      <w:szCs w:val="21"/>
                    </w:rPr>
                    <w:t>；其他</w:t>
                  </w:r>
                  <w:r>
                    <w:rPr>
                      <w:rFonts w:ascii="Times New Roman" w:hAnsi="Times New Roman"/>
                      <w:spacing w:val="-10"/>
                      <w:kern w:val="2"/>
                      <w:sz w:val="21"/>
                      <w:szCs w:val="21"/>
                    </w:rPr>
                    <w:sym w:font="Wingdings 2" w:char="0052"/>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82" w:hRule="atLeast"/>
                <w:jc w:val="center"/>
              </w:trPr>
              <w:tc>
                <w:tcPr>
                  <w:tcW w:w="419" w:type="dxa"/>
                  <w:vMerge w:val="continue"/>
                  <w:shd w:val="clear" w:color="auto" w:fill="auto"/>
                  <w:vAlign w:val="center"/>
                </w:tcPr>
                <w:p>
                  <w:pPr>
                    <w:adjustRightInd w:val="0"/>
                    <w:snapToGrid w:val="0"/>
                    <w:ind w:left="630"/>
                    <w:jc w:val="center"/>
                    <w:rPr>
                      <w:rFonts w:ascii="Times New Roman" w:hAnsi="Times New Roman"/>
                      <w:spacing w:val="-10"/>
                      <w:kern w:val="2"/>
                      <w:sz w:val="21"/>
                      <w:szCs w:val="21"/>
                    </w:rPr>
                  </w:pPr>
                </w:p>
              </w:tc>
              <w:tc>
                <w:tcPr>
                  <w:tcW w:w="1740" w:type="dxa"/>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区域水资源开发利用状况</w:t>
                  </w:r>
                </w:p>
              </w:tc>
              <w:tc>
                <w:tcPr>
                  <w:tcW w:w="7302" w:type="dxa"/>
                  <w:gridSpan w:val="10"/>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未开发□；开发量40%以下□；开发量40%以上</w:t>
                  </w:r>
                  <w:r>
                    <w:rPr>
                      <w:rFonts w:ascii="Times New Roman" w:hAnsi="Times New Roman"/>
                      <w:spacing w:val="-10"/>
                      <w:kern w:val="2"/>
                      <w:sz w:val="21"/>
                      <w:szCs w:val="21"/>
                    </w:rPr>
                    <w:sym w:font="Times New Roman" w:char="0000"/>
                  </w:r>
                  <w:r>
                    <w:rPr>
                      <w:rFonts w:ascii="Times New Roman" w:hAnsi="Times New Roman"/>
                      <w:spacing w:val="-10"/>
                      <w:kern w:val="2"/>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36" w:hRule="atLeast"/>
                <w:jc w:val="center"/>
              </w:trPr>
              <w:tc>
                <w:tcPr>
                  <w:tcW w:w="419" w:type="dxa"/>
                  <w:vMerge w:val="continue"/>
                  <w:shd w:val="clear" w:color="auto" w:fill="auto"/>
                  <w:vAlign w:val="center"/>
                </w:tcPr>
                <w:p>
                  <w:pPr>
                    <w:adjustRightInd w:val="0"/>
                    <w:snapToGrid w:val="0"/>
                    <w:ind w:left="630"/>
                    <w:jc w:val="center"/>
                    <w:rPr>
                      <w:rFonts w:ascii="Times New Roman" w:hAnsi="Times New Roman"/>
                      <w:spacing w:val="-10"/>
                      <w:kern w:val="2"/>
                      <w:sz w:val="21"/>
                      <w:szCs w:val="21"/>
                    </w:rPr>
                  </w:pPr>
                </w:p>
              </w:tc>
              <w:tc>
                <w:tcPr>
                  <w:tcW w:w="1740" w:type="dxa"/>
                  <w:vMerge w:val="restart"/>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水文情势调查</w:t>
                  </w:r>
                </w:p>
              </w:tc>
              <w:tc>
                <w:tcPr>
                  <w:tcW w:w="3849" w:type="dxa"/>
                  <w:gridSpan w:val="6"/>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调查时期</w:t>
                  </w:r>
                </w:p>
              </w:tc>
              <w:tc>
                <w:tcPr>
                  <w:tcW w:w="3453" w:type="dxa"/>
                  <w:gridSpan w:val="4"/>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数据来源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82" w:hRule="atLeast"/>
                <w:jc w:val="center"/>
              </w:trPr>
              <w:tc>
                <w:tcPr>
                  <w:tcW w:w="419" w:type="dxa"/>
                  <w:vMerge w:val="continue"/>
                  <w:shd w:val="clear" w:color="auto" w:fill="auto"/>
                  <w:vAlign w:val="center"/>
                </w:tcPr>
                <w:p>
                  <w:pPr>
                    <w:adjustRightInd w:val="0"/>
                    <w:snapToGrid w:val="0"/>
                    <w:ind w:left="630"/>
                    <w:jc w:val="center"/>
                    <w:rPr>
                      <w:rFonts w:ascii="Times New Roman" w:hAnsi="Times New Roman"/>
                      <w:spacing w:val="-10"/>
                      <w:kern w:val="2"/>
                      <w:sz w:val="21"/>
                      <w:szCs w:val="21"/>
                    </w:rPr>
                  </w:pPr>
                </w:p>
              </w:tc>
              <w:tc>
                <w:tcPr>
                  <w:tcW w:w="1740" w:type="dxa"/>
                  <w:vMerge w:val="continue"/>
                  <w:shd w:val="clear" w:color="auto" w:fill="auto"/>
                  <w:vAlign w:val="center"/>
                </w:tcPr>
                <w:p>
                  <w:pPr>
                    <w:adjustRightInd w:val="0"/>
                    <w:snapToGrid w:val="0"/>
                    <w:ind w:left="630"/>
                    <w:jc w:val="center"/>
                    <w:rPr>
                      <w:rFonts w:ascii="Times New Roman" w:hAnsi="Times New Roman"/>
                      <w:spacing w:val="-10"/>
                      <w:kern w:val="2"/>
                      <w:sz w:val="21"/>
                      <w:szCs w:val="21"/>
                    </w:rPr>
                  </w:pPr>
                </w:p>
              </w:tc>
              <w:tc>
                <w:tcPr>
                  <w:tcW w:w="3849" w:type="dxa"/>
                  <w:gridSpan w:val="6"/>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丰水期□；平水期□；枯水期□；冰封期□</w:t>
                  </w:r>
                </w:p>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春季□；夏季□；秋季□；冬季□</w:t>
                  </w:r>
                </w:p>
              </w:tc>
              <w:tc>
                <w:tcPr>
                  <w:tcW w:w="3453" w:type="dxa"/>
                  <w:gridSpan w:val="4"/>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水行政主管部门□；补充监测□；其他□</w:t>
                  </w:r>
                  <w:r>
                    <w:rPr>
                      <w:rFonts w:ascii="Times New Roman" w:hAnsi="Times New Roman"/>
                      <w:spacing w:val="-10"/>
                      <w:kern w:val="2"/>
                      <w:sz w:val="21"/>
                      <w:szCs w:val="21"/>
                    </w:rPr>
                    <w:sym w:font="Times New Roman" w:char="0000"/>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36" w:hRule="atLeast"/>
                <w:jc w:val="center"/>
              </w:trPr>
              <w:tc>
                <w:tcPr>
                  <w:tcW w:w="419" w:type="dxa"/>
                  <w:vMerge w:val="continue"/>
                  <w:shd w:val="clear" w:color="auto" w:fill="auto"/>
                  <w:vAlign w:val="center"/>
                </w:tcPr>
                <w:p>
                  <w:pPr>
                    <w:adjustRightInd w:val="0"/>
                    <w:snapToGrid w:val="0"/>
                    <w:ind w:left="630"/>
                    <w:jc w:val="center"/>
                    <w:rPr>
                      <w:rFonts w:ascii="Times New Roman" w:hAnsi="Times New Roman"/>
                      <w:spacing w:val="-10"/>
                      <w:kern w:val="2"/>
                      <w:sz w:val="21"/>
                      <w:szCs w:val="21"/>
                    </w:rPr>
                  </w:pPr>
                </w:p>
              </w:tc>
              <w:tc>
                <w:tcPr>
                  <w:tcW w:w="1740" w:type="dxa"/>
                  <w:vMerge w:val="restart"/>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补充监测</w:t>
                  </w:r>
                </w:p>
              </w:tc>
              <w:tc>
                <w:tcPr>
                  <w:tcW w:w="3849" w:type="dxa"/>
                  <w:gridSpan w:val="6"/>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监测时期</w:t>
                  </w:r>
                </w:p>
              </w:tc>
              <w:tc>
                <w:tcPr>
                  <w:tcW w:w="1676" w:type="dxa"/>
                  <w:gridSpan w:val="3"/>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监测因子</w:t>
                  </w:r>
                </w:p>
              </w:tc>
              <w:tc>
                <w:tcPr>
                  <w:tcW w:w="1777" w:type="dxa"/>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监测断面或点位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96" w:hRule="atLeast"/>
                <w:jc w:val="center"/>
              </w:trPr>
              <w:tc>
                <w:tcPr>
                  <w:tcW w:w="419" w:type="dxa"/>
                  <w:vMerge w:val="continue"/>
                  <w:shd w:val="clear" w:color="auto" w:fill="auto"/>
                  <w:vAlign w:val="center"/>
                </w:tcPr>
                <w:p>
                  <w:pPr>
                    <w:adjustRightInd w:val="0"/>
                    <w:snapToGrid w:val="0"/>
                    <w:ind w:left="630"/>
                    <w:jc w:val="center"/>
                    <w:rPr>
                      <w:rFonts w:ascii="Times New Roman" w:hAnsi="Times New Roman"/>
                      <w:spacing w:val="-10"/>
                      <w:kern w:val="2"/>
                      <w:sz w:val="21"/>
                      <w:szCs w:val="21"/>
                    </w:rPr>
                  </w:pPr>
                </w:p>
              </w:tc>
              <w:tc>
                <w:tcPr>
                  <w:tcW w:w="1740" w:type="dxa"/>
                  <w:vMerge w:val="continue"/>
                  <w:shd w:val="clear" w:color="auto" w:fill="auto"/>
                  <w:vAlign w:val="center"/>
                </w:tcPr>
                <w:p>
                  <w:pPr>
                    <w:adjustRightInd w:val="0"/>
                    <w:snapToGrid w:val="0"/>
                    <w:ind w:left="630"/>
                    <w:jc w:val="center"/>
                    <w:rPr>
                      <w:rFonts w:ascii="Times New Roman" w:hAnsi="Times New Roman"/>
                      <w:spacing w:val="-10"/>
                      <w:kern w:val="2"/>
                      <w:sz w:val="21"/>
                      <w:szCs w:val="21"/>
                    </w:rPr>
                  </w:pPr>
                </w:p>
              </w:tc>
              <w:tc>
                <w:tcPr>
                  <w:tcW w:w="3849" w:type="dxa"/>
                  <w:gridSpan w:val="6"/>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丰水期□；平水期</w:t>
                  </w:r>
                  <w:r>
                    <w:rPr>
                      <w:rFonts w:ascii="Times New Roman" w:hAnsi="Times New Roman"/>
                      <w:spacing w:val="-10"/>
                      <w:kern w:val="2"/>
                      <w:sz w:val="21"/>
                      <w:szCs w:val="21"/>
                    </w:rPr>
                    <w:sym w:font="Wingdings 2" w:char="00A3"/>
                  </w:r>
                  <w:r>
                    <w:rPr>
                      <w:rFonts w:ascii="Times New Roman" w:hAnsi="Times New Roman"/>
                      <w:spacing w:val="-10"/>
                      <w:kern w:val="2"/>
                      <w:sz w:val="21"/>
                      <w:szCs w:val="21"/>
                    </w:rPr>
                    <w:t>；枯水期□；冰封期□</w:t>
                  </w:r>
                </w:p>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春季</w:t>
                  </w:r>
                  <w:r>
                    <w:rPr>
                      <w:rFonts w:ascii="Times New Roman" w:hAnsi="Times New Roman"/>
                      <w:spacing w:val="-10"/>
                      <w:kern w:val="2"/>
                      <w:sz w:val="21"/>
                      <w:szCs w:val="21"/>
                    </w:rPr>
                    <w:sym w:font="Wingdings 2" w:char="00A3"/>
                  </w:r>
                  <w:r>
                    <w:rPr>
                      <w:rFonts w:ascii="Times New Roman" w:hAnsi="Times New Roman"/>
                      <w:spacing w:val="-10"/>
                      <w:kern w:val="2"/>
                      <w:sz w:val="21"/>
                      <w:szCs w:val="21"/>
                    </w:rPr>
                    <w:t>；夏季□；秋季</w:t>
                  </w:r>
                  <w:r>
                    <w:rPr>
                      <w:rFonts w:ascii="Times New Roman" w:hAnsi="Times New Roman"/>
                      <w:spacing w:val="-10"/>
                      <w:kern w:val="2"/>
                      <w:sz w:val="21"/>
                      <w:szCs w:val="21"/>
                    </w:rPr>
                    <w:sym w:font="Wingdings 2" w:char="00A3"/>
                  </w:r>
                  <w:r>
                    <w:rPr>
                      <w:rFonts w:ascii="Times New Roman" w:hAnsi="Times New Roman"/>
                      <w:spacing w:val="-10"/>
                      <w:kern w:val="2"/>
                      <w:sz w:val="21"/>
                      <w:szCs w:val="21"/>
                    </w:rPr>
                    <w:t>；冬季</w:t>
                  </w:r>
                  <w:r>
                    <w:rPr>
                      <w:rFonts w:ascii="Times New Roman" w:hAnsi="Times New Roman"/>
                      <w:spacing w:val="-10"/>
                      <w:kern w:val="2"/>
                      <w:sz w:val="21"/>
                      <w:szCs w:val="21"/>
                    </w:rPr>
                    <w:sym w:font="Wingdings 2" w:char="00A3"/>
                  </w:r>
                  <w:r>
                    <w:rPr>
                      <w:rFonts w:ascii="Times New Roman" w:hAnsi="Times New Roman"/>
                      <w:spacing w:val="-10"/>
                      <w:kern w:val="2"/>
                      <w:sz w:val="21"/>
                      <w:szCs w:val="21"/>
                    </w:rPr>
                    <w:sym w:font="Times New Roman" w:char="0000"/>
                  </w:r>
                </w:p>
              </w:tc>
              <w:tc>
                <w:tcPr>
                  <w:tcW w:w="1676" w:type="dxa"/>
                  <w:gridSpan w:val="3"/>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pH、悬浮物、化学需氧量、五日生化需氧量、溶解氧、氨氮</w:t>
                  </w:r>
                </w:p>
              </w:tc>
              <w:tc>
                <w:tcPr>
                  <w:tcW w:w="1777" w:type="dxa"/>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w:t>
                  </w:r>
                  <w:r>
                    <w:rPr>
                      <w:rFonts w:hint="eastAsia" w:ascii="Times New Roman" w:hAnsi="Times New Roman"/>
                      <w:spacing w:val="-10"/>
                      <w:kern w:val="2"/>
                      <w:sz w:val="21"/>
                      <w:szCs w:val="21"/>
                    </w:rPr>
                    <w:t>/</w:t>
                  </w:r>
                  <w:r>
                    <w:rPr>
                      <w:rFonts w:ascii="Times New Roman" w:hAnsi="Times New Roman"/>
                      <w:spacing w:val="-10"/>
                      <w:kern w:val="2"/>
                      <w:sz w:val="21"/>
                      <w:szCs w:val="21"/>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jc w:val="center"/>
              </w:trPr>
              <w:tc>
                <w:tcPr>
                  <w:tcW w:w="419" w:type="dxa"/>
                  <w:vMerge w:val="continue"/>
                  <w:shd w:val="clear" w:color="auto" w:fill="auto"/>
                  <w:vAlign w:val="center"/>
                </w:tcPr>
                <w:p>
                  <w:pPr>
                    <w:adjustRightInd w:val="0"/>
                    <w:snapToGrid w:val="0"/>
                    <w:ind w:left="630"/>
                    <w:jc w:val="center"/>
                    <w:rPr>
                      <w:rFonts w:ascii="Times New Roman" w:hAnsi="Times New Roman"/>
                      <w:spacing w:val="-10"/>
                      <w:kern w:val="2"/>
                      <w:sz w:val="21"/>
                      <w:szCs w:val="21"/>
                    </w:rPr>
                  </w:pPr>
                </w:p>
              </w:tc>
              <w:tc>
                <w:tcPr>
                  <w:tcW w:w="1740" w:type="dxa"/>
                  <w:vMerge w:val="restart"/>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污染物</w:t>
                  </w:r>
                </w:p>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排放量核算</w:t>
                  </w:r>
                </w:p>
              </w:tc>
              <w:tc>
                <w:tcPr>
                  <w:tcW w:w="2326" w:type="dxa"/>
                  <w:gridSpan w:val="3"/>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污染物名称</w:t>
                  </w:r>
                </w:p>
              </w:tc>
              <w:tc>
                <w:tcPr>
                  <w:tcW w:w="1523" w:type="dxa"/>
                  <w:gridSpan w:val="3"/>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排放量/（t/a）</w:t>
                  </w:r>
                </w:p>
              </w:tc>
              <w:tc>
                <w:tcPr>
                  <w:tcW w:w="3453" w:type="dxa"/>
                  <w:gridSpan w:val="4"/>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排放浓度/（mg/L）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jc w:val="center"/>
              </w:trPr>
              <w:tc>
                <w:tcPr>
                  <w:tcW w:w="419" w:type="dxa"/>
                  <w:vMerge w:val="continue"/>
                  <w:shd w:val="clear" w:color="auto" w:fill="auto"/>
                  <w:vAlign w:val="center"/>
                </w:tcPr>
                <w:p>
                  <w:pPr>
                    <w:adjustRightInd w:val="0"/>
                    <w:snapToGrid w:val="0"/>
                    <w:ind w:left="630"/>
                    <w:rPr>
                      <w:rFonts w:ascii="Times New Roman" w:hAnsi="Times New Roman"/>
                      <w:spacing w:val="-10"/>
                      <w:kern w:val="2"/>
                      <w:sz w:val="21"/>
                      <w:szCs w:val="21"/>
                    </w:rPr>
                  </w:pPr>
                </w:p>
              </w:tc>
              <w:tc>
                <w:tcPr>
                  <w:tcW w:w="1740" w:type="dxa"/>
                  <w:vMerge w:val="continue"/>
                  <w:shd w:val="clear" w:color="auto" w:fill="auto"/>
                  <w:vAlign w:val="center"/>
                </w:tcPr>
                <w:p>
                  <w:pPr>
                    <w:adjustRightInd w:val="0"/>
                    <w:snapToGrid w:val="0"/>
                    <w:ind w:left="630"/>
                    <w:rPr>
                      <w:rFonts w:ascii="Times New Roman" w:hAnsi="Times New Roman"/>
                      <w:spacing w:val="-10"/>
                      <w:kern w:val="2"/>
                      <w:sz w:val="21"/>
                      <w:szCs w:val="21"/>
                    </w:rPr>
                  </w:pPr>
                </w:p>
              </w:tc>
              <w:tc>
                <w:tcPr>
                  <w:tcW w:w="2326" w:type="dxa"/>
                  <w:gridSpan w:val="3"/>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COD</w:t>
                  </w:r>
                  <w:r>
                    <w:rPr>
                      <w:rFonts w:ascii="Times New Roman" w:hAnsi="Times New Roman"/>
                      <w:spacing w:val="-10"/>
                      <w:kern w:val="2"/>
                      <w:sz w:val="21"/>
                      <w:szCs w:val="21"/>
                      <w:vertAlign w:val="subscript"/>
                    </w:rPr>
                    <w:t>Cr</w:t>
                  </w:r>
                </w:p>
              </w:tc>
              <w:tc>
                <w:tcPr>
                  <w:tcW w:w="1523" w:type="dxa"/>
                  <w:gridSpan w:val="3"/>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0.06</w:t>
                  </w:r>
                </w:p>
              </w:tc>
              <w:tc>
                <w:tcPr>
                  <w:tcW w:w="3453" w:type="dxa"/>
                  <w:gridSpan w:val="4"/>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jc w:val="center"/>
              </w:trPr>
              <w:tc>
                <w:tcPr>
                  <w:tcW w:w="419" w:type="dxa"/>
                  <w:vMerge w:val="continue"/>
                  <w:shd w:val="clear" w:color="auto" w:fill="auto"/>
                  <w:vAlign w:val="center"/>
                </w:tcPr>
                <w:p>
                  <w:pPr>
                    <w:adjustRightInd w:val="0"/>
                    <w:snapToGrid w:val="0"/>
                    <w:ind w:left="630"/>
                    <w:rPr>
                      <w:rFonts w:ascii="Times New Roman" w:hAnsi="Times New Roman"/>
                      <w:spacing w:val="-10"/>
                      <w:kern w:val="2"/>
                      <w:sz w:val="21"/>
                      <w:szCs w:val="21"/>
                    </w:rPr>
                  </w:pPr>
                </w:p>
              </w:tc>
              <w:tc>
                <w:tcPr>
                  <w:tcW w:w="1740" w:type="dxa"/>
                  <w:vMerge w:val="continue"/>
                  <w:shd w:val="clear" w:color="auto" w:fill="auto"/>
                  <w:vAlign w:val="center"/>
                </w:tcPr>
                <w:p>
                  <w:pPr>
                    <w:adjustRightInd w:val="0"/>
                    <w:snapToGrid w:val="0"/>
                    <w:ind w:left="630"/>
                    <w:rPr>
                      <w:rFonts w:ascii="Times New Roman" w:hAnsi="Times New Roman"/>
                      <w:spacing w:val="-10"/>
                      <w:kern w:val="2"/>
                      <w:sz w:val="21"/>
                      <w:szCs w:val="21"/>
                    </w:rPr>
                  </w:pPr>
                </w:p>
              </w:tc>
              <w:tc>
                <w:tcPr>
                  <w:tcW w:w="2326" w:type="dxa"/>
                  <w:gridSpan w:val="3"/>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NH</w:t>
                  </w:r>
                  <w:r>
                    <w:rPr>
                      <w:rFonts w:ascii="Times New Roman" w:hAnsi="Times New Roman"/>
                      <w:spacing w:val="-10"/>
                      <w:kern w:val="2"/>
                      <w:sz w:val="21"/>
                      <w:szCs w:val="21"/>
                      <w:vertAlign w:val="subscript"/>
                    </w:rPr>
                    <w:t>3</w:t>
                  </w:r>
                  <w:r>
                    <w:rPr>
                      <w:rFonts w:ascii="Times New Roman" w:hAnsi="Times New Roman"/>
                      <w:spacing w:val="-10"/>
                      <w:kern w:val="2"/>
                      <w:sz w:val="21"/>
                      <w:szCs w:val="21"/>
                    </w:rPr>
                    <w:t>-N</w:t>
                  </w:r>
                </w:p>
              </w:tc>
              <w:tc>
                <w:tcPr>
                  <w:tcW w:w="1523" w:type="dxa"/>
                  <w:gridSpan w:val="3"/>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0.005</w:t>
                  </w:r>
                </w:p>
              </w:tc>
              <w:tc>
                <w:tcPr>
                  <w:tcW w:w="3453" w:type="dxa"/>
                  <w:gridSpan w:val="4"/>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jc w:val="center"/>
              </w:trPr>
              <w:tc>
                <w:tcPr>
                  <w:tcW w:w="419" w:type="dxa"/>
                  <w:vMerge w:val="continue"/>
                  <w:shd w:val="clear" w:color="auto" w:fill="auto"/>
                  <w:vAlign w:val="center"/>
                </w:tcPr>
                <w:p>
                  <w:pPr>
                    <w:adjustRightInd w:val="0"/>
                    <w:snapToGrid w:val="0"/>
                    <w:ind w:left="630"/>
                    <w:jc w:val="center"/>
                    <w:rPr>
                      <w:rFonts w:ascii="Times New Roman" w:hAnsi="Times New Roman"/>
                      <w:spacing w:val="-10"/>
                      <w:kern w:val="2"/>
                      <w:sz w:val="21"/>
                      <w:szCs w:val="21"/>
                    </w:rPr>
                  </w:pPr>
                </w:p>
              </w:tc>
              <w:tc>
                <w:tcPr>
                  <w:tcW w:w="1740" w:type="dxa"/>
                  <w:vMerge w:val="restart"/>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替代源排放情况</w:t>
                  </w:r>
                </w:p>
              </w:tc>
              <w:tc>
                <w:tcPr>
                  <w:tcW w:w="1141" w:type="dxa"/>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染源名称</w:t>
                  </w:r>
                </w:p>
              </w:tc>
              <w:tc>
                <w:tcPr>
                  <w:tcW w:w="1722" w:type="dxa"/>
                  <w:gridSpan w:val="4"/>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排污许可证编号</w:t>
                  </w:r>
                </w:p>
              </w:tc>
              <w:tc>
                <w:tcPr>
                  <w:tcW w:w="1258" w:type="dxa"/>
                  <w:gridSpan w:val="2"/>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污染物名称</w:t>
                  </w:r>
                </w:p>
              </w:tc>
              <w:tc>
                <w:tcPr>
                  <w:tcW w:w="1366" w:type="dxa"/>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排放量/（t/a）</w:t>
                  </w:r>
                </w:p>
              </w:tc>
              <w:tc>
                <w:tcPr>
                  <w:tcW w:w="1815" w:type="dxa"/>
                  <w:gridSpan w:val="2"/>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排放浓度/（mg/L）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jc w:val="center"/>
              </w:trPr>
              <w:tc>
                <w:tcPr>
                  <w:tcW w:w="419" w:type="dxa"/>
                  <w:vMerge w:val="continue"/>
                  <w:shd w:val="clear" w:color="auto" w:fill="auto"/>
                  <w:vAlign w:val="center"/>
                </w:tcPr>
                <w:p>
                  <w:pPr>
                    <w:adjustRightInd w:val="0"/>
                    <w:snapToGrid w:val="0"/>
                    <w:ind w:left="630"/>
                    <w:rPr>
                      <w:rFonts w:ascii="Times New Roman" w:hAnsi="Times New Roman"/>
                      <w:spacing w:val="-10"/>
                      <w:kern w:val="2"/>
                      <w:sz w:val="21"/>
                      <w:szCs w:val="21"/>
                    </w:rPr>
                  </w:pPr>
                </w:p>
              </w:tc>
              <w:tc>
                <w:tcPr>
                  <w:tcW w:w="1740" w:type="dxa"/>
                  <w:vMerge w:val="continue"/>
                  <w:shd w:val="clear" w:color="auto" w:fill="auto"/>
                  <w:vAlign w:val="center"/>
                </w:tcPr>
                <w:p>
                  <w:pPr>
                    <w:adjustRightInd w:val="0"/>
                    <w:snapToGrid w:val="0"/>
                    <w:ind w:left="630"/>
                    <w:rPr>
                      <w:rFonts w:ascii="Times New Roman" w:hAnsi="Times New Roman"/>
                      <w:spacing w:val="-10"/>
                      <w:kern w:val="2"/>
                      <w:sz w:val="21"/>
                      <w:szCs w:val="21"/>
                    </w:rPr>
                  </w:pPr>
                </w:p>
              </w:tc>
              <w:tc>
                <w:tcPr>
                  <w:tcW w:w="1141" w:type="dxa"/>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w:t>
                  </w:r>
                </w:p>
              </w:tc>
              <w:tc>
                <w:tcPr>
                  <w:tcW w:w="1722" w:type="dxa"/>
                  <w:gridSpan w:val="4"/>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w:t>
                  </w:r>
                </w:p>
              </w:tc>
              <w:tc>
                <w:tcPr>
                  <w:tcW w:w="1258" w:type="dxa"/>
                  <w:gridSpan w:val="2"/>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w:t>
                  </w:r>
                </w:p>
              </w:tc>
              <w:tc>
                <w:tcPr>
                  <w:tcW w:w="1366" w:type="dxa"/>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w:t>
                  </w:r>
                </w:p>
              </w:tc>
              <w:tc>
                <w:tcPr>
                  <w:tcW w:w="1815" w:type="dxa"/>
                  <w:gridSpan w:val="2"/>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82" w:hRule="atLeast"/>
                <w:jc w:val="center"/>
              </w:trPr>
              <w:tc>
                <w:tcPr>
                  <w:tcW w:w="419" w:type="dxa"/>
                  <w:vMerge w:val="continue"/>
                  <w:shd w:val="clear" w:color="auto" w:fill="auto"/>
                  <w:vAlign w:val="center"/>
                </w:tcPr>
                <w:p>
                  <w:pPr>
                    <w:adjustRightInd w:val="0"/>
                    <w:snapToGrid w:val="0"/>
                    <w:ind w:left="630"/>
                    <w:jc w:val="center"/>
                    <w:rPr>
                      <w:rFonts w:ascii="Times New Roman" w:hAnsi="Times New Roman"/>
                      <w:spacing w:val="-10"/>
                      <w:kern w:val="2"/>
                      <w:sz w:val="21"/>
                      <w:szCs w:val="21"/>
                    </w:rPr>
                  </w:pPr>
                </w:p>
              </w:tc>
              <w:tc>
                <w:tcPr>
                  <w:tcW w:w="1740" w:type="dxa"/>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生态流量确定</w:t>
                  </w:r>
                </w:p>
              </w:tc>
              <w:tc>
                <w:tcPr>
                  <w:tcW w:w="7302" w:type="dxa"/>
                  <w:gridSpan w:val="10"/>
                  <w:shd w:val="clear" w:color="auto" w:fill="auto"/>
                  <w:vAlign w:val="center"/>
                </w:tcPr>
                <w:p>
                  <w:pPr>
                    <w:tabs>
                      <w:tab w:val="left" w:pos="630"/>
                    </w:tabs>
                    <w:adjustRightInd w:val="0"/>
                    <w:snapToGrid w:val="0"/>
                    <w:rPr>
                      <w:rFonts w:ascii="Times New Roman" w:hAnsi="Times New Roman"/>
                      <w:spacing w:val="-10"/>
                      <w:kern w:val="2"/>
                      <w:sz w:val="21"/>
                      <w:szCs w:val="21"/>
                    </w:rPr>
                  </w:pPr>
                  <w:r>
                    <w:rPr>
                      <w:rFonts w:ascii="Times New Roman" w:hAnsi="Times New Roman"/>
                      <w:spacing w:val="-10"/>
                      <w:kern w:val="2"/>
                      <w:sz w:val="21"/>
                      <w:szCs w:val="21"/>
                    </w:rPr>
                    <w:t>生态流量：一般水期（）m³/s；鱼类繁殖期（）m³/s；其他（）m³/s</w:t>
                  </w:r>
                </w:p>
                <w:p>
                  <w:pPr>
                    <w:tabs>
                      <w:tab w:val="left" w:pos="630"/>
                    </w:tabs>
                    <w:adjustRightInd w:val="0"/>
                    <w:snapToGrid w:val="0"/>
                    <w:rPr>
                      <w:rFonts w:ascii="Times New Roman" w:hAnsi="Times New Roman"/>
                      <w:spacing w:val="-10"/>
                      <w:kern w:val="2"/>
                      <w:sz w:val="21"/>
                      <w:szCs w:val="21"/>
                    </w:rPr>
                  </w:pPr>
                  <w:r>
                    <w:rPr>
                      <w:rFonts w:ascii="Times New Roman" w:hAnsi="Times New Roman"/>
                      <w:spacing w:val="-10"/>
                      <w:kern w:val="2"/>
                      <w:sz w:val="21"/>
                      <w:szCs w:val="21"/>
                    </w:rPr>
                    <w:t>生态水位：一般水期（）m；鱼类繁殖期（）m；其他（）m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82" w:hRule="atLeast"/>
                <w:jc w:val="center"/>
              </w:trPr>
              <w:tc>
                <w:tcPr>
                  <w:tcW w:w="419" w:type="dxa"/>
                  <w:vMerge w:val="restart"/>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防治措施</w:t>
                  </w:r>
                </w:p>
              </w:tc>
              <w:tc>
                <w:tcPr>
                  <w:tcW w:w="1740" w:type="dxa"/>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环保措施</w:t>
                  </w:r>
                </w:p>
              </w:tc>
              <w:tc>
                <w:tcPr>
                  <w:tcW w:w="7302" w:type="dxa"/>
                  <w:gridSpan w:val="10"/>
                  <w:shd w:val="clear" w:color="auto" w:fill="auto"/>
                  <w:vAlign w:val="center"/>
                </w:tcPr>
                <w:p>
                  <w:pPr>
                    <w:tabs>
                      <w:tab w:val="left" w:pos="630"/>
                    </w:tabs>
                    <w:adjustRightInd w:val="0"/>
                    <w:snapToGrid w:val="0"/>
                    <w:rPr>
                      <w:rFonts w:ascii="Times New Roman" w:hAnsi="Times New Roman"/>
                      <w:spacing w:val="-10"/>
                      <w:kern w:val="2"/>
                      <w:sz w:val="21"/>
                      <w:szCs w:val="21"/>
                    </w:rPr>
                  </w:pPr>
                  <w:r>
                    <w:rPr>
                      <w:rFonts w:ascii="Times New Roman" w:hAnsi="Times New Roman"/>
                      <w:spacing w:val="-10"/>
                      <w:kern w:val="2"/>
                      <w:sz w:val="21"/>
                      <w:szCs w:val="21"/>
                    </w:rPr>
                    <w:t>污水处理设施□；水文减缓设施□；生态流量保障设施□；区域削减□；依托其他工程措施</w:t>
                  </w:r>
                  <w:r>
                    <w:rPr>
                      <w:rFonts w:ascii="Times New Roman" w:hAnsi="Times New Roman"/>
                      <w:spacing w:val="-10"/>
                      <w:kern w:val="2"/>
                      <w:sz w:val="21"/>
                      <w:szCs w:val="21"/>
                    </w:rPr>
                    <w:sym w:font="Wingdings 2" w:char="0052"/>
                  </w:r>
                  <w:r>
                    <w:rPr>
                      <w:rFonts w:ascii="Times New Roman" w:hAnsi="Times New Roman"/>
                      <w:spacing w:val="-10"/>
                      <w:kern w:val="2"/>
                      <w:sz w:val="21"/>
                      <w:szCs w:val="21"/>
                    </w:rPr>
                    <w:t>；其他</w:t>
                  </w:r>
                  <w:r>
                    <w:rPr>
                      <w:rFonts w:ascii="Times New Roman" w:hAnsi="Times New Roman"/>
                      <w:spacing w:val="-10"/>
                      <w:kern w:val="2"/>
                      <w:sz w:val="21"/>
                      <w:szCs w:val="21"/>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36" w:hRule="atLeast"/>
                <w:jc w:val="center"/>
              </w:trPr>
              <w:tc>
                <w:tcPr>
                  <w:tcW w:w="419" w:type="dxa"/>
                  <w:vMerge w:val="continue"/>
                  <w:shd w:val="clear" w:color="auto" w:fill="auto"/>
                  <w:vAlign w:val="center"/>
                </w:tcPr>
                <w:p>
                  <w:pPr>
                    <w:adjustRightInd w:val="0"/>
                    <w:snapToGrid w:val="0"/>
                    <w:ind w:left="630"/>
                    <w:jc w:val="center"/>
                    <w:rPr>
                      <w:rFonts w:ascii="Times New Roman" w:hAnsi="Times New Roman"/>
                      <w:spacing w:val="-10"/>
                      <w:kern w:val="2"/>
                      <w:sz w:val="21"/>
                      <w:szCs w:val="21"/>
                    </w:rPr>
                  </w:pPr>
                </w:p>
              </w:tc>
              <w:tc>
                <w:tcPr>
                  <w:tcW w:w="1740" w:type="dxa"/>
                  <w:vMerge w:val="restart"/>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监测计划</w:t>
                  </w:r>
                </w:p>
              </w:tc>
              <w:tc>
                <w:tcPr>
                  <w:tcW w:w="1283" w:type="dxa"/>
                  <w:gridSpan w:val="2"/>
                  <w:shd w:val="clear" w:color="auto" w:fill="auto"/>
                  <w:vAlign w:val="center"/>
                </w:tcPr>
                <w:p>
                  <w:pPr>
                    <w:tabs>
                      <w:tab w:val="left" w:pos="630"/>
                    </w:tabs>
                    <w:adjustRightInd w:val="0"/>
                    <w:snapToGrid w:val="0"/>
                    <w:jc w:val="center"/>
                    <w:rPr>
                      <w:rFonts w:ascii="Times New Roman" w:hAnsi="Times New Roman"/>
                      <w:spacing w:val="-10"/>
                      <w:kern w:val="2"/>
                      <w:sz w:val="21"/>
                      <w:szCs w:val="21"/>
                    </w:rPr>
                  </w:pPr>
                </w:p>
              </w:tc>
              <w:tc>
                <w:tcPr>
                  <w:tcW w:w="2566" w:type="dxa"/>
                  <w:gridSpan w:val="4"/>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环境质量</w:t>
                  </w:r>
                </w:p>
              </w:tc>
              <w:tc>
                <w:tcPr>
                  <w:tcW w:w="3453" w:type="dxa"/>
                  <w:gridSpan w:val="4"/>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污染源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36" w:hRule="atLeast"/>
                <w:jc w:val="center"/>
              </w:trPr>
              <w:tc>
                <w:tcPr>
                  <w:tcW w:w="419" w:type="dxa"/>
                  <w:vMerge w:val="continue"/>
                  <w:shd w:val="clear" w:color="auto" w:fill="auto"/>
                  <w:vAlign w:val="center"/>
                </w:tcPr>
                <w:p>
                  <w:pPr>
                    <w:adjustRightInd w:val="0"/>
                    <w:snapToGrid w:val="0"/>
                    <w:ind w:left="630"/>
                    <w:rPr>
                      <w:rFonts w:ascii="Times New Roman" w:hAnsi="Times New Roman"/>
                      <w:spacing w:val="-10"/>
                      <w:kern w:val="2"/>
                      <w:sz w:val="21"/>
                      <w:szCs w:val="21"/>
                    </w:rPr>
                  </w:pPr>
                </w:p>
              </w:tc>
              <w:tc>
                <w:tcPr>
                  <w:tcW w:w="1740" w:type="dxa"/>
                  <w:vMerge w:val="continue"/>
                  <w:shd w:val="clear" w:color="auto" w:fill="auto"/>
                  <w:vAlign w:val="center"/>
                </w:tcPr>
                <w:p>
                  <w:pPr>
                    <w:adjustRightInd w:val="0"/>
                    <w:snapToGrid w:val="0"/>
                    <w:ind w:left="630"/>
                    <w:rPr>
                      <w:rFonts w:ascii="Times New Roman" w:hAnsi="Times New Roman"/>
                      <w:spacing w:val="-10"/>
                      <w:kern w:val="2"/>
                      <w:sz w:val="21"/>
                      <w:szCs w:val="21"/>
                    </w:rPr>
                  </w:pPr>
                </w:p>
              </w:tc>
              <w:tc>
                <w:tcPr>
                  <w:tcW w:w="1283" w:type="dxa"/>
                  <w:gridSpan w:val="2"/>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监测方式</w:t>
                  </w:r>
                </w:p>
              </w:tc>
              <w:tc>
                <w:tcPr>
                  <w:tcW w:w="2566" w:type="dxa"/>
                  <w:gridSpan w:val="4"/>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手动□；自动□；无监测</w:t>
                  </w:r>
                  <w:r>
                    <w:rPr>
                      <w:rFonts w:ascii="Times New Roman" w:hAnsi="Times New Roman"/>
                      <w:spacing w:val="-10"/>
                      <w:kern w:val="2"/>
                      <w:sz w:val="21"/>
                      <w:szCs w:val="21"/>
                    </w:rPr>
                    <w:sym w:font="Wingdings 2" w:char="00A3"/>
                  </w:r>
                </w:p>
              </w:tc>
              <w:tc>
                <w:tcPr>
                  <w:tcW w:w="3453" w:type="dxa"/>
                  <w:gridSpan w:val="4"/>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手动</w:t>
                  </w:r>
                  <w:r>
                    <w:rPr>
                      <w:rFonts w:ascii="Times New Roman" w:hAnsi="Times New Roman"/>
                      <w:spacing w:val="-10"/>
                      <w:kern w:val="2"/>
                      <w:sz w:val="21"/>
                      <w:szCs w:val="21"/>
                    </w:rPr>
                    <w:sym w:font="Wingdings 2" w:char="0052"/>
                  </w:r>
                  <w:r>
                    <w:rPr>
                      <w:rFonts w:ascii="Times New Roman" w:hAnsi="Times New Roman"/>
                      <w:spacing w:val="-10"/>
                      <w:kern w:val="2"/>
                      <w:sz w:val="21"/>
                      <w:szCs w:val="21"/>
                    </w:rPr>
                    <w:sym w:font="Times New Roman" w:char="0000"/>
                  </w:r>
                  <w:r>
                    <w:rPr>
                      <w:rFonts w:ascii="Times New Roman" w:hAnsi="Times New Roman"/>
                      <w:spacing w:val="-10"/>
                      <w:kern w:val="2"/>
                      <w:sz w:val="21"/>
                      <w:szCs w:val="21"/>
                    </w:rPr>
                    <w:t>；自动□；无监测□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82" w:hRule="atLeast"/>
                <w:jc w:val="center"/>
              </w:trPr>
              <w:tc>
                <w:tcPr>
                  <w:tcW w:w="419" w:type="dxa"/>
                  <w:vMerge w:val="continue"/>
                  <w:shd w:val="clear" w:color="auto" w:fill="auto"/>
                  <w:vAlign w:val="center"/>
                </w:tcPr>
                <w:p>
                  <w:pPr>
                    <w:adjustRightInd w:val="0"/>
                    <w:snapToGrid w:val="0"/>
                    <w:ind w:left="630"/>
                    <w:rPr>
                      <w:rFonts w:ascii="Times New Roman" w:hAnsi="Times New Roman"/>
                      <w:spacing w:val="-10"/>
                      <w:kern w:val="2"/>
                      <w:sz w:val="21"/>
                      <w:szCs w:val="21"/>
                    </w:rPr>
                  </w:pPr>
                </w:p>
              </w:tc>
              <w:tc>
                <w:tcPr>
                  <w:tcW w:w="1740" w:type="dxa"/>
                  <w:vMerge w:val="continue"/>
                  <w:shd w:val="clear" w:color="auto" w:fill="auto"/>
                  <w:vAlign w:val="center"/>
                </w:tcPr>
                <w:p>
                  <w:pPr>
                    <w:adjustRightInd w:val="0"/>
                    <w:snapToGrid w:val="0"/>
                    <w:ind w:left="630"/>
                    <w:rPr>
                      <w:rFonts w:ascii="Times New Roman" w:hAnsi="Times New Roman"/>
                      <w:spacing w:val="-10"/>
                      <w:kern w:val="2"/>
                      <w:sz w:val="21"/>
                      <w:szCs w:val="21"/>
                    </w:rPr>
                  </w:pPr>
                </w:p>
              </w:tc>
              <w:tc>
                <w:tcPr>
                  <w:tcW w:w="1283" w:type="dxa"/>
                  <w:gridSpan w:val="2"/>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监测点位</w:t>
                  </w:r>
                </w:p>
              </w:tc>
              <w:tc>
                <w:tcPr>
                  <w:tcW w:w="2566" w:type="dxa"/>
                  <w:gridSpan w:val="4"/>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w:t>
                  </w:r>
                </w:p>
              </w:tc>
              <w:tc>
                <w:tcPr>
                  <w:tcW w:w="3453" w:type="dxa"/>
                  <w:gridSpan w:val="4"/>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排放口D1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36" w:hRule="atLeast"/>
                <w:jc w:val="center"/>
              </w:trPr>
              <w:tc>
                <w:tcPr>
                  <w:tcW w:w="419" w:type="dxa"/>
                  <w:vMerge w:val="continue"/>
                  <w:shd w:val="clear" w:color="auto" w:fill="auto"/>
                  <w:vAlign w:val="center"/>
                </w:tcPr>
                <w:p>
                  <w:pPr>
                    <w:adjustRightInd w:val="0"/>
                    <w:snapToGrid w:val="0"/>
                    <w:ind w:left="630"/>
                    <w:rPr>
                      <w:rFonts w:ascii="Times New Roman" w:hAnsi="Times New Roman"/>
                      <w:spacing w:val="-10"/>
                      <w:kern w:val="2"/>
                      <w:sz w:val="21"/>
                      <w:szCs w:val="21"/>
                    </w:rPr>
                  </w:pPr>
                </w:p>
              </w:tc>
              <w:tc>
                <w:tcPr>
                  <w:tcW w:w="1740" w:type="dxa"/>
                  <w:vMerge w:val="continue"/>
                  <w:shd w:val="clear" w:color="auto" w:fill="auto"/>
                  <w:vAlign w:val="center"/>
                </w:tcPr>
                <w:p>
                  <w:pPr>
                    <w:adjustRightInd w:val="0"/>
                    <w:snapToGrid w:val="0"/>
                    <w:ind w:left="630"/>
                    <w:rPr>
                      <w:rFonts w:ascii="Times New Roman" w:hAnsi="Times New Roman"/>
                      <w:spacing w:val="-10"/>
                      <w:kern w:val="2"/>
                      <w:sz w:val="21"/>
                      <w:szCs w:val="21"/>
                    </w:rPr>
                  </w:pPr>
                </w:p>
              </w:tc>
              <w:tc>
                <w:tcPr>
                  <w:tcW w:w="1283" w:type="dxa"/>
                  <w:gridSpan w:val="2"/>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监测因子</w:t>
                  </w:r>
                </w:p>
              </w:tc>
              <w:tc>
                <w:tcPr>
                  <w:tcW w:w="2566" w:type="dxa"/>
                  <w:gridSpan w:val="4"/>
                  <w:shd w:val="clear" w:color="auto" w:fill="auto"/>
                  <w:vAlign w:val="center"/>
                </w:tcPr>
                <w:p>
                  <w:pPr>
                    <w:jc w:val="center"/>
                    <w:rPr>
                      <w:rFonts w:ascii="Times New Roman" w:hAnsi="Times New Roman"/>
                      <w:kern w:val="2"/>
                      <w:sz w:val="21"/>
                      <w:szCs w:val="21"/>
                    </w:rPr>
                  </w:pPr>
                  <w:r>
                    <w:rPr>
                      <w:rFonts w:ascii="Times New Roman" w:hAnsi="Times New Roman"/>
                      <w:kern w:val="2"/>
                      <w:sz w:val="21"/>
                      <w:szCs w:val="21"/>
                    </w:rPr>
                    <w:t>/</w:t>
                  </w:r>
                </w:p>
              </w:tc>
              <w:tc>
                <w:tcPr>
                  <w:tcW w:w="3453" w:type="dxa"/>
                  <w:gridSpan w:val="4"/>
                  <w:shd w:val="clear" w:color="auto" w:fill="auto"/>
                  <w:vAlign w:val="center"/>
                </w:tcPr>
                <w:p>
                  <w:pPr>
                    <w:jc w:val="center"/>
                    <w:rPr>
                      <w:rFonts w:ascii="Times New Roman" w:hAnsi="Times New Roman"/>
                      <w:kern w:val="2"/>
                      <w:sz w:val="21"/>
                      <w:szCs w:val="21"/>
                    </w:rPr>
                  </w:pPr>
                  <w:r>
                    <w:rPr>
                      <w:rFonts w:ascii="Times New Roman" w:hAnsi="Times New Roman"/>
                      <w:kern w:val="2"/>
                      <w:sz w:val="21"/>
                      <w:szCs w:val="21"/>
                    </w:rPr>
                    <w:t>CODcr、NH</w:t>
                  </w:r>
                  <w:r>
                    <w:rPr>
                      <w:rFonts w:ascii="Times New Roman" w:hAnsi="Times New Roman"/>
                      <w:kern w:val="2"/>
                      <w:sz w:val="21"/>
                      <w:szCs w:val="21"/>
                      <w:vertAlign w:val="subscript"/>
                    </w:rPr>
                    <w:t>3</w:t>
                  </w:r>
                  <w:r>
                    <w:rPr>
                      <w:rFonts w:ascii="Times New Roman" w:hAnsi="Times New Roman"/>
                      <w:kern w:val="2"/>
                      <w:sz w:val="21"/>
                      <w:szCs w:val="21"/>
                    </w:rPr>
                    <w:t>-N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36" w:hRule="atLeast"/>
                <w:jc w:val="center"/>
              </w:trPr>
              <w:tc>
                <w:tcPr>
                  <w:tcW w:w="419" w:type="dxa"/>
                  <w:vMerge w:val="continue"/>
                  <w:shd w:val="clear" w:color="auto" w:fill="auto"/>
                  <w:vAlign w:val="center"/>
                </w:tcPr>
                <w:p>
                  <w:pPr>
                    <w:adjustRightInd w:val="0"/>
                    <w:snapToGrid w:val="0"/>
                    <w:ind w:left="630"/>
                    <w:jc w:val="center"/>
                    <w:rPr>
                      <w:rFonts w:ascii="Times New Roman" w:hAnsi="Times New Roman"/>
                      <w:spacing w:val="-10"/>
                      <w:kern w:val="2"/>
                      <w:sz w:val="21"/>
                      <w:szCs w:val="21"/>
                    </w:rPr>
                  </w:pPr>
                </w:p>
              </w:tc>
              <w:tc>
                <w:tcPr>
                  <w:tcW w:w="1740" w:type="dxa"/>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污染物排放清单</w:t>
                  </w:r>
                </w:p>
              </w:tc>
              <w:tc>
                <w:tcPr>
                  <w:tcW w:w="7302" w:type="dxa"/>
                  <w:gridSpan w:val="10"/>
                  <w:shd w:val="clear" w:color="auto" w:fill="auto"/>
                  <w:vAlign w:val="center"/>
                </w:tcPr>
                <w:p>
                  <w:pPr>
                    <w:tabs>
                      <w:tab w:val="left" w:pos="630"/>
                    </w:tabs>
                    <w:adjustRightInd w:val="0"/>
                    <w:snapToGrid w:val="0"/>
                    <w:rPr>
                      <w:rFonts w:ascii="Times New Roman" w:hAnsi="Times New Roman"/>
                      <w:spacing w:val="-10"/>
                      <w:kern w:val="2"/>
                      <w:sz w:val="21"/>
                      <w:szCs w:val="21"/>
                    </w:rPr>
                  </w:pPr>
                  <w:r>
                    <w:rPr>
                      <w:rFonts w:ascii="Times New Roman" w:hAnsi="Times New Roman"/>
                      <w:spacing w:val="-10"/>
                      <w:kern w:val="2"/>
                      <w:sz w:val="21"/>
                      <w:szCs w:val="21"/>
                    </w:rPr>
                    <w:sym w:font="Wingdings 2" w:char="0052"/>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76" w:hRule="atLeast"/>
                <w:jc w:val="center"/>
              </w:trPr>
              <w:tc>
                <w:tcPr>
                  <w:tcW w:w="2159" w:type="dxa"/>
                  <w:gridSpan w:val="2"/>
                  <w:shd w:val="clear" w:color="auto" w:fill="auto"/>
                  <w:vAlign w:val="center"/>
                </w:tcPr>
                <w:p>
                  <w:pPr>
                    <w:tabs>
                      <w:tab w:val="left" w:pos="630"/>
                    </w:tabs>
                    <w:adjustRightInd w:val="0"/>
                    <w:snapToGrid w:val="0"/>
                    <w:jc w:val="center"/>
                    <w:rPr>
                      <w:rFonts w:ascii="Times New Roman" w:hAnsi="Times New Roman"/>
                      <w:spacing w:val="-10"/>
                      <w:kern w:val="2"/>
                      <w:sz w:val="21"/>
                      <w:szCs w:val="21"/>
                    </w:rPr>
                  </w:pPr>
                  <w:r>
                    <w:rPr>
                      <w:rFonts w:ascii="Times New Roman" w:hAnsi="Times New Roman"/>
                      <w:spacing w:val="-10"/>
                      <w:kern w:val="2"/>
                      <w:sz w:val="21"/>
                      <w:szCs w:val="21"/>
                    </w:rPr>
                    <w:t>评价结论</w:t>
                  </w:r>
                </w:p>
              </w:tc>
              <w:tc>
                <w:tcPr>
                  <w:tcW w:w="7302" w:type="dxa"/>
                  <w:gridSpan w:val="10"/>
                  <w:shd w:val="clear" w:color="auto" w:fill="auto"/>
                  <w:vAlign w:val="center"/>
                </w:tcPr>
                <w:p>
                  <w:pPr>
                    <w:tabs>
                      <w:tab w:val="left" w:pos="630"/>
                    </w:tabs>
                    <w:adjustRightInd w:val="0"/>
                    <w:snapToGrid w:val="0"/>
                    <w:rPr>
                      <w:rFonts w:ascii="Times New Roman" w:hAnsi="Times New Roman"/>
                      <w:spacing w:val="-10"/>
                      <w:kern w:val="2"/>
                      <w:sz w:val="21"/>
                      <w:szCs w:val="21"/>
                    </w:rPr>
                  </w:pPr>
                  <w:r>
                    <w:rPr>
                      <w:rFonts w:ascii="Times New Roman" w:hAnsi="Times New Roman"/>
                      <w:spacing w:val="-10"/>
                      <w:kern w:val="2"/>
                      <w:sz w:val="21"/>
                      <w:szCs w:val="21"/>
                    </w:rPr>
                    <w:t>可以接受</w:t>
                  </w:r>
                  <w:r>
                    <w:rPr>
                      <w:rFonts w:ascii="Times New Roman" w:hAnsi="Times New Roman"/>
                      <w:spacing w:val="-10"/>
                      <w:kern w:val="2"/>
                      <w:sz w:val="21"/>
                      <w:szCs w:val="21"/>
                    </w:rPr>
                    <w:sym w:font="Wingdings 2" w:char="0052"/>
                  </w:r>
                  <w:r>
                    <w:rPr>
                      <w:rFonts w:ascii="Times New Roman" w:hAnsi="Times New Roman"/>
                      <w:spacing w:val="-10"/>
                      <w:kern w:val="2"/>
                      <w:sz w:val="21"/>
                      <w:szCs w:val="21"/>
                    </w:rPr>
                    <w:t>；不可以接受□</w:t>
                  </w:r>
                </w:p>
              </w:tc>
            </w:tr>
          </w:tbl>
          <w:p>
            <w:pPr>
              <w:pStyle w:val="41"/>
              <w:ind w:firstLine="480" w:firstLineChars="200"/>
            </w:pPr>
            <w:r>
              <w:t>三、声环境影响分析</w:t>
            </w:r>
          </w:p>
          <w:p>
            <w:pPr>
              <w:spacing w:line="360" w:lineRule="auto"/>
              <w:ind w:firstLine="480" w:firstLineChars="200"/>
              <w:rPr>
                <w:rFonts w:ascii="Times New Roman" w:hAnsi="Times New Roman"/>
              </w:rPr>
            </w:pPr>
            <w:r>
              <w:rPr>
                <w:rFonts w:hint="eastAsia" w:ascii="Times New Roman" w:hAnsi="Times New Roman"/>
              </w:rPr>
              <w:t>拟建项目所处的声环境功能区为G</w:t>
            </w:r>
            <w:r>
              <w:rPr>
                <w:rFonts w:ascii="Times New Roman" w:hAnsi="Times New Roman"/>
              </w:rPr>
              <w:t>B3096规定的3类地区，噪声评价</w:t>
            </w:r>
            <w:r>
              <w:rPr>
                <w:rFonts w:hint="eastAsia" w:ascii="Times New Roman" w:hAnsi="Times New Roman"/>
              </w:rPr>
              <w:t>等级为三级，</w:t>
            </w:r>
            <w:r>
              <w:rPr>
                <w:rFonts w:ascii="Times New Roman" w:hAnsi="Times New Roman"/>
              </w:rPr>
              <w:t>运营期噪声主要是</w:t>
            </w:r>
            <w:r>
              <w:rPr>
                <w:rFonts w:hint="eastAsia" w:ascii="Times New Roman" w:hAnsi="Times New Roman"/>
              </w:rPr>
              <w:t>印刷机及风机</w:t>
            </w:r>
            <w:r>
              <w:rPr>
                <w:rFonts w:ascii="Times New Roman" w:hAnsi="Times New Roman"/>
              </w:rPr>
              <w:t>等设备的运行噪声，设备噪声值范围为65-85dB（A），为非稳态噪声。</w:t>
            </w:r>
          </w:p>
          <w:p>
            <w:pPr>
              <w:adjustRightInd w:val="0"/>
              <w:snapToGrid w:val="0"/>
              <w:spacing w:line="460" w:lineRule="exact"/>
              <w:jc w:val="center"/>
              <w:rPr>
                <w:rFonts w:ascii="Times New Roman" w:hAnsi="Times New Roman" w:eastAsia="黑体"/>
                <w:kern w:val="0"/>
                <w:szCs w:val="24"/>
              </w:rPr>
            </w:pPr>
            <w:r>
              <w:rPr>
                <w:rFonts w:ascii="Times New Roman" w:hAnsi="Times New Roman" w:eastAsia="黑体"/>
                <w:kern w:val="0"/>
                <w:szCs w:val="24"/>
              </w:rPr>
              <w:t>表</w:t>
            </w:r>
            <w:r>
              <w:rPr>
                <w:rFonts w:hint="eastAsia" w:ascii="Times New Roman" w:hAnsi="Times New Roman" w:eastAsia="黑体"/>
                <w:kern w:val="0"/>
                <w:szCs w:val="24"/>
              </w:rPr>
              <w:t>35</w:t>
            </w:r>
            <w:r>
              <w:rPr>
                <w:rFonts w:ascii="Times New Roman" w:hAnsi="Times New Roman" w:eastAsia="黑体"/>
                <w:kern w:val="0"/>
                <w:szCs w:val="24"/>
              </w:rPr>
              <w:t xml:space="preserve"> 本项目主要噪声源情况</w:t>
            </w:r>
          </w:p>
          <w:tbl>
            <w:tblPr>
              <w:tblStyle w:val="30"/>
              <w:tblW w:w="920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54"/>
              <w:gridCol w:w="2253"/>
              <w:gridCol w:w="2259"/>
              <w:gridCol w:w="1941"/>
              <w:gridCol w:w="14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6" w:hRule="atLeast"/>
                <w:jc w:val="center"/>
              </w:trPr>
              <w:tc>
                <w:tcPr>
                  <w:tcW w:w="1254" w:type="dxa"/>
                  <w:tcMar>
                    <w:left w:w="0" w:type="dxa"/>
                    <w:right w:w="0" w:type="dxa"/>
                  </w:tcMar>
                  <w:vAlign w:val="center"/>
                </w:tcPr>
                <w:p>
                  <w:pPr>
                    <w:jc w:val="center"/>
                    <w:rPr>
                      <w:rFonts w:ascii="Times New Roman" w:hAnsi="Times New Roman"/>
                      <w:color w:val="000000"/>
                      <w:kern w:val="2"/>
                      <w:sz w:val="21"/>
                      <w:szCs w:val="21"/>
                    </w:rPr>
                  </w:pPr>
                  <w:r>
                    <w:rPr>
                      <w:rFonts w:ascii="Times New Roman" w:hAnsi="Times New Roman"/>
                      <w:color w:val="000000"/>
                      <w:kern w:val="2"/>
                      <w:sz w:val="21"/>
                      <w:szCs w:val="21"/>
                    </w:rPr>
                    <w:t>序号</w:t>
                  </w:r>
                </w:p>
              </w:tc>
              <w:tc>
                <w:tcPr>
                  <w:tcW w:w="2253" w:type="dxa"/>
                  <w:tcMar>
                    <w:left w:w="0" w:type="dxa"/>
                    <w:right w:w="0" w:type="dxa"/>
                  </w:tcMar>
                  <w:vAlign w:val="center"/>
                </w:tcPr>
                <w:p>
                  <w:pPr>
                    <w:jc w:val="center"/>
                    <w:rPr>
                      <w:rFonts w:ascii="Times New Roman" w:hAnsi="Times New Roman"/>
                      <w:color w:val="000000"/>
                      <w:kern w:val="2"/>
                      <w:sz w:val="21"/>
                      <w:szCs w:val="21"/>
                    </w:rPr>
                  </w:pPr>
                  <w:r>
                    <w:rPr>
                      <w:rFonts w:ascii="Times New Roman" w:hAnsi="Times New Roman"/>
                      <w:color w:val="000000"/>
                      <w:kern w:val="2"/>
                      <w:sz w:val="21"/>
                      <w:szCs w:val="21"/>
                    </w:rPr>
                    <w:t>设备名称</w:t>
                  </w:r>
                </w:p>
              </w:tc>
              <w:tc>
                <w:tcPr>
                  <w:tcW w:w="2259" w:type="dxa"/>
                  <w:tcMar>
                    <w:left w:w="0" w:type="dxa"/>
                    <w:right w:w="0" w:type="dxa"/>
                  </w:tcMar>
                  <w:vAlign w:val="center"/>
                </w:tcPr>
                <w:p>
                  <w:pPr>
                    <w:jc w:val="center"/>
                    <w:rPr>
                      <w:rFonts w:ascii="Times New Roman" w:hAnsi="Times New Roman"/>
                      <w:color w:val="000000"/>
                      <w:kern w:val="2"/>
                      <w:sz w:val="21"/>
                      <w:szCs w:val="21"/>
                    </w:rPr>
                  </w:pPr>
                  <w:r>
                    <w:rPr>
                      <w:rFonts w:ascii="Times New Roman" w:hAnsi="Times New Roman"/>
                      <w:color w:val="000000"/>
                      <w:kern w:val="2"/>
                      <w:sz w:val="21"/>
                      <w:szCs w:val="21"/>
                    </w:rPr>
                    <w:t>源强[dB（A）]</w:t>
                  </w:r>
                </w:p>
              </w:tc>
              <w:tc>
                <w:tcPr>
                  <w:tcW w:w="1941" w:type="dxa"/>
                  <w:tcMar>
                    <w:left w:w="0" w:type="dxa"/>
                    <w:right w:w="0" w:type="dxa"/>
                  </w:tcMar>
                  <w:vAlign w:val="center"/>
                </w:tcPr>
                <w:p>
                  <w:pPr>
                    <w:jc w:val="center"/>
                    <w:rPr>
                      <w:rFonts w:ascii="Times New Roman" w:hAnsi="Times New Roman"/>
                      <w:color w:val="000000"/>
                      <w:kern w:val="2"/>
                      <w:sz w:val="21"/>
                      <w:szCs w:val="21"/>
                    </w:rPr>
                  </w:pPr>
                  <w:r>
                    <w:rPr>
                      <w:rFonts w:ascii="Times New Roman" w:hAnsi="Times New Roman"/>
                      <w:color w:val="000000"/>
                      <w:kern w:val="2"/>
                      <w:sz w:val="21"/>
                      <w:szCs w:val="21"/>
                    </w:rPr>
                    <w:t>数量（</w:t>
                  </w:r>
                  <w:r>
                    <w:rPr>
                      <w:rFonts w:hint="eastAsia" w:ascii="Times New Roman" w:hAnsi="Times New Roman"/>
                      <w:color w:val="000000"/>
                      <w:kern w:val="2"/>
                      <w:sz w:val="21"/>
                      <w:szCs w:val="21"/>
                    </w:rPr>
                    <w:t>条</w:t>
                  </w:r>
                  <w:r>
                    <w:rPr>
                      <w:rFonts w:ascii="Times New Roman" w:hAnsi="Times New Roman"/>
                      <w:color w:val="000000"/>
                      <w:kern w:val="2"/>
                      <w:sz w:val="21"/>
                      <w:szCs w:val="21"/>
                    </w:rPr>
                    <w:t>）</w:t>
                  </w:r>
                </w:p>
              </w:tc>
              <w:tc>
                <w:tcPr>
                  <w:tcW w:w="1493" w:type="dxa"/>
                  <w:vAlign w:val="center"/>
                </w:tcPr>
                <w:p>
                  <w:pPr>
                    <w:jc w:val="center"/>
                    <w:rPr>
                      <w:rFonts w:ascii="Times New Roman" w:hAnsi="Times New Roman"/>
                      <w:color w:val="000000"/>
                      <w:kern w:val="2"/>
                      <w:sz w:val="21"/>
                      <w:szCs w:val="21"/>
                    </w:rPr>
                  </w:pPr>
                  <w:r>
                    <w:rPr>
                      <w:rFonts w:ascii="Times New Roman" w:hAnsi="Times New Roman"/>
                      <w:color w:val="000000"/>
                      <w:kern w:val="2"/>
                      <w:sz w:val="21"/>
                      <w:szCs w:val="21"/>
                    </w:rPr>
                    <w:t>排放规律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6" w:hRule="atLeast"/>
                <w:jc w:val="center"/>
              </w:trPr>
              <w:tc>
                <w:tcPr>
                  <w:tcW w:w="1254" w:type="dxa"/>
                  <w:tcMar>
                    <w:left w:w="0" w:type="dxa"/>
                    <w:right w:w="0" w:type="dxa"/>
                  </w:tcMar>
                  <w:vAlign w:val="center"/>
                </w:tcPr>
                <w:p>
                  <w:pPr>
                    <w:adjustRightInd w:val="0"/>
                    <w:snapToGrid w:val="0"/>
                    <w:jc w:val="center"/>
                    <w:rPr>
                      <w:rFonts w:ascii="Times New Roman" w:hAnsi="Times New Roman"/>
                      <w:color w:val="000000"/>
                      <w:kern w:val="2"/>
                      <w:sz w:val="21"/>
                      <w:szCs w:val="21"/>
                    </w:rPr>
                  </w:pPr>
                  <w:r>
                    <w:rPr>
                      <w:rFonts w:ascii="Times New Roman" w:hAnsi="Times New Roman"/>
                      <w:color w:val="000000"/>
                      <w:kern w:val="2"/>
                      <w:sz w:val="21"/>
                      <w:szCs w:val="21"/>
                    </w:rPr>
                    <w:t>1</w:t>
                  </w:r>
                </w:p>
              </w:tc>
              <w:tc>
                <w:tcPr>
                  <w:tcW w:w="2253" w:type="dxa"/>
                  <w:tcMar>
                    <w:left w:w="0" w:type="dxa"/>
                    <w:right w:w="0" w:type="dxa"/>
                  </w:tcMar>
                </w:tcPr>
                <w:p>
                  <w:pPr>
                    <w:jc w:val="center"/>
                    <w:rPr>
                      <w:rFonts w:ascii="Times New Roman" w:hAnsi="Times New Roman"/>
                      <w:color w:val="000000"/>
                      <w:kern w:val="2"/>
                      <w:sz w:val="21"/>
                      <w:szCs w:val="21"/>
                    </w:rPr>
                  </w:pPr>
                  <w:r>
                    <w:rPr>
                      <w:rFonts w:hint="eastAsia" w:ascii="Times New Roman" w:hAnsi="Times New Roman"/>
                      <w:color w:val="000000"/>
                      <w:kern w:val="2"/>
                      <w:sz w:val="21"/>
                      <w:szCs w:val="21"/>
                    </w:rPr>
                    <w:t>印刷机</w:t>
                  </w:r>
                </w:p>
              </w:tc>
              <w:tc>
                <w:tcPr>
                  <w:tcW w:w="2259" w:type="dxa"/>
                  <w:tcMar>
                    <w:left w:w="0" w:type="dxa"/>
                    <w:right w:w="0" w:type="dxa"/>
                  </w:tcMar>
                  <w:vAlign w:val="center"/>
                </w:tcPr>
                <w:p>
                  <w:pPr>
                    <w:jc w:val="center"/>
                    <w:rPr>
                      <w:rFonts w:ascii="Times New Roman" w:hAnsi="Times New Roman"/>
                      <w:color w:val="000000"/>
                      <w:kern w:val="2"/>
                      <w:sz w:val="21"/>
                      <w:szCs w:val="21"/>
                    </w:rPr>
                  </w:pPr>
                  <w:r>
                    <w:rPr>
                      <w:rFonts w:ascii="Times New Roman" w:hAnsi="Times New Roman"/>
                      <w:color w:val="000000"/>
                      <w:kern w:val="2"/>
                      <w:sz w:val="21"/>
                      <w:szCs w:val="21"/>
                    </w:rPr>
                    <w:t>65-70</w:t>
                  </w:r>
                </w:p>
              </w:tc>
              <w:tc>
                <w:tcPr>
                  <w:tcW w:w="1941" w:type="dxa"/>
                  <w:tcMar>
                    <w:left w:w="0" w:type="dxa"/>
                    <w:right w:w="0" w:type="dxa"/>
                  </w:tcMar>
                  <w:vAlign w:val="center"/>
                </w:tcPr>
                <w:p>
                  <w:pPr>
                    <w:jc w:val="center"/>
                    <w:rPr>
                      <w:rFonts w:ascii="Times New Roman" w:hAnsi="Times New Roman"/>
                      <w:color w:val="000000"/>
                      <w:kern w:val="2"/>
                      <w:sz w:val="21"/>
                      <w:szCs w:val="21"/>
                    </w:rPr>
                  </w:pPr>
                  <w:r>
                    <w:rPr>
                      <w:rFonts w:ascii="Times New Roman" w:hAnsi="Times New Roman"/>
                      <w:color w:val="000000"/>
                      <w:kern w:val="2"/>
                      <w:sz w:val="21"/>
                      <w:szCs w:val="21"/>
                    </w:rPr>
                    <w:t>6</w:t>
                  </w:r>
                </w:p>
              </w:tc>
              <w:tc>
                <w:tcPr>
                  <w:tcW w:w="1493" w:type="dxa"/>
                  <w:vAlign w:val="center"/>
                </w:tcPr>
                <w:p>
                  <w:pPr>
                    <w:jc w:val="center"/>
                    <w:rPr>
                      <w:rFonts w:ascii="Times New Roman" w:hAnsi="Times New Roman"/>
                      <w:color w:val="000000"/>
                      <w:kern w:val="2"/>
                      <w:sz w:val="21"/>
                      <w:szCs w:val="21"/>
                    </w:rPr>
                  </w:pPr>
                  <w:r>
                    <w:rPr>
                      <w:rFonts w:hint="eastAsia" w:ascii="Times New Roman" w:hAnsi="Times New Roman"/>
                      <w:color w:val="000000"/>
                      <w:kern w:val="2"/>
                      <w:sz w:val="21"/>
                      <w:szCs w:val="21"/>
                    </w:rPr>
                    <w:t>非</w:t>
                  </w:r>
                  <w:r>
                    <w:rPr>
                      <w:rFonts w:ascii="Times New Roman" w:hAnsi="Times New Roman"/>
                      <w:color w:val="000000"/>
                      <w:kern w:val="2"/>
                      <w:sz w:val="21"/>
                      <w:szCs w:val="21"/>
                    </w:rPr>
                    <w:t>连续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6" w:hRule="atLeast"/>
                <w:jc w:val="center"/>
              </w:trPr>
              <w:tc>
                <w:tcPr>
                  <w:tcW w:w="1254" w:type="dxa"/>
                  <w:tcMar>
                    <w:left w:w="0" w:type="dxa"/>
                    <w:right w:w="0" w:type="dxa"/>
                  </w:tcMar>
                  <w:vAlign w:val="center"/>
                </w:tcPr>
                <w:p>
                  <w:pPr>
                    <w:adjustRightInd w:val="0"/>
                    <w:snapToGrid w:val="0"/>
                    <w:jc w:val="center"/>
                    <w:rPr>
                      <w:rFonts w:ascii="Times New Roman" w:hAnsi="Times New Roman"/>
                      <w:color w:val="000000"/>
                      <w:kern w:val="2"/>
                      <w:sz w:val="21"/>
                      <w:szCs w:val="21"/>
                    </w:rPr>
                  </w:pPr>
                  <w:r>
                    <w:rPr>
                      <w:rFonts w:hint="eastAsia" w:ascii="Times New Roman" w:hAnsi="Times New Roman"/>
                      <w:color w:val="000000"/>
                      <w:kern w:val="2"/>
                      <w:sz w:val="21"/>
                      <w:szCs w:val="21"/>
                    </w:rPr>
                    <w:t>2</w:t>
                  </w:r>
                </w:p>
              </w:tc>
              <w:tc>
                <w:tcPr>
                  <w:tcW w:w="2253" w:type="dxa"/>
                  <w:tcMar>
                    <w:left w:w="0" w:type="dxa"/>
                    <w:right w:w="0" w:type="dxa"/>
                  </w:tcMar>
                </w:tcPr>
                <w:p>
                  <w:pPr>
                    <w:jc w:val="center"/>
                    <w:rPr>
                      <w:rFonts w:ascii="Times New Roman" w:hAnsi="Times New Roman"/>
                      <w:color w:val="000000"/>
                      <w:kern w:val="2"/>
                      <w:sz w:val="21"/>
                      <w:szCs w:val="21"/>
                    </w:rPr>
                  </w:pPr>
                  <w:r>
                    <w:rPr>
                      <w:rFonts w:hint="eastAsia" w:ascii="Times New Roman" w:hAnsi="Times New Roman"/>
                      <w:color w:val="000000"/>
                      <w:kern w:val="2"/>
                      <w:sz w:val="21"/>
                      <w:szCs w:val="21"/>
                    </w:rPr>
                    <w:t>风机</w:t>
                  </w:r>
                </w:p>
              </w:tc>
              <w:tc>
                <w:tcPr>
                  <w:tcW w:w="2259" w:type="dxa"/>
                  <w:tcMar>
                    <w:left w:w="0" w:type="dxa"/>
                    <w:right w:w="0" w:type="dxa"/>
                  </w:tcMar>
                  <w:vAlign w:val="center"/>
                </w:tcPr>
                <w:p>
                  <w:pPr>
                    <w:jc w:val="center"/>
                    <w:rPr>
                      <w:rFonts w:ascii="Times New Roman" w:hAnsi="Times New Roman"/>
                      <w:color w:val="000000"/>
                      <w:kern w:val="2"/>
                      <w:sz w:val="21"/>
                      <w:szCs w:val="21"/>
                    </w:rPr>
                  </w:pPr>
                  <w:r>
                    <w:rPr>
                      <w:rFonts w:ascii="Times New Roman" w:hAnsi="Times New Roman"/>
                      <w:color w:val="000000"/>
                      <w:kern w:val="2"/>
                      <w:sz w:val="21"/>
                      <w:szCs w:val="21"/>
                    </w:rPr>
                    <w:t>80-</w:t>
                  </w:r>
                  <w:r>
                    <w:rPr>
                      <w:rFonts w:hint="eastAsia" w:ascii="Times New Roman" w:hAnsi="Times New Roman"/>
                      <w:color w:val="000000"/>
                      <w:kern w:val="2"/>
                      <w:sz w:val="21"/>
                      <w:szCs w:val="21"/>
                    </w:rPr>
                    <w:t>8</w:t>
                  </w:r>
                  <w:r>
                    <w:rPr>
                      <w:rFonts w:ascii="Times New Roman" w:hAnsi="Times New Roman"/>
                      <w:color w:val="000000"/>
                      <w:kern w:val="2"/>
                      <w:sz w:val="21"/>
                      <w:szCs w:val="21"/>
                    </w:rPr>
                    <w:t>5</w:t>
                  </w:r>
                </w:p>
              </w:tc>
              <w:tc>
                <w:tcPr>
                  <w:tcW w:w="1941" w:type="dxa"/>
                  <w:tcMar>
                    <w:left w:w="0" w:type="dxa"/>
                    <w:right w:w="0" w:type="dxa"/>
                  </w:tcMar>
                  <w:vAlign w:val="center"/>
                </w:tcPr>
                <w:p>
                  <w:pPr>
                    <w:jc w:val="center"/>
                    <w:rPr>
                      <w:rFonts w:ascii="Times New Roman" w:hAnsi="Times New Roman"/>
                      <w:color w:val="000000"/>
                      <w:kern w:val="2"/>
                      <w:sz w:val="21"/>
                      <w:szCs w:val="21"/>
                    </w:rPr>
                  </w:pPr>
                  <w:r>
                    <w:rPr>
                      <w:rFonts w:hint="eastAsia" w:ascii="Times New Roman" w:hAnsi="Times New Roman"/>
                      <w:color w:val="000000"/>
                      <w:kern w:val="2"/>
                      <w:sz w:val="21"/>
                      <w:szCs w:val="21"/>
                    </w:rPr>
                    <w:t>1</w:t>
                  </w:r>
                </w:p>
              </w:tc>
              <w:tc>
                <w:tcPr>
                  <w:tcW w:w="1493" w:type="dxa"/>
                  <w:vAlign w:val="center"/>
                </w:tcPr>
                <w:p>
                  <w:pPr>
                    <w:jc w:val="center"/>
                    <w:rPr>
                      <w:rFonts w:ascii="Times New Roman" w:hAnsi="Times New Roman"/>
                      <w:color w:val="000000"/>
                      <w:kern w:val="2"/>
                      <w:sz w:val="21"/>
                      <w:szCs w:val="21"/>
                    </w:rPr>
                  </w:pPr>
                  <w:r>
                    <w:rPr>
                      <w:rFonts w:ascii="Times New Roman" w:hAnsi="Times New Roman"/>
                      <w:color w:val="000000"/>
                      <w:kern w:val="2"/>
                      <w:sz w:val="21"/>
                      <w:szCs w:val="21"/>
                    </w:rPr>
                    <w:t>连续</w:t>
                  </w:r>
                </w:p>
              </w:tc>
            </w:tr>
          </w:tbl>
          <w:p>
            <w:pPr>
              <w:spacing w:line="360" w:lineRule="auto"/>
              <w:ind w:firstLine="480" w:firstLineChars="200"/>
              <w:rPr>
                <w:rFonts w:ascii="Times New Roman" w:hAnsi="Times New Roman"/>
                <w:color w:val="000000"/>
                <w:kern w:val="2"/>
                <w:szCs w:val="24"/>
              </w:rPr>
            </w:pPr>
            <w:r>
              <w:rPr>
                <w:rFonts w:ascii="Times New Roman" w:hAnsi="Times New Roman"/>
                <w:color w:val="000000"/>
                <w:kern w:val="2"/>
                <w:szCs w:val="24"/>
              </w:rPr>
              <w:t>（2）防治措施及影响分析</w:t>
            </w:r>
          </w:p>
          <w:p>
            <w:pPr>
              <w:spacing w:line="360" w:lineRule="auto"/>
              <w:ind w:firstLine="480" w:firstLineChars="200"/>
              <w:rPr>
                <w:rFonts w:ascii="Times New Roman" w:hAnsi="Times New Roman"/>
                <w:color w:val="000000"/>
                <w:kern w:val="2"/>
                <w:szCs w:val="24"/>
              </w:rPr>
            </w:pPr>
            <w:r>
              <w:rPr>
                <w:rFonts w:ascii="Times New Roman" w:hAnsi="Times New Roman"/>
                <w:color w:val="000000"/>
                <w:kern w:val="2"/>
                <w:szCs w:val="24"/>
              </w:rPr>
              <w:t>为降低噪声影响，本项目采取的降噪措施主要有：</w:t>
            </w:r>
          </w:p>
          <w:p>
            <w:pPr>
              <w:spacing w:line="360" w:lineRule="auto"/>
              <w:ind w:firstLine="480" w:firstLineChars="200"/>
              <w:rPr>
                <w:rFonts w:ascii="Times New Roman" w:hAnsi="Times New Roman"/>
                <w:color w:val="000000"/>
                <w:kern w:val="2"/>
                <w:szCs w:val="24"/>
              </w:rPr>
            </w:pPr>
            <w:r>
              <w:rPr>
                <w:rFonts w:hint="eastAsia" w:cs="宋体"/>
                <w:color w:val="000000"/>
                <w:kern w:val="2"/>
                <w:szCs w:val="24"/>
              </w:rPr>
              <w:t>①</w:t>
            </w:r>
            <w:r>
              <w:rPr>
                <w:rFonts w:ascii="Times New Roman" w:hAnsi="Times New Roman"/>
                <w:color w:val="000000"/>
                <w:kern w:val="2"/>
                <w:szCs w:val="24"/>
              </w:rPr>
              <w:t>设备选型上应注意噪声的防治，选择噪声低、能耗低的设备，以减小噪声源的声级。合理布局各功能区，从而降低噪声对工作人员的影响。</w:t>
            </w:r>
          </w:p>
          <w:p>
            <w:pPr>
              <w:spacing w:line="360" w:lineRule="auto"/>
              <w:ind w:firstLine="480"/>
              <w:rPr>
                <w:rFonts w:ascii="Times New Roman" w:hAnsi="Times New Roman"/>
                <w:color w:val="000000"/>
                <w:kern w:val="2"/>
                <w:szCs w:val="24"/>
              </w:rPr>
            </w:pPr>
            <w:r>
              <w:rPr>
                <w:rFonts w:hint="eastAsia" w:ascii="Times New Roman" w:hAnsi="Times New Roman"/>
                <w:color w:val="000000"/>
                <w:kern w:val="2"/>
                <w:szCs w:val="24"/>
              </w:rPr>
              <w:t>②项目风机位于楼顶</w:t>
            </w:r>
            <w:r>
              <w:rPr>
                <w:rFonts w:ascii="Times New Roman" w:hAnsi="Times New Roman"/>
                <w:color w:val="000000"/>
                <w:kern w:val="2"/>
                <w:szCs w:val="24"/>
              </w:rPr>
              <w:t>，加装减振垫，增加稳定性减轻振动</w:t>
            </w:r>
            <w:r>
              <w:rPr>
                <w:rFonts w:hint="eastAsia" w:ascii="Times New Roman" w:hAnsi="Times New Roman"/>
                <w:color w:val="000000"/>
                <w:kern w:val="2"/>
                <w:szCs w:val="24"/>
              </w:rPr>
              <w:t>，</w:t>
            </w:r>
            <w:r>
              <w:rPr>
                <w:rFonts w:ascii="Times New Roman" w:hAnsi="Times New Roman"/>
                <w:color w:val="000000"/>
                <w:kern w:val="2"/>
                <w:szCs w:val="24"/>
              </w:rPr>
              <w:t>采取减震、隔声、消音等综合治理措施，可有效降低噪声对环境的影响。</w:t>
            </w:r>
          </w:p>
          <w:p>
            <w:pPr>
              <w:spacing w:line="360" w:lineRule="auto"/>
              <w:ind w:firstLine="480" w:firstLineChars="200"/>
              <w:rPr>
                <w:rFonts w:ascii="Times New Roman" w:hAnsi="Times New Roman"/>
                <w:color w:val="000000"/>
                <w:kern w:val="2"/>
                <w:szCs w:val="24"/>
              </w:rPr>
            </w:pPr>
            <w:r>
              <w:rPr>
                <w:rFonts w:hint="eastAsia" w:cs="宋体"/>
                <w:color w:val="000000"/>
                <w:kern w:val="2"/>
                <w:szCs w:val="24"/>
              </w:rPr>
              <w:t>③</w:t>
            </w:r>
            <w:r>
              <w:rPr>
                <w:rFonts w:ascii="Times New Roman" w:hAnsi="Times New Roman"/>
                <w:color w:val="000000"/>
                <w:kern w:val="2"/>
                <w:szCs w:val="24"/>
              </w:rPr>
              <w:t>在车间生产过程中，车间的门应关好，并保证窗户完好，经过墙壁的隔挡降噪和距离衰减。</w:t>
            </w:r>
          </w:p>
          <w:p>
            <w:pPr>
              <w:adjustRightInd w:val="0"/>
              <w:snapToGrid w:val="0"/>
              <w:spacing w:line="460" w:lineRule="exact"/>
              <w:jc w:val="center"/>
              <w:rPr>
                <w:rFonts w:ascii="Times New Roman" w:hAnsi="Times New Roman" w:eastAsia="黑体"/>
                <w:kern w:val="0"/>
                <w:szCs w:val="24"/>
              </w:rPr>
            </w:pPr>
            <w:r>
              <w:rPr>
                <w:rFonts w:ascii="Times New Roman" w:hAnsi="Times New Roman" w:eastAsia="黑体"/>
                <w:kern w:val="0"/>
                <w:szCs w:val="24"/>
              </w:rPr>
              <w:t>表</w:t>
            </w:r>
            <w:r>
              <w:rPr>
                <w:rFonts w:hint="eastAsia" w:ascii="Times New Roman" w:hAnsi="Times New Roman" w:eastAsia="黑体"/>
                <w:kern w:val="0"/>
                <w:szCs w:val="24"/>
              </w:rPr>
              <w:t>36</w:t>
            </w:r>
            <w:r>
              <w:rPr>
                <w:rFonts w:ascii="Times New Roman" w:hAnsi="Times New Roman" w:eastAsia="黑体"/>
                <w:kern w:val="0"/>
                <w:szCs w:val="24"/>
              </w:rPr>
              <w:t xml:space="preserve"> 本项目主要噪声源及降噪情况</w:t>
            </w:r>
          </w:p>
          <w:tbl>
            <w:tblPr>
              <w:tblStyle w:val="30"/>
              <w:tblW w:w="91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5"/>
              <w:gridCol w:w="2152"/>
              <w:gridCol w:w="1540"/>
              <w:gridCol w:w="3020"/>
              <w:gridCol w:w="17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2" w:hRule="atLeast"/>
                <w:jc w:val="center"/>
              </w:trPr>
              <w:tc>
                <w:tcPr>
                  <w:tcW w:w="715" w:type="dxa"/>
                  <w:tcMar>
                    <w:left w:w="0" w:type="dxa"/>
                    <w:right w:w="0" w:type="dxa"/>
                  </w:tcMar>
                  <w:vAlign w:val="center"/>
                </w:tcPr>
                <w:p>
                  <w:pPr>
                    <w:jc w:val="center"/>
                    <w:rPr>
                      <w:rFonts w:ascii="Times New Roman" w:hAnsi="Times New Roman"/>
                      <w:color w:val="000000"/>
                      <w:kern w:val="2"/>
                      <w:sz w:val="21"/>
                      <w:szCs w:val="21"/>
                    </w:rPr>
                  </w:pPr>
                  <w:r>
                    <w:rPr>
                      <w:rFonts w:ascii="Times New Roman" w:hAnsi="Times New Roman"/>
                      <w:color w:val="000000"/>
                      <w:kern w:val="2"/>
                      <w:sz w:val="21"/>
                      <w:szCs w:val="21"/>
                    </w:rPr>
                    <w:t>序号</w:t>
                  </w:r>
                </w:p>
              </w:tc>
              <w:tc>
                <w:tcPr>
                  <w:tcW w:w="2152" w:type="dxa"/>
                  <w:tcMar>
                    <w:left w:w="0" w:type="dxa"/>
                    <w:right w:w="0" w:type="dxa"/>
                  </w:tcMar>
                  <w:vAlign w:val="center"/>
                </w:tcPr>
                <w:p>
                  <w:pPr>
                    <w:jc w:val="center"/>
                    <w:rPr>
                      <w:rFonts w:ascii="Times New Roman" w:hAnsi="Times New Roman"/>
                      <w:color w:val="000000"/>
                      <w:kern w:val="2"/>
                      <w:sz w:val="21"/>
                      <w:szCs w:val="21"/>
                    </w:rPr>
                  </w:pPr>
                  <w:r>
                    <w:rPr>
                      <w:rFonts w:ascii="Times New Roman" w:hAnsi="Times New Roman"/>
                      <w:color w:val="000000"/>
                      <w:kern w:val="2"/>
                      <w:sz w:val="21"/>
                      <w:szCs w:val="21"/>
                    </w:rPr>
                    <w:t>设备名称</w:t>
                  </w:r>
                </w:p>
              </w:tc>
              <w:tc>
                <w:tcPr>
                  <w:tcW w:w="1540" w:type="dxa"/>
                  <w:tcMar>
                    <w:left w:w="0" w:type="dxa"/>
                    <w:right w:w="0" w:type="dxa"/>
                  </w:tcMar>
                  <w:vAlign w:val="center"/>
                </w:tcPr>
                <w:p>
                  <w:pPr>
                    <w:jc w:val="center"/>
                    <w:rPr>
                      <w:rFonts w:ascii="Times New Roman" w:hAnsi="Times New Roman"/>
                      <w:color w:val="000000"/>
                      <w:kern w:val="2"/>
                      <w:sz w:val="21"/>
                      <w:szCs w:val="21"/>
                    </w:rPr>
                  </w:pPr>
                  <w:r>
                    <w:rPr>
                      <w:rFonts w:ascii="Times New Roman" w:hAnsi="Times New Roman"/>
                      <w:color w:val="000000"/>
                      <w:kern w:val="2"/>
                      <w:sz w:val="21"/>
                      <w:szCs w:val="21"/>
                    </w:rPr>
                    <w:t>源强[dB(A)]</w:t>
                  </w:r>
                </w:p>
              </w:tc>
              <w:tc>
                <w:tcPr>
                  <w:tcW w:w="3020" w:type="dxa"/>
                  <w:tcMar>
                    <w:left w:w="0" w:type="dxa"/>
                    <w:right w:w="0" w:type="dxa"/>
                  </w:tcMar>
                  <w:vAlign w:val="center"/>
                </w:tcPr>
                <w:p>
                  <w:pPr>
                    <w:jc w:val="center"/>
                    <w:rPr>
                      <w:rFonts w:ascii="Times New Roman" w:hAnsi="Times New Roman"/>
                      <w:color w:val="000000"/>
                      <w:kern w:val="2"/>
                      <w:sz w:val="21"/>
                      <w:szCs w:val="21"/>
                    </w:rPr>
                  </w:pPr>
                  <w:r>
                    <w:rPr>
                      <w:rFonts w:ascii="Times New Roman" w:hAnsi="Times New Roman"/>
                      <w:color w:val="000000"/>
                      <w:kern w:val="2"/>
                      <w:sz w:val="21"/>
                      <w:szCs w:val="21"/>
                    </w:rPr>
                    <w:t>降噪措施</w:t>
                  </w:r>
                </w:p>
              </w:tc>
              <w:tc>
                <w:tcPr>
                  <w:tcW w:w="1753" w:type="dxa"/>
                  <w:vAlign w:val="center"/>
                </w:tcPr>
                <w:p>
                  <w:pPr>
                    <w:jc w:val="center"/>
                    <w:rPr>
                      <w:rFonts w:ascii="Times New Roman" w:hAnsi="Times New Roman"/>
                      <w:color w:val="000000"/>
                      <w:kern w:val="2"/>
                      <w:sz w:val="21"/>
                      <w:szCs w:val="21"/>
                    </w:rPr>
                  </w:pPr>
                  <w:r>
                    <w:rPr>
                      <w:rFonts w:ascii="Times New Roman" w:hAnsi="Times New Roman"/>
                      <w:color w:val="000000"/>
                      <w:kern w:val="2"/>
                      <w:sz w:val="21"/>
                      <w:szCs w:val="21"/>
                    </w:rPr>
                    <w:t>降噪后噪声源强[dB(A)]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1" w:hRule="atLeast"/>
                <w:jc w:val="center"/>
              </w:trPr>
              <w:tc>
                <w:tcPr>
                  <w:tcW w:w="715" w:type="dxa"/>
                  <w:tcMar>
                    <w:left w:w="0" w:type="dxa"/>
                    <w:right w:w="0" w:type="dxa"/>
                  </w:tcMar>
                  <w:vAlign w:val="center"/>
                </w:tcPr>
                <w:p>
                  <w:pPr>
                    <w:adjustRightInd w:val="0"/>
                    <w:snapToGrid w:val="0"/>
                    <w:jc w:val="center"/>
                    <w:rPr>
                      <w:rFonts w:ascii="Times New Roman" w:hAnsi="Times New Roman"/>
                      <w:color w:val="000000"/>
                      <w:kern w:val="2"/>
                      <w:sz w:val="21"/>
                      <w:szCs w:val="21"/>
                    </w:rPr>
                  </w:pPr>
                  <w:r>
                    <w:rPr>
                      <w:rFonts w:ascii="Times New Roman" w:hAnsi="Times New Roman"/>
                      <w:color w:val="000000"/>
                      <w:kern w:val="2"/>
                      <w:sz w:val="21"/>
                      <w:szCs w:val="21"/>
                    </w:rPr>
                    <w:t>1</w:t>
                  </w:r>
                </w:p>
              </w:tc>
              <w:tc>
                <w:tcPr>
                  <w:tcW w:w="2152" w:type="dxa"/>
                  <w:tcMar>
                    <w:left w:w="0" w:type="dxa"/>
                    <w:right w:w="0" w:type="dxa"/>
                  </w:tcMar>
                </w:tcPr>
                <w:p>
                  <w:pPr>
                    <w:jc w:val="center"/>
                    <w:rPr>
                      <w:rFonts w:ascii="Times New Roman" w:hAnsi="Times New Roman"/>
                      <w:color w:val="000000"/>
                      <w:kern w:val="2"/>
                      <w:sz w:val="21"/>
                      <w:szCs w:val="21"/>
                    </w:rPr>
                  </w:pPr>
                  <w:r>
                    <w:rPr>
                      <w:rFonts w:hint="eastAsia" w:ascii="Times New Roman" w:hAnsi="Times New Roman"/>
                      <w:color w:val="000000"/>
                      <w:kern w:val="2"/>
                      <w:sz w:val="21"/>
                      <w:szCs w:val="21"/>
                    </w:rPr>
                    <w:t>印刷机</w:t>
                  </w:r>
                </w:p>
              </w:tc>
              <w:tc>
                <w:tcPr>
                  <w:tcW w:w="1540" w:type="dxa"/>
                  <w:tcMar>
                    <w:left w:w="0" w:type="dxa"/>
                    <w:right w:w="0" w:type="dxa"/>
                  </w:tcMar>
                  <w:vAlign w:val="center"/>
                </w:tcPr>
                <w:p>
                  <w:pPr>
                    <w:jc w:val="center"/>
                    <w:rPr>
                      <w:rFonts w:ascii="Times New Roman" w:hAnsi="Times New Roman"/>
                      <w:color w:val="000000"/>
                      <w:kern w:val="2"/>
                      <w:sz w:val="21"/>
                      <w:szCs w:val="21"/>
                    </w:rPr>
                  </w:pPr>
                  <w:r>
                    <w:rPr>
                      <w:rFonts w:ascii="Times New Roman" w:hAnsi="Times New Roman"/>
                      <w:color w:val="000000"/>
                      <w:kern w:val="2"/>
                      <w:sz w:val="21"/>
                      <w:szCs w:val="21"/>
                    </w:rPr>
                    <w:t>60-65</w:t>
                  </w:r>
                </w:p>
              </w:tc>
              <w:tc>
                <w:tcPr>
                  <w:tcW w:w="3020" w:type="dxa"/>
                  <w:tcMar>
                    <w:left w:w="0" w:type="dxa"/>
                    <w:right w:w="0" w:type="dxa"/>
                  </w:tcMar>
                  <w:vAlign w:val="center"/>
                </w:tcPr>
                <w:p>
                  <w:pPr>
                    <w:jc w:val="center"/>
                    <w:rPr>
                      <w:rFonts w:ascii="Times New Roman" w:hAnsi="Times New Roman"/>
                      <w:color w:val="000000"/>
                      <w:kern w:val="2"/>
                      <w:sz w:val="21"/>
                      <w:szCs w:val="21"/>
                    </w:rPr>
                  </w:pPr>
                  <w:r>
                    <w:rPr>
                      <w:rFonts w:ascii="Times New Roman" w:hAnsi="Times New Roman"/>
                      <w:color w:val="000000"/>
                      <w:kern w:val="2"/>
                      <w:sz w:val="21"/>
                      <w:szCs w:val="21"/>
                    </w:rPr>
                    <w:t>选用低噪声设备、减振、隔声</w:t>
                  </w:r>
                </w:p>
              </w:tc>
              <w:tc>
                <w:tcPr>
                  <w:tcW w:w="1753" w:type="dxa"/>
                  <w:vAlign w:val="center"/>
                </w:tcPr>
                <w:p>
                  <w:pPr>
                    <w:jc w:val="center"/>
                    <w:rPr>
                      <w:rFonts w:ascii="Times New Roman" w:hAnsi="Times New Roman"/>
                      <w:color w:val="000000"/>
                      <w:kern w:val="2"/>
                      <w:sz w:val="21"/>
                      <w:szCs w:val="21"/>
                    </w:rPr>
                  </w:pPr>
                  <w:r>
                    <w:rPr>
                      <w:rFonts w:ascii="Times New Roman" w:hAnsi="Times New Roman"/>
                      <w:color w:val="000000"/>
                      <w:kern w:val="2"/>
                      <w:sz w:val="21"/>
                      <w:szCs w:val="24"/>
                    </w:rPr>
                    <w:t>≤</w:t>
                  </w:r>
                  <w:r>
                    <w:rPr>
                      <w:rFonts w:ascii="Times New Roman" w:hAnsi="Times New Roman"/>
                      <w:color w:val="000000"/>
                      <w:kern w:val="2"/>
                      <w:sz w:val="21"/>
                      <w:szCs w:val="21"/>
                    </w:rPr>
                    <w:t>4</w:t>
                  </w:r>
                  <w:r>
                    <w:rPr>
                      <w:rFonts w:hint="eastAsia" w:ascii="Times New Roman" w:hAnsi="Times New Roman"/>
                      <w:color w:val="000000"/>
                      <w:kern w:val="2"/>
                      <w:sz w:val="21"/>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1" w:hRule="atLeast"/>
                <w:jc w:val="center"/>
              </w:trPr>
              <w:tc>
                <w:tcPr>
                  <w:tcW w:w="715" w:type="dxa"/>
                  <w:tcMar>
                    <w:left w:w="0" w:type="dxa"/>
                    <w:right w:w="0" w:type="dxa"/>
                  </w:tcMar>
                  <w:vAlign w:val="center"/>
                </w:tcPr>
                <w:p>
                  <w:pPr>
                    <w:adjustRightInd w:val="0"/>
                    <w:snapToGrid w:val="0"/>
                    <w:jc w:val="center"/>
                    <w:rPr>
                      <w:rFonts w:ascii="Times New Roman" w:hAnsi="Times New Roman"/>
                      <w:color w:val="000000"/>
                      <w:kern w:val="2"/>
                      <w:sz w:val="21"/>
                      <w:szCs w:val="21"/>
                    </w:rPr>
                  </w:pPr>
                  <w:r>
                    <w:rPr>
                      <w:rFonts w:hint="eastAsia" w:ascii="Times New Roman" w:hAnsi="Times New Roman"/>
                      <w:color w:val="000000"/>
                      <w:kern w:val="2"/>
                      <w:sz w:val="21"/>
                      <w:szCs w:val="21"/>
                    </w:rPr>
                    <w:t>2</w:t>
                  </w:r>
                </w:p>
              </w:tc>
              <w:tc>
                <w:tcPr>
                  <w:tcW w:w="2152" w:type="dxa"/>
                  <w:tcMar>
                    <w:left w:w="0" w:type="dxa"/>
                    <w:right w:w="0" w:type="dxa"/>
                  </w:tcMar>
                </w:tcPr>
                <w:p>
                  <w:pPr>
                    <w:jc w:val="center"/>
                    <w:rPr>
                      <w:rFonts w:ascii="Times New Roman" w:hAnsi="Times New Roman"/>
                      <w:color w:val="000000"/>
                      <w:kern w:val="2"/>
                      <w:sz w:val="21"/>
                      <w:szCs w:val="21"/>
                    </w:rPr>
                  </w:pPr>
                  <w:r>
                    <w:rPr>
                      <w:rFonts w:hint="eastAsia" w:ascii="Times New Roman" w:hAnsi="Times New Roman"/>
                      <w:color w:val="000000"/>
                      <w:kern w:val="2"/>
                      <w:sz w:val="21"/>
                      <w:szCs w:val="21"/>
                    </w:rPr>
                    <w:t>风机</w:t>
                  </w:r>
                </w:p>
              </w:tc>
              <w:tc>
                <w:tcPr>
                  <w:tcW w:w="1540" w:type="dxa"/>
                  <w:tcMar>
                    <w:left w:w="0" w:type="dxa"/>
                    <w:right w:w="0" w:type="dxa"/>
                  </w:tcMar>
                  <w:vAlign w:val="center"/>
                </w:tcPr>
                <w:p>
                  <w:pPr>
                    <w:jc w:val="center"/>
                    <w:rPr>
                      <w:rFonts w:ascii="Times New Roman" w:hAnsi="Times New Roman"/>
                      <w:color w:val="000000"/>
                      <w:kern w:val="2"/>
                      <w:sz w:val="21"/>
                      <w:szCs w:val="21"/>
                    </w:rPr>
                  </w:pPr>
                  <w:r>
                    <w:rPr>
                      <w:rFonts w:ascii="Times New Roman" w:hAnsi="Times New Roman"/>
                      <w:color w:val="000000"/>
                      <w:kern w:val="2"/>
                      <w:sz w:val="21"/>
                      <w:szCs w:val="21"/>
                    </w:rPr>
                    <w:t>80-</w:t>
                  </w:r>
                  <w:r>
                    <w:rPr>
                      <w:rFonts w:hint="eastAsia" w:ascii="Times New Roman" w:hAnsi="Times New Roman"/>
                      <w:color w:val="000000"/>
                      <w:kern w:val="2"/>
                      <w:sz w:val="21"/>
                      <w:szCs w:val="21"/>
                    </w:rPr>
                    <w:t>8</w:t>
                  </w:r>
                  <w:r>
                    <w:rPr>
                      <w:rFonts w:ascii="Times New Roman" w:hAnsi="Times New Roman"/>
                      <w:color w:val="000000"/>
                      <w:kern w:val="2"/>
                      <w:sz w:val="21"/>
                      <w:szCs w:val="21"/>
                    </w:rPr>
                    <w:t>5</w:t>
                  </w:r>
                </w:p>
              </w:tc>
              <w:tc>
                <w:tcPr>
                  <w:tcW w:w="3020" w:type="dxa"/>
                  <w:tcMar>
                    <w:left w:w="0" w:type="dxa"/>
                    <w:right w:w="0" w:type="dxa"/>
                  </w:tcMar>
                  <w:vAlign w:val="center"/>
                </w:tcPr>
                <w:p>
                  <w:pPr>
                    <w:jc w:val="center"/>
                    <w:rPr>
                      <w:rFonts w:ascii="Times New Roman" w:hAnsi="Times New Roman"/>
                      <w:color w:val="000000"/>
                      <w:kern w:val="2"/>
                      <w:sz w:val="21"/>
                      <w:szCs w:val="21"/>
                    </w:rPr>
                  </w:pPr>
                  <w:r>
                    <w:rPr>
                      <w:rFonts w:ascii="Times New Roman" w:hAnsi="Times New Roman"/>
                      <w:color w:val="000000"/>
                      <w:kern w:val="2"/>
                      <w:sz w:val="21"/>
                      <w:szCs w:val="21"/>
                    </w:rPr>
                    <w:t>选用低噪声设备、减振、隔声</w:t>
                  </w:r>
                </w:p>
              </w:tc>
              <w:tc>
                <w:tcPr>
                  <w:tcW w:w="1753" w:type="dxa"/>
                  <w:vAlign w:val="center"/>
                </w:tcPr>
                <w:p>
                  <w:pPr>
                    <w:jc w:val="center"/>
                    <w:rPr>
                      <w:rFonts w:ascii="Times New Roman" w:hAnsi="Times New Roman"/>
                      <w:color w:val="000000"/>
                      <w:kern w:val="2"/>
                      <w:sz w:val="21"/>
                      <w:szCs w:val="24"/>
                    </w:rPr>
                  </w:pPr>
                  <w:r>
                    <w:rPr>
                      <w:rFonts w:ascii="Times New Roman" w:hAnsi="Times New Roman"/>
                      <w:color w:val="000000"/>
                      <w:kern w:val="2"/>
                      <w:sz w:val="21"/>
                      <w:szCs w:val="24"/>
                    </w:rPr>
                    <w:t>≤</w:t>
                  </w:r>
                  <w:r>
                    <w:rPr>
                      <w:rFonts w:ascii="Times New Roman" w:hAnsi="Times New Roman"/>
                      <w:color w:val="000000"/>
                      <w:kern w:val="2"/>
                      <w:sz w:val="21"/>
                      <w:szCs w:val="21"/>
                    </w:rPr>
                    <w:t>6</w:t>
                  </w:r>
                  <w:r>
                    <w:rPr>
                      <w:rFonts w:hint="eastAsia" w:ascii="Times New Roman" w:hAnsi="Times New Roman"/>
                      <w:color w:val="000000"/>
                      <w:kern w:val="2"/>
                      <w:sz w:val="21"/>
                      <w:szCs w:val="21"/>
                    </w:rPr>
                    <w:t>5</w:t>
                  </w:r>
                </w:p>
              </w:tc>
            </w:tr>
          </w:tbl>
          <w:p>
            <w:pPr>
              <w:spacing w:line="360" w:lineRule="auto"/>
              <w:ind w:firstLine="480" w:firstLineChars="200"/>
              <w:rPr>
                <w:rFonts w:ascii="Times New Roman" w:hAnsi="Times New Roman"/>
              </w:rPr>
            </w:pPr>
            <w:r>
              <w:rPr>
                <w:rFonts w:ascii="Times New Roman" w:hAnsi="Times New Roman"/>
              </w:rPr>
              <w:t>项目只在白天生产，夜间不生产。建设单位应经常保养和维护机械设备避免设备在不良状态下运行；以减轻噪声对厂区及厂外周围环境的影响。拟建项目生产过程建设单位应选用高效、低噪型的设备，同时规范员工操作，厂区内合理布局，生产设备加装减震装置，在经过墙壁隔声、距离衰减后，该项目厂界噪声能够达到《工业企业厂界环境噪声排放标准》（GB 12348-2008）3类标准（昼间65dB、夜间55dB）的要求，不会对周围居民和人群正常生活造成干扰，项目噪声对周围企业的影响也是可以接受的。</w:t>
            </w:r>
          </w:p>
          <w:p>
            <w:pPr>
              <w:pStyle w:val="41"/>
              <w:ind w:firstLine="480" w:firstLineChars="200"/>
            </w:pPr>
            <w:r>
              <w:t>四、固体废物影响分析</w:t>
            </w:r>
          </w:p>
          <w:p>
            <w:pPr>
              <w:spacing w:line="360" w:lineRule="auto"/>
              <w:ind w:firstLine="480" w:firstLineChars="200"/>
              <w:rPr>
                <w:rFonts w:ascii="Times New Roman" w:hAnsi="Times New Roman"/>
                <w:szCs w:val="24"/>
              </w:rPr>
            </w:pPr>
            <w:r>
              <w:rPr>
                <w:rFonts w:ascii="Times New Roman" w:hAnsi="Times New Roman"/>
                <w:szCs w:val="24"/>
              </w:rPr>
              <w:t>本项目产生的固体废物主要是生活垃圾、</w:t>
            </w:r>
            <w:r>
              <w:rPr>
                <w:rFonts w:hint="eastAsia" w:ascii="Times New Roman" w:hAnsi="Times New Roman"/>
                <w:szCs w:val="24"/>
              </w:rPr>
              <w:t>下脚料</w:t>
            </w:r>
            <w:r>
              <w:rPr>
                <w:rFonts w:ascii="Times New Roman" w:hAnsi="Times New Roman"/>
                <w:szCs w:val="24"/>
              </w:rPr>
              <w:t>、废活性炭、</w:t>
            </w:r>
            <w:r>
              <w:rPr>
                <w:rFonts w:hint="eastAsia" w:ascii="Times New Roman" w:hAnsi="Times New Roman"/>
                <w:szCs w:val="24"/>
              </w:rPr>
              <w:t>废催化剂、</w:t>
            </w:r>
            <w:r>
              <w:rPr>
                <w:rFonts w:ascii="Times New Roman" w:hAnsi="Times New Roman"/>
                <w:szCs w:val="24"/>
              </w:rPr>
              <w:t>废油墨盒及</w:t>
            </w:r>
            <w:r>
              <w:rPr>
                <w:rFonts w:hint="eastAsia" w:ascii="Times New Roman" w:hAnsi="Times New Roman"/>
                <w:szCs w:val="24"/>
              </w:rPr>
              <w:t>废抹布</w:t>
            </w:r>
            <w:r>
              <w:rPr>
                <w:rFonts w:ascii="Times New Roman" w:hAnsi="Times New Roman"/>
                <w:szCs w:val="24"/>
              </w:rPr>
              <w:t>。</w:t>
            </w:r>
          </w:p>
          <w:p>
            <w:pPr>
              <w:spacing w:line="360" w:lineRule="auto"/>
              <w:ind w:firstLine="480" w:firstLineChars="200"/>
              <w:rPr>
                <w:rFonts w:ascii="Times New Roman" w:hAnsi="Times New Roman"/>
                <w:szCs w:val="24"/>
              </w:rPr>
            </w:pPr>
            <w:r>
              <w:rPr>
                <w:rFonts w:hint="eastAsia" w:ascii="Times New Roman" w:hAnsi="Times New Roman"/>
                <w:szCs w:val="24"/>
              </w:rPr>
              <w:t>（1）生活垃圾</w:t>
            </w:r>
          </w:p>
          <w:p>
            <w:pPr>
              <w:spacing w:line="360" w:lineRule="auto"/>
              <w:ind w:firstLine="480" w:firstLineChars="200"/>
              <w:rPr>
                <w:rFonts w:ascii="Times New Roman" w:hAnsi="Times New Roman"/>
              </w:rPr>
            </w:pPr>
            <w:r>
              <w:rPr>
                <w:rFonts w:ascii="Times New Roman" w:hAnsi="Times New Roman"/>
                <w:szCs w:val="24"/>
              </w:rPr>
              <w:t>生活垃圾产生量按0.5kg/人·d计，</w:t>
            </w:r>
            <w:r>
              <w:rPr>
                <w:rFonts w:hint="eastAsia" w:ascii="Times New Roman" w:hAnsi="Times New Roman"/>
                <w:szCs w:val="24"/>
              </w:rPr>
              <w:t>年工作3</w:t>
            </w:r>
            <w:r>
              <w:rPr>
                <w:rFonts w:ascii="Times New Roman" w:hAnsi="Times New Roman"/>
                <w:szCs w:val="24"/>
              </w:rPr>
              <w:t>00d</w:t>
            </w:r>
            <w:r>
              <w:rPr>
                <w:rFonts w:hint="eastAsia" w:ascii="Times New Roman" w:hAnsi="Times New Roman"/>
                <w:szCs w:val="24"/>
              </w:rPr>
              <w:t>，则生活垃圾年产生量为</w:t>
            </w:r>
            <w:r>
              <w:rPr>
                <w:rFonts w:ascii="Times New Roman" w:hAnsi="Times New Roman"/>
                <w:szCs w:val="24"/>
              </w:rPr>
              <w:t>1.5t/a，由环卫部门清运到垃圾场进行无害化处理</w:t>
            </w:r>
            <w:r>
              <w:rPr>
                <w:rFonts w:hint="eastAsia" w:ascii="Times New Roman" w:hAnsi="Times New Roman"/>
                <w:szCs w:val="24"/>
              </w:rPr>
              <w:t>。</w:t>
            </w:r>
          </w:p>
          <w:p>
            <w:pPr>
              <w:spacing w:line="360" w:lineRule="auto"/>
              <w:ind w:firstLine="480" w:firstLineChars="200"/>
              <w:rPr>
                <w:rFonts w:ascii="Times New Roman" w:hAnsi="Times New Roman"/>
              </w:rPr>
            </w:pPr>
            <w:r>
              <w:rPr>
                <w:rFonts w:hint="eastAsia" w:ascii="Times New Roman" w:hAnsi="Times New Roman"/>
              </w:rPr>
              <w:t>（2）一般固体废物</w:t>
            </w:r>
          </w:p>
          <w:p>
            <w:pPr>
              <w:spacing w:line="360" w:lineRule="auto"/>
              <w:ind w:firstLine="480" w:firstLineChars="200"/>
              <w:jc w:val="left"/>
              <w:rPr>
                <w:rFonts w:ascii="Times New Roman" w:hAnsi="Times New Roman"/>
                <w:szCs w:val="24"/>
              </w:rPr>
            </w:pPr>
            <w:r>
              <w:rPr>
                <w:rFonts w:hint="eastAsia" w:ascii="Times New Roman" w:hAnsi="Times New Roman"/>
              </w:rPr>
              <w:t>切边</w:t>
            </w:r>
            <w:r>
              <w:rPr>
                <w:rFonts w:ascii="Times New Roman" w:hAnsi="Times New Roman"/>
              </w:rPr>
              <w:t>下脚料产生量约0.10t/a，统一收集后运外售回收单位</w:t>
            </w:r>
            <w:r>
              <w:rPr>
                <w:rFonts w:hint="eastAsia" w:ascii="Times New Roman" w:hAnsi="Times New Roman"/>
                <w:szCs w:val="24"/>
              </w:rPr>
              <w:t>。</w:t>
            </w:r>
          </w:p>
          <w:p>
            <w:pPr>
              <w:spacing w:line="360" w:lineRule="auto"/>
              <w:ind w:firstLine="480" w:firstLineChars="200"/>
              <w:jc w:val="left"/>
              <w:rPr>
                <w:rFonts w:ascii="Times New Roman" w:hAnsi="Times New Roman"/>
                <w:szCs w:val="24"/>
              </w:rPr>
            </w:pPr>
            <w:r>
              <w:rPr>
                <w:rFonts w:hint="eastAsia" w:ascii="Times New Roman" w:hAnsi="Times New Roman"/>
                <w:szCs w:val="24"/>
              </w:rPr>
              <w:t>①一般固废的收集和贮存</w:t>
            </w:r>
          </w:p>
          <w:p>
            <w:pPr>
              <w:spacing w:line="360" w:lineRule="auto"/>
              <w:ind w:firstLine="480" w:firstLineChars="200"/>
              <w:rPr>
                <w:rFonts w:ascii="Times New Roman" w:hAnsi="Times New Roman"/>
                <w:szCs w:val="24"/>
              </w:rPr>
            </w:pPr>
            <w:r>
              <w:rPr>
                <w:rFonts w:ascii="Times New Roman" w:hAnsi="Times New Roman"/>
                <w:szCs w:val="24"/>
              </w:rPr>
              <w:t>一般固废的收集、储存、管理严格按照《一般工业固体废弃物贮存、处置场污染控制标准》（GB 18599-2001）及2013年第36号修改单相关规定和要求执行，建立产生、收集、贮存、运输、利用、处置全过程的污染环境防治责任制度，建立管理台账。由专人负责一般固废的收集和管理工作。</w:t>
            </w:r>
          </w:p>
          <w:p>
            <w:pPr>
              <w:spacing w:line="360" w:lineRule="auto"/>
              <w:ind w:firstLine="480" w:firstLineChars="200"/>
              <w:jc w:val="left"/>
              <w:rPr>
                <w:rFonts w:ascii="Times New Roman" w:hAnsi="Times New Roman"/>
                <w:szCs w:val="24"/>
              </w:rPr>
            </w:pPr>
            <w:r>
              <w:rPr>
                <w:rFonts w:ascii="Times New Roman" w:hAnsi="Times New Roman"/>
                <w:szCs w:val="24"/>
              </w:rPr>
              <w:t>一般固废库必须设置识别一般固废的明显标志，金属屑、不合格品、废包装属于一般工业固体废弃物，按照《一般工业固体废物贮存、处置场污染控制标准》（GB18599-2001）要求，一般固废库不需要做防渗层。</w:t>
            </w:r>
            <w:r>
              <w:rPr>
                <w:rFonts w:hint="eastAsia" w:ascii="Times New Roman" w:hAnsi="Times New Roman"/>
                <w:szCs w:val="24"/>
              </w:rPr>
              <w:t>一般固废库位于厂区内，依托现有工程，占地面积约</w:t>
            </w:r>
            <w:r>
              <w:rPr>
                <w:rFonts w:ascii="Times New Roman" w:hAnsi="Times New Roman"/>
                <w:szCs w:val="24"/>
              </w:rPr>
              <w:t>10m</w:t>
            </w:r>
            <w:r>
              <w:rPr>
                <w:rFonts w:ascii="Times New Roman" w:hAnsi="Times New Roman"/>
                <w:szCs w:val="24"/>
                <w:vertAlign w:val="superscript"/>
              </w:rPr>
              <w:t>2</w:t>
            </w:r>
            <w:r>
              <w:rPr>
                <w:rFonts w:ascii="Times New Roman" w:hAnsi="Times New Roman"/>
                <w:szCs w:val="24"/>
              </w:rPr>
              <w:t>，根据项目的一般固废数量、存储周期分析，能够容纳本项目产生的一般固废。一般固废库必须设置识别一般固废的明显标志，地面进行硬化且无裂隙；建立产生、收集、贮存、运输、利用、处置全过程的污染环境防治责任制度，建立管理台账。由专人负责一般固废的收集和管理工作。</w:t>
            </w:r>
          </w:p>
          <w:p>
            <w:pPr>
              <w:spacing w:line="360" w:lineRule="auto"/>
              <w:ind w:firstLine="480" w:firstLineChars="200"/>
              <w:jc w:val="left"/>
              <w:rPr>
                <w:rFonts w:ascii="Times New Roman" w:hAnsi="Times New Roman"/>
                <w:szCs w:val="24"/>
              </w:rPr>
            </w:pPr>
            <w:r>
              <w:rPr>
                <w:rFonts w:hint="eastAsia" w:ascii="Times New Roman" w:hAnsi="Times New Roman"/>
                <w:szCs w:val="24"/>
              </w:rPr>
              <w:t>②一般固废的转移及运输</w:t>
            </w:r>
          </w:p>
          <w:p>
            <w:pPr>
              <w:spacing w:line="360" w:lineRule="auto"/>
              <w:ind w:firstLine="480" w:firstLineChars="200"/>
              <w:jc w:val="left"/>
              <w:rPr>
                <w:rFonts w:ascii="Times New Roman" w:hAnsi="Times New Roman"/>
                <w:szCs w:val="24"/>
              </w:rPr>
            </w:pPr>
            <w:r>
              <w:rPr>
                <w:rFonts w:hint="eastAsia" w:ascii="Times New Roman" w:hAnsi="Times New Roman"/>
                <w:szCs w:val="24"/>
              </w:rPr>
              <w:t>委托他人运输、利用一般工业固废，需对受托方的主体资格和技术能力进行核实，依法签订书面合同，在合同中约定污染防治要求。禁止将一般固废混入生活垃圾。</w:t>
            </w:r>
          </w:p>
          <w:p>
            <w:pPr>
              <w:spacing w:line="360" w:lineRule="auto"/>
              <w:ind w:firstLine="480" w:firstLineChars="200"/>
              <w:jc w:val="left"/>
              <w:rPr>
                <w:rFonts w:ascii="Times New Roman" w:hAnsi="Times New Roman"/>
                <w:szCs w:val="24"/>
              </w:rPr>
            </w:pPr>
            <w:r>
              <w:rPr>
                <w:rFonts w:hint="eastAsia" w:ascii="Times New Roman" w:hAnsi="Times New Roman"/>
                <w:szCs w:val="24"/>
              </w:rPr>
              <w:t>该项目在严格按照一般固废处理的相关规定的前提下，固体废物能够达到零排放，因此对周围环境基本无影响。</w:t>
            </w:r>
          </w:p>
          <w:p>
            <w:pPr>
              <w:spacing w:line="360" w:lineRule="auto"/>
              <w:ind w:firstLine="480" w:firstLineChars="200"/>
              <w:rPr>
                <w:rFonts w:ascii="Times New Roman" w:hAnsi="Times New Roman"/>
                <w:szCs w:val="24"/>
              </w:rPr>
            </w:pPr>
            <w:r>
              <w:rPr>
                <w:rFonts w:hint="eastAsia" w:ascii="Times New Roman" w:hAnsi="Times New Roman"/>
                <w:szCs w:val="24"/>
              </w:rPr>
              <w:t>（3）危险废物</w:t>
            </w:r>
          </w:p>
          <w:p>
            <w:pPr>
              <w:spacing w:line="360" w:lineRule="auto"/>
              <w:ind w:firstLine="480" w:firstLineChars="200"/>
              <w:rPr>
                <w:rFonts w:ascii="Times New Roman" w:hAnsi="Times New Roman"/>
                <w:szCs w:val="24"/>
              </w:rPr>
            </w:pPr>
            <w:r>
              <w:rPr>
                <w:rFonts w:hint="eastAsia" w:ascii="Times New Roman" w:hAnsi="Times New Roman"/>
              </w:rPr>
              <w:t>本项目危险废物主要包括废活性炭、废油墨盒及废抹布、废催化剂。项目废气处理</w:t>
            </w:r>
            <w:r>
              <w:rPr>
                <w:rFonts w:ascii="Times New Roman" w:hAnsi="Times New Roman"/>
              </w:rPr>
              <w:t>设备内单次填充活性炭0.5t，设备运行5000 h后需对</w:t>
            </w:r>
            <w:r>
              <w:rPr>
                <w:rFonts w:hint="eastAsia" w:ascii="Times New Roman" w:hAnsi="Times New Roman"/>
              </w:rPr>
              <w:t>活性炭</w:t>
            </w:r>
            <w:r>
              <w:rPr>
                <w:rFonts w:ascii="Times New Roman" w:hAnsi="Times New Roman"/>
              </w:rPr>
              <w:t>进行更换，项目运行时间约为1800h/a，约可使用三年，废活性炭产生量约为0.5t/3a</w:t>
            </w:r>
            <w:r>
              <w:rPr>
                <w:rFonts w:hint="eastAsia" w:ascii="Times New Roman" w:hAnsi="Times New Roman"/>
              </w:rPr>
              <w:t>；项目</w:t>
            </w:r>
            <w:r>
              <w:rPr>
                <w:rFonts w:hint="eastAsia" w:ascii="Times New Roman" w:hAnsi="Times New Roman"/>
                <w:szCs w:val="24"/>
              </w:rPr>
              <w:t>废油墨盒等</w:t>
            </w:r>
            <w:r>
              <w:rPr>
                <w:rFonts w:ascii="Times New Roman" w:hAnsi="Times New Roman"/>
                <w:szCs w:val="24"/>
              </w:rPr>
              <w:t>产生量0.15t/a，废活性炭</w:t>
            </w:r>
            <w:r>
              <w:rPr>
                <w:rFonts w:hint="eastAsia" w:ascii="Times New Roman" w:hAnsi="Times New Roman"/>
                <w:szCs w:val="24"/>
              </w:rPr>
              <w:t>、废油墨盒</w:t>
            </w:r>
            <w:r>
              <w:rPr>
                <w:rFonts w:ascii="Times New Roman" w:hAnsi="Times New Roman"/>
                <w:szCs w:val="24"/>
              </w:rPr>
              <w:t>属于HW49，其他废物，危废代码为“900-041-49”，</w:t>
            </w:r>
            <w:r>
              <w:rPr>
                <w:rFonts w:ascii="Times New Roman" w:hAnsi="Times New Roman"/>
                <w:kern w:val="0"/>
                <w:sz w:val="21"/>
                <w:szCs w:val="21"/>
              </w:rPr>
              <w:t>“</w:t>
            </w:r>
            <w:r>
              <w:rPr>
                <w:rFonts w:ascii="Times New Roman" w:hAnsi="Times New Roman"/>
                <w:szCs w:val="24"/>
              </w:rPr>
              <w:t>含有或沾染毒性、感染性危险废物的废弃包装物、容器、过滤吸附介质”</w:t>
            </w:r>
            <w:r>
              <w:rPr>
                <w:rFonts w:hint="eastAsia" w:ascii="Times New Roman" w:hAnsi="Times New Roman"/>
                <w:szCs w:val="24"/>
              </w:rPr>
              <w:t>；</w:t>
            </w:r>
            <w:r>
              <w:rPr>
                <w:kern w:val="0"/>
              </w:rPr>
              <w:t>项目在</w:t>
            </w:r>
            <w:r>
              <w:rPr>
                <w:rFonts w:hint="eastAsia"/>
                <w:kern w:val="0"/>
              </w:rPr>
              <w:t>印版擦拭</w:t>
            </w:r>
            <w:r>
              <w:rPr>
                <w:kern w:val="0"/>
              </w:rPr>
              <w:t>过程会产生</w:t>
            </w:r>
            <w:r>
              <w:rPr>
                <w:rFonts w:hint="eastAsia"/>
                <w:kern w:val="0"/>
              </w:rPr>
              <w:t>废抹布</w:t>
            </w:r>
            <w:r>
              <w:rPr>
                <w:kern w:val="0"/>
              </w:rPr>
              <w:t>，</w:t>
            </w:r>
            <w:r>
              <w:rPr>
                <w:rFonts w:hint="eastAsia"/>
                <w:kern w:val="0"/>
              </w:rPr>
              <w:t>根据建设单位提供的资料，</w:t>
            </w:r>
            <w:r>
              <w:rPr>
                <w:kern w:val="0"/>
              </w:rPr>
              <w:t>该部分废物产生量约为</w:t>
            </w:r>
            <w:r>
              <w:rPr>
                <w:rFonts w:hint="eastAsia"/>
                <w:kern w:val="0"/>
              </w:rPr>
              <w:t>0.05t/a</w:t>
            </w:r>
            <w:r>
              <w:rPr>
                <w:kern w:val="0"/>
              </w:rPr>
              <w:t>，属于HW49类（危废代码</w:t>
            </w:r>
            <w:r>
              <w:rPr>
                <w:rFonts w:hint="eastAsia"/>
                <w:kern w:val="0"/>
              </w:rPr>
              <w:t>9</w:t>
            </w:r>
            <w:r>
              <w:rPr>
                <w:kern w:val="0"/>
              </w:rPr>
              <w:t>00-041-49）危险废物，根据危险废物豁免管理清单，</w:t>
            </w:r>
            <w:r>
              <w:rPr>
                <w:rFonts w:hint="eastAsia"/>
                <w:kern w:val="0"/>
              </w:rPr>
              <w:t>废抹布</w:t>
            </w:r>
            <w:r>
              <w:rPr>
                <w:kern w:val="0"/>
              </w:rPr>
              <w:t>不按照危废管理，因其产生量较少，环评认为其可以随生活垃圾一同收集，由环卫部门清运处理</w:t>
            </w:r>
            <w:r>
              <w:t>。</w:t>
            </w:r>
            <w:r>
              <w:rPr>
                <w:rFonts w:ascii="Times New Roman" w:hAnsi="Times New Roman"/>
                <w:kern w:val="0"/>
              </w:rPr>
              <w:t>项目催化燃烧装置用催化剂采用蜂窝陶瓷体作为第一载体，γ-Al</w:t>
            </w:r>
            <w:r>
              <w:rPr>
                <w:rFonts w:ascii="Times New Roman" w:hAnsi="Times New Roman"/>
                <w:kern w:val="0"/>
                <w:vertAlign w:val="subscript"/>
              </w:rPr>
              <w:t>2</w:t>
            </w:r>
            <w:r>
              <w:rPr>
                <w:rFonts w:ascii="Times New Roman" w:hAnsi="Times New Roman"/>
                <w:kern w:val="0"/>
              </w:rPr>
              <w:t>O</w:t>
            </w:r>
            <w:r>
              <w:rPr>
                <w:rFonts w:ascii="Times New Roman" w:hAnsi="Times New Roman"/>
                <w:kern w:val="0"/>
                <w:vertAlign w:val="subscript"/>
              </w:rPr>
              <w:t>3</w:t>
            </w:r>
            <w:r>
              <w:rPr>
                <w:rFonts w:ascii="Times New Roman" w:hAnsi="Times New Roman"/>
                <w:kern w:val="0"/>
              </w:rPr>
              <w:t>为第二载体，以贵金属 Pd、Pt 等为主要活性组分，是一种新型高效的有机废气净化催化剂。当催化剂使用时间超过8000h，可将上下层催化剂对换并适当提高催化室起燃温度。本项目催化燃烧装置中装填催化剂的量为1.0t，为保证催化剂活性，约3年更换一次，则废催化剂产生量约1.0t/次。即约1t/3a，危废编号为HW50-772-007-50，交由危废资质单位处理</w:t>
            </w:r>
            <w:r>
              <w:rPr>
                <w:rFonts w:ascii="Times New Roman" w:hAnsi="Times New Roman"/>
              </w:rPr>
              <w:t>。</w:t>
            </w:r>
          </w:p>
          <w:p>
            <w:pPr>
              <w:spacing w:line="360" w:lineRule="auto"/>
              <w:ind w:firstLine="480" w:firstLineChars="200"/>
              <w:rPr>
                <w:rFonts w:ascii="Times New Roman" w:hAnsi="Times New Roman"/>
                <w:kern w:val="2"/>
                <w:szCs w:val="24"/>
              </w:rPr>
            </w:pPr>
            <w:r>
              <w:rPr>
                <w:rFonts w:hint="eastAsia"/>
              </w:rPr>
              <w:t>项目产生的</w:t>
            </w:r>
            <w:r>
              <w:rPr>
                <w:rFonts w:hint="eastAsia" w:ascii="Times New Roman" w:hAnsi="Times New Roman"/>
                <w:szCs w:val="24"/>
              </w:rPr>
              <w:t>废活性炭、废油墨盒、废催化剂</w:t>
            </w:r>
            <w:r>
              <w:rPr>
                <w:rFonts w:hint="eastAsia"/>
              </w:rPr>
              <w:t>属于危险废物，</w:t>
            </w:r>
            <w:r>
              <w:rPr>
                <w:rFonts w:ascii="Times New Roman" w:hAnsi="Times New Roman"/>
                <w:kern w:val="2"/>
                <w:szCs w:val="24"/>
              </w:rPr>
              <w:t>其储存运输应按《危险废物贮存污染控制标准》（GB18597</w:t>
            </w:r>
            <w:r>
              <w:rPr>
                <w:rFonts w:hint="eastAsia" w:ascii="Times New Roman" w:hAnsi="Times New Roman"/>
                <w:kern w:val="2"/>
                <w:szCs w:val="24"/>
              </w:rPr>
              <w:t>-</w:t>
            </w:r>
            <w:r>
              <w:rPr>
                <w:rFonts w:ascii="Times New Roman" w:hAnsi="Times New Roman"/>
                <w:kern w:val="2"/>
                <w:szCs w:val="24"/>
              </w:rPr>
              <w:t>2001）及其修改单、《危险废物污染防治技术政策》和《建设项目危险废物环境影响评价指南》的要求进行。</w:t>
            </w:r>
          </w:p>
          <w:p>
            <w:pPr>
              <w:spacing w:line="360" w:lineRule="auto"/>
              <w:ind w:firstLine="480" w:firstLineChars="200"/>
              <w:rPr>
                <w:rFonts w:ascii="Times New Roman" w:hAnsi="Times New Roman"/>
                <w:kern w:val="2"/>
                <w:szCs w:val="24"/>
              </w:rPr>
            </w:pPr>
            <w:r>
              <w:rPr>
                <w:rFonts w:hint="eastAsia" w:ascii="Times New Roman" w:hAnsi="Times New Roman"/>
                <w:kern w:val="2"/>
                <w:szCs w:val="24"/>
              </w:rPr>
              <w:t>（1）</w:t>
            </w:r>
            <w:r>
              <w:rPr>
                <w:rFonts w:ascii="Times New Roman" w:hAnsi="Times New Roman"/>
                <w:kern w:val="2"/>
                <w:szCs w:val="24"/>
              </w:rPr>
              <w:t>危险废物的收集和贮存</w:t>
            </w:r>
          </w:p>
          <w:p>
            <w:pPr>
              <w:spacing w:line="360" w:lineRule="auto"/>
              <w:ind w:firstLine="480"/>
              <w:rPr>
                <w:rFonts w:ascii="Times New Roman" w:hAnsi="Times New Roman"/>
                <w:kern w:val="2"/>
                <w:szCs w:val="24"/>
              </w:rPr>
            </w:pPr>
            <w:r>
              <w:rPr>
                <w:rFonts w:hint="eastAsia" w:ascii="Times New Roman" w:hAnsi="Times New Roman"/>
                <w:kern w:val="2"/>
                <w:szCs w:val="24"/>
              </w:rPr>
              <w:t>危险废物的收集、储存、管理严格按照《危险废物贮存污染控制标准》</w:t>
            </w:r>
            <w:r>
              <w:rPr>
                <w:rFonts w:ascii="Times New Roman" w:hAnsi="Times New Roman"/>
                <w:kern w:val="2"/>
                <w:szCs w:val="24"/>
              </w:rPr>
              <w:t>(GB18597-2001)及2013年修改单要求执行，建立岗位责任制和危险废物管理档案，由专人负责危险废物收集和管理工作；由于《危险废物贮存污染控制标准》(GB18597-2001)及2013年修改单标准中除对医疗废物贮存周期提出了要求外，未对其他危险废物贮存周期提出具体的要求，根据项目的危险废物数量分析，项目能够保证危险废物的及时运输。</w:t>
            </w:r>
          </w:p>
          <w:p>
            <w:pPr>
              <w:spacing w:line="360" w:lineRule="auto"/>
              <w:ind w:firstLine="480"/>
              <w:rPr>
                <w:rFonts w:ascii="Times New Roman" w:hAnsi="Times New Roman"/>
                <w:kern w:val="2"/>
                <w:szCs w:val="24"/>
              </w:rPr>
            </w:pPr>
            <w:r>
              <w:rPr>
                <w:rFonts w:hint="eastAsia" w:ascii="Times New Roman" w:hAnsi="Times New Roman"/>
                <w:kern w:val="2"/>
                <w:szCs w:val="24"/>
              </w:rPr>
              <w:t>危废库必须设置识别危险废物的明显标志，并严格采取“四防”措施：</w:t>
            </w:r>
          </w:p>
          <w:p>
            <w:pPr>
              <w:spacing w:line="360" w:lineRule="auto"/>
              <w:ind w:firstLine="480"/>
              <w:rPr>
                <w:rFonts w:ascii="Times New Roman" w:hAnsi="Times New Roman"/>
                <w:kern w:val="2"/>
                <w:szCs w:val="24"/>
              </w:rPr>
            </w:pPr>
            <w:r>
              <w:rPr>
                <w:rFonts w:hint="eastAsia" w:ascii="Times New Roman" w:hAnsi="Times New Roman"/>
                <w:b/>
                <w:bCs/>
                <w:kern w:val="2"/>
                <w:szCs w:val="24"/>
              </w:rPr>
              <w:t>防风、防雨、防晒</w:t>
            </w:r>
            <w:r>
              <w:rPr>
                <w:rFonts w:hint="eastAsia" w:ascii="Times New Roman" w:hAnsi="Times New Roman"/>
                <w:kern w:val="2"/>
                <w:szCs w:val="24"/>
              </w:rPr>
              <w:t>：项目危废库依托现有工程，位于厂区西侧，面积约</w:t>
            </w:r>
            <w:r>
              <w:rPr>
                <w:rFonts w:ascii="Times New Roman" w:hAnsi="Times New Roman"/>
                <w:kern w:val="2"/>
                <w:szCs w:val="24"/>
              </w:rPr>
              <w:t>10</w:t>
            </w:r>
            <w:r>
              <w:rPr>
                <w:rFonts w:hint="eastAsia" w:ascii="Times New Roman" w:hAnsi="Times New Roman"/>
                <w:kern w:val="2"/>
                <w:szCs w:val="24"/>
              </w:rPr>
              <w:t>m</w:t>
            </w:r>
            <w:r>
              <w:rPr>
                <w:rFonts w:ascii="Times New Roman" w:hAnsi="Times New Roman"/>
                <w:kern w:val="2"/>
                <w:szCs w:val="24"/>
                <w:vertAlign w:val="superscript"/>
              </w:rPr>
              <w:t>2</w:t>
            </w:r>
            <w:r>
              <w:rPr>
                <w:rFonts w:hint="eastAsia" w:ascii="Times New Roman" w:hAnsi="Times New Roman"/>
                <w:kern w:val="2"/>
                <w:szCs w:val="24"/>
              </w:rPr>
              <w:t>，危废库设置为密闭间，能起到很好的防风、防雨、防晒效果。</w:t>
            </w:r>
          </w:p>
          <w:p>
            <w:pPr>
              <w:topLinePunct/>
              <w:adjustRightInd w:val="0"/>
              <w:snapToGrid w:val="0"/>
              <w:ind w:firstLine="480" w:firstLineChars="200"/>
              <w:jc w:val="center"/>
              <w:rPr>
                <w:rFonts w:ascii="黑体" w:hAnsi="黑体" w:eastAsia="黑体"/>
                <w:sz w:val="22"/>
                <w:szCs w:val="24"/>
              </w:rPr>
            </w:pPr>
            <w:r>
              <w:rPr>
                <w:rFonts w:hint="eastAsia" w:ascii="黑体" w:hAnsi="黑体" w:eastAsia="黑体"/>
                <w:szCs w:val="24"/>
              </w:rPr>
              <w:t>表37 建设项目危险废物贮存场所（设施）基本情况样</w:t>
            </w:r>
            <w:r>
              <w:rPr>
                <w:rFonts w:hint="eastAsia" w:ascii="黑体" w:hAnsi="黑体" w:eastAsia="黑体"/>
                <w:sz w:val="22"/>
                <w:szCs w:val="24"/>
              </w:rPr>
              <w:t>表</w:t>
            </w:r>
          </w:p>
          <w:tbl>
            <w:tblPr>
              <w:tblStyle w:val="30"/>
              <w:tblW w:w="9532"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85"/>
              <w:gridCol w:w="1119"/>
              <w:gridCol w:w="1166"/>
              <w:gridCol w:w="1984"/>
              <w:gridCol w:w="1276"/>
              <w:gridCol w:w="992"/>
              <w:gridCol w:w="709"/>
              <w:gridCol w:w="709"/>
              <w:gridCol w:w="99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652" w:hRule="atLeast"/>
              </w:trPr>
              <w:tc>
                <w:tcPr>
                  <w:tcW w:w="585" w:type="dxa"/>
                  <w:tcBorders>
                    <w:tl2br w:val="nil"/>
                    <w:tr2bl w:val="nil"/>
                  </w:tcBorders>
                  <w:vAlign w:val="center"/>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序号</w:t>
                  </w:r>
                </w:p>
              </w:tc>
              <w:tc>
                <w:tcPr>
                  <w:tcW w:w="1119" w:type="dxa"/>
                  <w:tcBorders>
                    <w:tl2br w:val="nil"/>
                    <w:tr2bl w:val="nil"/>
                  </w:tcBorders>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贮存场所</w:t>
                  </w:r>
                </w:p>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名称</w:t>
                  </w:r>
                </w:p>
              </w:tc>
              <w:tc>
                <w:tcPr>
                  <w:tcW w:w="1166" w:type="dxa"/>
                  <w:tcBorders>
                    <w:tl2br w:val="nil"/>
                    <w:tr2bl w:val="nil"/>
                  </w:tcBorders>
                  <w:vAlign w:val="center"/>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危险废物名称</w:t>
                  </w:r>
                </w:p>
              </w:tc>
              <w:tc>
                <w:tcPr>
                  <w:tcW w:w="1984" w:type="dxa"/>
                  <w:tcBorders>
                    <w:tl2br w:val="nil"/>
                    <w:tr2bl w:val="nil"/>
                  </w:tcBorders>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危险废</w:t>
                  </w:r>
                </w:p>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物类别</w:t>
                  </w:r>
                </w:p>
              </w:tc>
              <w:tc>
                <w:tcPr>
                  <w:tcW w:w="1276" w:type="dxa"/>
                  <w:tcBorders>
                    <w:tl2br w:val="nil"/>
                    <w:tr2bl w:val="nil"/>
                  </w:tcBorders>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危险废物代码</w:t>
                  </w:r>
                </w:p>
              </w:tc>
              <w:tc>
                <w:tcPr>
                  <w:tcW w:w="992" w:type="dxa"/>
                  <w:tcBorders>
                    <w:tl2br w:val="nil"/>
                    <w:tr2bl w:val="nil"/>
                  </w:tcBorders>
                  <w:vAlign w:val="center"/>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位置</w:t>
                  </w:r>
                </w:p>
              </w:tc>
              <w:tc>
                <w:tcPr>
                  <w:tcW w:w="709" w:type="dxa"/>
                  <w:tcBorders>
                    <w:tl2br w:val="nil"/>
                    <w:tr2bl w:val="nil"/>
                  </w:tcBorders>
                  <w:vAlign w:val="center"/>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占地面积</w:t>
                  </w:r>
                </w:p>
              </w:tc>
              <w:tc>
                <w:tcPr>
                  <w:tcW w:w="709" w:type="dxa"/>
                  <w:tcBorders>
                    <w:tl2br w:val="nil"/>
                    <w:tr2bl w:val="nil"/>
                  </w:tcBorders>
                  <w:vAlign w:val="center"/>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贮存方式</w:t>
                  </w:r>
                </w:p>
              </w:tc>
              <w:tc>
                <w:tcPr>
                  <w:tcW w:w="992" w:type="dxa"/>
                  <w:tcBorders>
                    <w:tl2br w:val="nil"/>
                    <w:tr2bl w:val="nil"/>
                  </w:tcBorders>
                  <w:vAlign w:val="center"/>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贮存</w:t>
                  </w:r>
                </w:p>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周期</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544" w:hRule="atLeast"/>
              </w:trPr>
              <w:tc>
                <w:tcPr>
                  <w:tcW w:w="585" w:type="dxa"/>
                  <w:tcBorders>
                    <w:tl2br w:val="nil"/>
                    <w:tr2bl w:val="nil"/>
                  </w:tcBorders>
                  <w:vAlign w:val="center"/>
                </w:tcPr>
                <w:p>
                  <w:pPr>
                    <w:topLinePunct/>
                    <w:adjustRightInd w:val="0"/>
                    <w:snapToGrid w:val="0"/>
                    <w:jc w:val="center"/>
                    <w:rPr>
                      <w:rFonts w:ascii="Times New Roman" w:hAnsi="Times New Roman"/>
                      <w:kern w:val="0"/>
                      <w:sz w:val="21"/>
                      <w:szCs w:val="21"/>
                    </w:rPr>
                  </w:pPr>
                  <w:r>
                    <w:rPr>
                      <w:rFonts w:ascii="Times New Roman" w:hAnsi="Times New Roman"/>
                      <w:kern w:val="0"/>
                      <w:sz w:val="21"/>
                      <w:szCs w:val="21"/>
                    </w:rPr>
                    <w:t>1</w:t>
                  </w:r>
                </w:p>
              </w:tc>
              <w:tc>
                <w:tcPr>
                  <w:tcW w:w="1119" w:type="dxa"/>
                  <w:vMerge w:val="restart"/>
                  <w:tcBorders>
                    <w:tl2br w:val="nil"/>
                    <w:tr2bl w:val="nil"/>
                  </w:tcBorders>
                </w:tcPr>
                <w:p>
                  <w:pPr>
                    <w:topLinePunct/>
                    <w:adjustRightInd w:val="0"/>
                    <w:snapToGrid w:val="0"/>
                    <w:jc w:val="center"/>
                    <w:rPr>
                      <w:rFonts w:ascii="Times New Roman" w:hAnsi="Times New Roman"/>
                      <w:kern w:val="0"/>
                      <w:sz w:val="21"/>
                      <w:szCs w:val="21"/>
                    </w:rPr>
                  </w:pPr>
                </w:p>
                <w:p>
                  <w:pPr>
                    <w:topLinePunct/>
                    <w:adjustRightInd w:val="0"/>
                    <w:snapToGrid w:val="0"/>
                    <w:jc w:val="center"/>
                    <w:rPr>
                      <w:rFonts w:ascii="Times New Roman" w:hAnsi="Times New Roman"/>
                      <w:kern w:val="0"/>
                      <w:sz w:val="21"/>
                      <w:szCs w:val="21"/>
                    </w:rPr>
                  </w:pPr>
                </w:p>
                <w:p>
                  <w:pPr>
                    <w:topLinePunct/>
                    <w:adjustRightInd w:val="0"/>
                    <w:snapToGrid w:val="0"/>
                    <w:jc w:val="center"/>
                    <w:rPr>
                      <w:rFonts w:ascii="Times New Roman" w:hAnsi="Times New Roman"/>
                      <w:kern w:val="0"/>
                      <w:sz w:val="21"/>
                      <w:szCs w:val="21"/>
                    </w:rPr>
                  </w:pPr>
                </w:p>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危废库</w:t>
                  </w:r>
                </w:p>
              </w:tc>
              <w:tc>
                <w:tcPr>
                  <w:tcW w:w="1166" w:type="dxa"/>
                  <w:tcBorders>
                    <w:tl2br w:val="nil"/>
                    <w:tr2bl w:val="nil"/>
                  </w:tcBorders>
                </w:tcPr>
                <w:p>
                  <w:pPr>
                    <w:topLinePunct/>
                    <w:adjustRightInd w:val="0"/>
                    <w:snapToGrid w:val="0"/>
                    <w:jc w:val="center"/>
                    <w:rPr>
                      <w:rFonts w:ascii="Times New Roman" w:hAnsi="Times New Roman"/>
                      <w:kern w:val="0"/>
                      <w:sz w:val="21"/>
                      <w:szCs w:val="21"/>
                    </w:rPr>
                  </w:pPr>
                  <w:r>
                    <w:rPr>
                      <w:sz w:val="21"/>
                      <w:szCs w:val="21"/>
                    </w:rPr>
                    <w:t>废活性炭</w:t>
                  </w:r>
                </w:p>
              </w:tc>
              <w:tc>
                <w:tcPr>
                  <w:tcW w:w="1984" w:type="dxa"/>
                  <w:tcBorders>
                    <w:tl2br w:val="nil"/>
                    <w:tr2bl w:val="nil"/>
                  </w:tcBorders>
                  <w:vAlign w:val="center"/>
                </w:tcPr>
                <w:p>
                  <w:pPr>
                    <w:topLinePunct/>
                    <w:adjustRightInd w:val="0"/>
                    <w:snapToGrid w:val="0"/>
                    <w:jc w:val="center"/>
                    <w:rPr>
                      <w:rFonts w:ascii="Times New Roman" w:hAnsi="Times New Roman"/>
                      <w:kern w:val="0"/>
                      <w:sz w:val="21"/>
                      <w:szCs w:val="21"/>
                    </w:rPr>
                  </w:pPr>
                  <w:r>
                    <w:rPr>
                      <w:rFonts w:ascii="Times New Roman" w:hAnsi="Times New Roman"/>
                      <w:sz w:val="21"/>
                      <w:szCs w:val="21"/>
                    </w:rPr>
                    <w:t>HW49</w:t>
                  </w:r>
                  <w:r>
                    <w:rPr>
                      <w:rFonts w:hint="eastAsia" w:ascii="Times New Roman" w:hAnsi="Times New Roman"/>
                      <w:sz w:val="21"/>
                      <w:szCs w:val="21"/>
                    </w:rPr>
                    <w:t>其他废物</w:t>
                  </w:r>
                </w:p>
              </w:tc>
              <w:tc>
                <w:tcPr>
                  <w:tcW w:w="1276" w:type="dxa"/>
                  <w:tcBorders>
                    <w:tl2br w:val="nil"/>
                    <w:tr2bl w:val="nil"/>
                  </w:tcBorders>
                  <w:vAlign w:val="center"/>
                </w:tcPr>
                <w:p>
                  <w:pPr>
                    <w:topLinePunct/>
                    <w:adjustRightInd w:val="0"/>
                    <w:snapToGrid w:val="0"/>
                    <w:jc w:val="center"/>
                    <w:rPr>
                      <w:rFonts w:ascii="Times New Roman" w:hAnsi="Times New Roman"/>
                      <w:kern w:val="0"/>
                      <w:sz w:val="21"/>
                      <w:szCs w:val="21"/>
                    </w:rPr>
                  </w:pPr>
                  <w:r>
                    <w:rPr>
                      <w:rFonts w:ascii="Times New Roman" w:hAnsi="Times New Roman"/>
                      <w:sz w:val="21"/>
                      <w:szCs w:val="21"/>
                    </w:rPr>
                    <w:t>900-041-49</w:t>
                  </w:r>
                </w:p>
              </w:tc>
              <w:tc>
                <w:tcPr>
                  <w:tcW w:w="992" w:type="dxa"/>
                  <w:vMerge w:val="restart"/>
                  <w:tcBorders>
                    <w:tl2br w:val="nil"/>
                    <w:tr2bl w:val="nil"/>
                  </w:tcBorders>
                  <w:vAlign w:val="center"/>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厂区西侧</w:t>
                  </w:r>
                </w:p>
              </w:tc>
              <w:tc>
                <w:tcPr>
                  <w:tcW w:w="709" w:type="dxa"/>
                  <w:vMerge w:val="restart"/>
                  <w:tcBorders>
                    <w:tl2br w:val="nil"/>
                    <w:tr2bl w:val="nil"/>
                  </w:tcBorders>
                  <w:vAlign w:val="center"/>
                </w:tcPr>
                <w:p>
                  <w:pPr>
                    <w:topLinePunct/>
                    <w:adjustRightInd w:val="0"/>
                    <w:snapToGrid w:val="0"/>
                    <w:jc w:val="center"/>
                    <w:rPr>
                      <w:rFonts w:ascii="Times New Roman" w:hAnsi="Times New Roman"/>
                      <w:kern w:val="0"/>
                      <w:sz w:val="21"/>
                      <w:szCs w:val="21"/>
                    </w:rPr>
                  </w:pPr>
                  <w:r>
                    <w:rPr>
                      <w:rFonts w:ascii="Times New Roman" w:hAnsi="Times New Roman"/>
                      <w:kern w:val="0"/>
                      <w:sz w:val="21"/>
                      <w:szCs w:val="21"/>
                    </w:rPr>
                    <w:t>10m</w:t>
                  </w:r>
                  <w:r>
                    <w:rPr>
                      <w:rFonts w:ascii="Times New Roman" w:hAnsi="Times New Roman"/>
                      <w:kern w:val="0"/>
                      <w:sz w:val="21"/>
                      <w:szCs w:val="21"/>
                      <w:vertAlign w:val="superscript"/>
                    </w:rPr>
                    <w:t>2</w:t>
                  </w:r>
                </w:p>
              </w:tc>
              <w:tc>
                <w:tcPr>
                  <w:tcW w:w="709" w:type="dxa"/>
                  <w:vMerge w:val="restart"/>
                  <w:tcBorders>
                    <w:tl2br w:val="nil"/>
                    <w:tr2bl w:val="nil"/>
                  </w:tcBorders>
                  <w:vAlign w:val="center"/>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桶装</w:t>
                  </w:r>
                </w:p>
              </w:tc>
              <w:tc>
                <w:tcPr>
                  <w:tcW w:w="992" w:type="dxa"/>
                  <w:tcBorders>
                    <w:tl2br w:val="nil"/>
                    <w:tr2bl w:val="nil"/>
                  </w:tcBorders>
                  <w:vAlign w:val="center"/>
                </w:tcPr>
                <w:p>
                  <w:pPr>
                    <w:topLinePunct/>
                    <w:adjustRightInd w:val="0"/>
                    <w:snapToGrid w:val="0"/>
                    <w:jc w:val="center"/>
                    <w:rPr>
                      <w:rFonts w:ascii="Times New Roman" w:hAnsi="Times New Roman"/>
                      <w:kern w:val="0"/>
                      <w:sz w:val="21"/>
                      <w:szCs w:val="21"/>
                    </w:rPr>
                  </w:pPr>
                  <w:r>
                    <w:rPr>
                      <w:rFonts w:ascii="Times New Roman" w:hAnsi="Times New Roman"/>
                      <w:kern w:val="0"/>
                      <w:sz w:val="21"/>
                      <w:szCs w:val="21"/>
                    </w:rPr>
                    <w:t>1</w:t>
                  </w:r>
                  <w:r>
                    <w:rPr>
                      <w:rFonts w:hint="eastAsia" w:ascii="Times New Roman" w:hAnsi="Times New Roman"/>
                      <w:kern w:val="0"/>
                      <w:sz w:val="21"/>
                      <w:szCs w:val="21"/>
                    </w:rPr>
                    <w:t>年</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544" w:hRule="atLeast"/>
              </w:trPr>
              <w:tc>
                <w:tcPr>
                  <w:tcW w:w="585" w:type="dxa"/>
                  <w:tcBorders>
                    <w:tl2br w:val="nil"/>
                    <w:tr2bl w:val="nil"/>
                  </w:tcBorders>
                  <w:vAlign w:val="center"/>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2</w:t>
                  </w:r>
                </w:p>
              </w:tc>
              <w:tc>
                <w:tcPr>
                  <w:tcW w:w="1119" w:type="dxa"/>
                  <w:vMerge w:val="continue"/>
                  <w:tcBorders>
                    <w:tl2br w:val="nil"/>
                    <w:tr2bl w:val="nil"/>
                  </w:tcBorders>
                </w:tcPr>
                <w:p>
                  <w:pPr>
                    <w:topLinePunct/>
                    <w:adjustRightInd w:val="0"/>
                    <w:snapToGrid w:val="0"/>
                    <w:jc w:val="center"/>
                    <w:rPr>
                      <w:rFonts w:ascii="Times New Roman" w:hAnsi="Times New Roman"/>
                      <w:kern w:val="0"/>
                      <w:sz w:val="21"/>
                      <w:szCs w:val="21"/>
                    </w:rPr>
                  </w:pPr>
                </w:p>
              </w:tc>
              <w:tc>
                <w:tcPr>
                  <w:tcW w:w="1166" w:type="dxa"/>
                  <w:tcBorders>
                    <w:tl2br w:val="nil"/>
                    <w:tr2bl w:val="nil"/>
                  </w:tcBorders>
                </w:tcPr>
                <w:p>
                  <w:pPr>
                    <w:topLinePunct/>
                    <w:adjustRightInd w:val="0"/>
                    <w:snapToGrid w:val="0"/>
                    <w:jc w:val="center"/>
                    <w:rPr>
                      <w:rFonts w:ascii="Times New Roman" w:hAnsi="Times New Roman"/>
                      <w:kern w:val="0"/>
                      <w:sz w:val="21"/>
                      <w:szCs w:val="21"/>
                    </w:rPr>
                  </w:pPr>
                  <w:r>
                    <w:rPr>
                      <w:sz w:val="21"/>
                      <w:szCs w:val="21"/>
                    </w:rPr>
                    <w:t>废</w:t>
                  </w:r>
                  <w:r>
                    <w:rPr>
                      <w:rFonts w:hint="eastAsia"/>
                      <w:sz w:val="21"/>
                      <w:szCs w:val="21"/>
                    </w:rPr>
                    <w:t>油墨盒</w:t>
                  </w:r>
                </w:p>
              </w:tc>
              <w:tc>
                <w:tcPr>
                  <w:tcW w:w="1984" w:type="dxa"/>
                  <w:tcBorders>
                    <w:tl2br w:val="nil"/>
                    <w:tr2bl w:val="nil"/>
                  </w:tcBorders>
                  <w:vAlign w:val="center"/>
                </w:tcPr>
                <w:p>
                  <w:pPr>
                    <w:topLinePunct/>
                    <w:adjustRightInd w:val="0"/>
                    <w:snapToGrid w:val="0"/>
                    <w:jc w:val="center"/>
                    <w:rPr>
                      <w:rFonts w:ascii="Times New Roman" w:hAnsi="Times New Roman"/>
                      <w:kern w:val="0"/>
                      <w:sz w:val="21"/>
                      <w:szCs w:val="21"/>
                    </w:rPr>
                  </w:pPr>
                  <w:r>
                    <w:rPr>
                      <w:rFonts w:ascii="Times New Roman" w:hAnsi="Times New Roman"/>
                      <w:sz w:val="21"/>
                      <w:szCs w:val="21"/>
                    </w:rPr>
                    <w:t>HW49</w:t>
                  </w:r>
                  <w:r>
                    <w:rPr>
                      <w:rFonts w:hint="eastAsia" w:ascii="Times New Roman" w:hAnsi="Times New Roman"/>
                      <w:sz w:val="21"/>
                      <w:szCs w:val="21"/>
                    </w:rPr>
                    <w:t>其他废物</w:t>
                  </w:r>
                </w:p>
              </w:tc>
              <w:tc>
                <w:tcPr>
                  <w:tcW w:w="1276" w:type="dxa"/>
                  <w:tcBorders>
                    <w:tl2br w:val="nil"/>
                    <w:tr2bl w:val="nil"/>
                  </w:tcBorders>
                  <w:vAlign w:val="center"/>
                </w:tcPr>
                <w:p>
                  <w:pPr>
                    <w:topLinePunct/>
                    <w:adjustRightInd w:val="0"/>
                    <w:snapToGrid w:val="0"/>
                    <w:jc w:val="center"/>
                    <w:rPr>
                      <w:rFonts w:ascii="Times New Roman" w:hAnsi="Times New Roman"/>
                      <w:kern w:val="0"/>
                      <w:sz w:val="21"/>
                      <w:szCs w:val="21"/>
                    </w:rPr>
                  </w:pPr>
                  <w:r>
                    <w:rPr>
                      <w:rFonts w:ascii="Times New Roman" w:hAnsi="Times New Roman"/>
                      <w:sz w:val="21"/>
                      <w:szCs w:val="21"/>
                    </w:rPr>
                    <w:t>900-041-49</w:t>
                  </w:r>
                </w:p>
              </w:tc>
              <w:tc>
                <w:tcPr>
                  <w:tcW w:w="992" w:type="dxa"/>
                  <w:vMerge w:val="continue"/>
                  <w:tcBorders>
                    <w:tl2br w:val="nil"/>
                    <w:tr2bl w:val="nil"/>
                  </w:tcBorders>
                  <w:vAlign w:val="center"/>
                </w:tcPr>
                <w:p>
                  <w:pPr>
                    <w:topLinePunct/>
                    <w:adjustRightInd w:val="0"/>
                    <w:snapToGrid w:val="0"/>
                    <w:jc w:val="center"/>
                    <w:rPr>
                      <w:rFonts w:ascii="Times New Roman" w:hAnsi="Times New Roman"/>
                      <w:kern w:val="0"/>
                      <w:sz w:val="21"/>
                      <w:szCs w:val="21"/>
                    </w:rPr>
                  </w:pPr>
                </w:p>
              </w:tc>
              <w:tc>
                <w:tcPr>
                  <w:tcW w:w="709" w:type="dxa"/>
                  <w:vMerge w:val="continue"/>
                  <w:tcBorders>
                    <w:tl2br w:val="nil"/>
                    <w:tr2bl w:val="nil"/>
                  </w:tcBorders>
                  <w:vAlign w:val="center"/>
                </w:tcPr>
                <w:p>
                  <w:pPr>
                    <w:topLinePunct/>
                    <w:adjustRightInd w:val="0"/>
                    <w:snapToGrid w:val="0"/>
                    <w:jc w:val="center"/>
                    <w:rPr>
                      <w:rFonts w:ascii="Times New Roman" w:hAnsi="Times New Roman"/>
                      <w:kern w:val="0"/>
                      <w:sz w:val="21"/>
                      <w:szCs w:val="21"/>
                    </w:rPr>
                  </w:pPr>
                </w:p>
              </w:tc>
              <w:tc>
                <w:tcPr>
                  <w:tcW w:w="709" w:type="dxa"/>
                  <w:vMerge w:val="continue"/>
                  <w:tcBorders>
                    <w:tl2br w:val="nil"/>
                    <w:tr2bl w:val="nil"/>
                  </w:tcBorders>
                  <w:vAlign w:val="center"/>
                </w:tcPr>
                <w:p>
                  <w:pPr>
                    <w:topLinePunct/>
                    <w:adjustRightInd w:val="0"/>
                    <w:snapToGrid w:val="0"/>
                    <w:jc w:val="center"/>
                    <w:rPr>
                      <w:rFonts w:ascii="Times New Roman" w:hAnsi="Times New Roman"/>
                      <w:kern w:val="0"/>
                      <w:sz w:val="21"/>
                      <w:szCs w:val="21"/>
                    </w:rPr>
                  </w:pPr>
                </w:p>
              </w:tc>
              <w:tc>
                <w:tcPr>
                  <w:tcW w:w="992" w:type="dxa"/>
                  <w:tcBorders>
                    <w:tl2br w:val="nil"/>
                    <w:tr2bl w:val="nil"/>
                  </w:tcBorders>
                  <w:vAlign w:val="center"/>
                </w:tcPr>
                <w:p>
                  <w:pPr>
                    <w:topLinePunct/>
                    <w:adjustRightInd w:val="0"/>
                    <w:snapToGrid w:val="0"/>
                    <w:jc w:val="center"/>
                    <w:rPr>
                      <w:rFonts w:ascii="Times New Roman" w:hAnsi="Times New Roman"/>
                      <w:kern w:val="0"/>
                      <w:sz w:val="21"/>
                      <w:szCs w:val="21"/>
                    </w:rPr>
                  </w:pPr>
                  <w:r>
                    <w:rPr>
                      <w:rFonts w:ascii="Times New Roman" w:hAnsi="Times New Roman"/>
                      <w:kern w:val="0"/>
                      <w:sz w:val="21"/>
                      <w:szCs w:val="21"/>
                    </w:rPr>
                    <w:t>1</w:t>
                  </w:r>
                  <w:r>
                    <w:rPr>
                      <w:rFonts w:hint="eastAsia" w:ascii="Times New Roman" w:hAnsi="Times New Roman"/>
                      <w:kern w:val="0"/>
                      <w:sz w:val="21"/>
                      <w:szCs w:val="21"/>
                    </w:rPr>
                    <w:t>年</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Ex>
              <w:trPr>
                <w:trHeight w:val="544" w:hRule="atLeast"/>
              </w:trPr>
              <w:tc>
                <w:tcPr>
                  <w:tcW w:w="585" w:type="dxa"/>
                  <w:tcBorders>
                    <w:tl2br w:val="nil"/>
                    <w:tr2bl w:val="nil"/>
                  </w:tcBorders>
                  <w:vAlign w:val="center"/>
                </w:tcPr>
                <w:p>
                  <w:pPr>
                    <w:topLinePunct/>
                    <w:adjustRightInd w:val="0"/>
                    <w:snapToGrid w:val="0"/>
                    <w:jc w:val="center"/>
                    <w:rPr>
                      <w:rFonts w:ascii="Times New Roman" w:hAnsi="Times New Roman"/>
                      <w:kern w:val="0"/>
                      <w:sz w:val="21"/>
                      <w:szCs w:val="21"/>
                    </w:rPr>
                  </w:pPr>
                  <w:r>
                    <w:rPr>
                      <w:rFonts w:hint="eastAsia" w:ascii="Times New Roman" w:hAnsi="Times New Roman"/>
                      <w:kern w:val="0"/>
                      <w:sz w:val="21"/>
                      <w:szCs w:val="21"/>
                    </w:rPr>
                    <w:t>3</w:t>
                  </w:r>
                </w:p>
              </w:tc>
              <w:tc>
                <w:tcPr>
                  <w:tcW w:w="1119" w:type="dxa"/>
                  <w:vMerge w:val="continue"/>
                  <w:tcBorders>
                    <w:tl2br w:val="nil"/>
                    <w:tr2bl w:val="nil"/>
                  </w:tcBorders>
                  <w:vAlign w:val="center"/>
                </w:tcPr>
                <w:p>
                  <w:pPr>
                    <w:topLinePunct/>
                    <w:adjustRightInd w:val="0"/>
                    <w:snapToGrid w:val="0"/>
                    <w:spacing w:line="240" w:lineRule="exact"/>
                    <w:jc w:val="center"/>
                    <w:rPr>
                      <w:rFonts w:ascii="Times New Roman" w:hAnsi="Times New Roman"/>
                      <w:kern w:val="0"/>
                      <w:sz w:val="21"/>
                      <w:szCs w:val="21"/>
                    </w:rPr>
                  </w:pPr>
                </w:p>
              </w:tc>
              <w:tc>
                <w:tcPr>
                  <w:tcW w:w="1166" w:type="dxa"/>
                  <w:tcBorders>
                    <w:tl2br w:val="nil"/>
                    <w:tr2bl w:val="nil"/>
                  </w:tcBorders>
                  <w:vAlign w:val="center"/>
                </w:tcPr>
                <w:p>
                  <w:pPr>
                    <w:topLinePunct/>
                    <w:adjustRightInd w:val="0"/>
                    <w:snapToGrid w:val="0"/>
                    <w:spacing w:line="240" w:lineRule="exact"/>
                    <w:jc w:val="center"/>
                    <w:rPr>
                      <w:rFonts w:ascii="Times New Roman" w:hAnsi="Times New Roman"/>
                      <w:kern w:val="0"/>
                      <w:sz w:val="21"/>
                      <w:szCs w:val="21"/>
                    </w:rPr>
                  </w:pPr>
                  <w:r>
                    <w:rPr>
                      <w:rFonts w:ascii="Times New Roman" w:hAnsi="Times New Roman"/>
                      <w:sz w:val="21"/>
                      <w:szCs w:val="21"/>
                    </w:rPr>
                    <w:t>废催化剂</w:t>
                  </w:r>
                </w:p>
              </w:tc>
              <w:tc>
                <w:tcPr>
                  <w:tcW w:w="1984" w:type="dxa"/>
                  <w:tcBorders>
                    <w:tl2br w:val="nil"/>
                    <w:tr2bl w:val="nil"/>
                  </w:tcBorders>
                  <w:vAlign w:val="center"/>
                </w:tcPr>
                <w:p>
                  <w:pPr>
                    <w:snapToGrid w:val="0"/>
                    <w:jc w:val="center"/>
                    <w:rPr>
                      <w:rFonts w:ascii="Times New Roman" w:hAnsi="Times New Roman"/>
                      <w:kern w:val="2"/>
                      <w:sz w:val="21"/>
                      <w:szCs w:val="21"/>
                    </w:rPr>
                  </w:pPr>
                  <w:r>
                    <w:rPr>
                      <w:rFonts w:ascii="Times New Roman" w:hAnsi="Times New Roman"/>
                      <w:sz w:val="21"/>
                      <w:szCs w:val="21"/>
                    </w:rPr>
                    <w:t>HW50，废催化剂</w:t>
                  </w:r>
                </w:p>
              </w:tc>
              <w:tc>
                <w:tcPr>
                  <w:tcW w:w="1276" w:type="dxa"/>
                  <w:tcBorders>
                    <w:tl2br w:val="nil"/>
                    <w:tr2bl w:val="nil"/>
                  </w:tcBorders>
                  <w:vAlign w:val="center"/>
                </w:tcPr>
                <w:p>
                  <w:pPr>
                    <w:snapToGrid w:val="0"/>
                    <w:jc w:val="center"/>
                    <w:rPr>
                      <w:rFonts w:ascii="Times New Roman" w:hAnsi="Times New Roman"/>
                      <w:kern w:val="0"/>
                      <w:sz w:val="21"/>
                      <w:szCs w:val="21"/>
                    </w:rPr>
                  </w:pPr>
                  <w:r>
                    <w:rPr>
                      <w:rFonts w:ascii="Times New Roman" w:hAnsi="Times New Roman"/>
                      <w:kern w:val="0"/>
                      <w:sz w:val="21"/>
                      <w:szCs w:val="21"/>
                    </w:rPr>
                    <w:t>772-007-50</w:t>
                  </w:r>
                </w:p>
              </w:tc>
              <w:tc>
                <w:tcPr>
                  <w:tcW w:w="992" w:type="dxa"/>
                  <w:vMerge w:val="continue"/>
                  <w:tcBorders>
                    <w:tl2br w:val="nil"/>
                    <w:tr2bl w:val="nil"/>
                  </w:tcBorders>
                  <w:vAlign w:val="center"/>
                </w:tcPr>
                <w:p>
                  <w:pPr>
                    <w:topLinePunct/>
                    <w:adjustRightInd w:val="0"/>
                    <w:snapToGrid w:val="0"/>
                    <w:spacing w:line="240" w:lineRule="exact"/>
                    <w:jc w:val="center"/>
                    <w:rPr>
                      <w:rFonts w:ascii="Times New Roman" w:hAnsi="Times New Roman"/>
                      <w:kern w:val="0"/>
                      <w:sz w:val="21"/>
                      <w:szCs w:val="21"/>
                    </w:rPr>
                  </w:pPr>
                </w:p>
              </w:tc>
              <w:tc>
                <w:tcPr>
                  <w:tcW w:w="709" w:type="dxa"/>
                  <w:vMerge w:val="continue"/>
                  <w:tcBorders>
                    <w:tl2br w:val="nil"/>
                    <w:tr2bl w:val="nil"/>
                  </w:tcBorders>
                  <w:vAlign w:val="center"/>
                </w:tcPr>
                <w:p>
                  <w:pPr>
                    <w:topLinePunct/>
                    <w:adjustRightInd w:val="0"/>
                    <w:snapToGrid w:val="0"/>
                    <w:jc w:val="center"/>
                    <w:rPr>
                      <w:rFonts w:ascii="Times New Roman" w:hAnsi="Times New Roman"/>
                      <w:kern w:val="0"/>
                      <w:sz w:val="21"/>
                      <w:szCs w:val="21"/>
                    </w:rPr>
                  </w:pPr>
                </w:p>
              </w:tc>
              <w:tc>
                <w:tcPr>
                  <w:tcW w:w="709" w:type="dxa"/>
                  <w:vMerge w:val="continue"/>
                  <w:tcBorders>
                    <w:tl2br w:val="nil"/>
                    <w:tr2bl w:val="nil"/>
                  </w:tcBorders>
                  <w:vAlign w:val="center"/>
                </w:tcPr>
                <w:p>
                  <w:pPr>
                    <w:topLinePunct/>
                    <w:adjustRightInd w:val="0"/>
                    <w:snapToGrid w:val="0"/>
                    <w:jc w:val="center"/>
                    <w:rPr>
                      <w:rFonts w:ascii="Times New Roman" w:hAnsi="Times New Roman"/>
                      <w:kern w:val="0"/>
                      <w:sz w:val="21"/>
                      <w:szCs w:val="21"/>
                    </w:rPr>
                  </w:pPr>
                </w:p>
              </w:tc>
              <w:tc>
                <w:tcPr>
                  <w:tcW w:w="992" w:type="dxa"/>
                  <w:tcBorders>
                    <w:tl2br w:val="nil"/>
                    <w:tr2bl w:val="nil"/>
                  </w:tcBorders>
                  <w:vAlign w:val="center"/>
                </w:tcPr>
                <w:p>
                  <w:pPr>
                    <w:topLinePunct/>
                    <w:adjustRightInd w:val="0"/>
                    <w:snapToGrid w:val="0"/>
                    <w:jc w:val="center"/>
                    <w:rPr>
                      <w:rFonts w:ascii="Times New Roman" w:hAnsi="Times New Roman"/>
                      <w:kern w:val="0"/>
                      <w:sz w:val="21"/>
                      <w:szCs w:val="21"/>
                    </w:rPr>
                  </w:pPr>
                  <w:r>
                    <w:rPr>
                      <w:rFonts w:ascii="Times New Roman" w:hAnsi="Times New Roman"/>
                      <w:kern w:val="0"/>
                      <w:sz w:val="21"/>
                      <w:szCs w:val="21"/>
                    </w:rPr>
                    <w:t>1</w:t>
                  </w:r>
                  <w:r>
                    <w:rPr>
                      <w:rFonts w:hint="eastAsia" w:ascii="Times New Roman" w:hAnsi="Times New Roman"/>
                      <w:kern w:val="0"/>
                      <w:sz w:val="21"/>
                      <w:szCs w:val="21"/>
                    </w:rPr>
                    <w:t>年</w:t>
                  </w:r>
                </w:p>
              </w:tc>
            </w:tr>
          </w:tbl>
          <w:p>
            <w:pPr>
              <w:spacing w:line="360" w:lineRule="auto"/>
              <w:ind w:firstLine="480"/>
              <w:rPr>
                <w:rFonts w:ascii="Times New Roman" w:hAnsi="Times New Roman"/>
                <w:kern w:val="2"/>
                <w:szCs w:val="24"/>
              </w:rPr>
            </w:pPr>
            <w:r>
              <w:rPr>
                <w:rFonts w:hint="eastAsia" w:ascii="Times New Roman" w:hAnsi="Times New Roman"/>
                <w:b/>
                <w:bCs/>
                <w:kern w:val="2"/>
                <w:szCs w:val="24"/>
              </w:rPr>
              <w:t>防渗漏</w:t>
            </w:r>
            <w:r>
              <w:rPr>
                <w:rFonts w:hint="eastAsia" w:ascii="Times New Roman" w:hAnsi="Times New Roman"/>
                <w:kern w:val="2"/>
                <w:szCs w:val="24"/>
              </w:rPr>
              <w:t>：危废库地面进行硬化和防渗漏处理，建设堵截泄漏的裙脚，地面与裙脚要用坚固防渗的材料建造。同时其地面须为耐腐蚀的硬化地面，且地面无裂隙；基础防渗层可用厚度在</w:t>
            </w:r>
            <w:r>
              <w:rPr>
                <w:rFonts w:ascii="Times New Roman" w:hAnsi="Times New Roman"/>
                <w:kern w:val="2"/>
                <w:szCs w:val="24"/>
              </w:rPr>
              <w:t>2mm以上的高密度聚乙烯或其他人工防渗材料组成，渗透系数应小于1.0×10</w:t>
            </w:r>
            <w:r>
              <w:rPr>
                <w:rFonts w:ascii="Times New Roman" w:hAnsi="Times New Roman"/>
                <w:kern w:val="2"/>
                <w:szCs w:val="24"/>
                <w:vertAlign w:val="superscript"/>
              </w:rPr>
              <w:t>-10</w:t>
            </w:r>
            <w:r>
              <w:rPr>
                <w:rFonts w:ascii="Times New Roman" w:hAnsi="Times New Roman"/>
                <w:kern w:val="2"/>
                <w:szCs w:val="24"/>
              </w:rPr>
              <w:t>cm/s</w:t>
            </w:r>
            <w:r>
              <w:rPr>
                <w:rFonts w:hint="eastAsia" w:ascii="Times New Roman" w:hAnsi="Times New Roman"/>
                <w:kern w:val="2"/>
                <w:szCs w:val="24"/>
              </w:rPr>
              <w:t>。</w:t>
            </w:r>
          </w:p>
          <w:p>
            <w:pPr>
              <w:spacing w:line="360" w:lineRule="auto"/>
              <w:ind w:firstLine="480"/>
              <w:rPr>
                <w:rFonts w:ascii="Times New Roman" w:hAnsi="Times New Roman"/>
                <w:kern w:val="2"/>
                <w:szCs w:val="24"/>
              </w:rPr>
            </w:pPr>
            <w:r>
              <w:rPr>
                <w:rFonts w:hint="eastAsia" w:ascii="Times New Roman" w:hAnsi="Times New Roman"/>
                <w:kern w:val="2"/>
                <w:szCs w:val="24"/>
              </w:rPr>
              <w:t>危废库内，各类危险废物应分区贮存，各个分区应设置围堰或托盘，围堰或托盘的容积应大于储存物料量，事故发生时可保证将泄漏的物料控制在围堰或托盘内，每个分区均应粘贴储存物质标牌等。</w:t>
            </w:r>
            <w:r>
              <w:rPr>
                <w:rFonts w:ascii="Times New Roman" w:hAnsi="Times New Roman"/>
                <w:kern w:val="2"/>
                <w:szCs w:val="24"/>
              </w:rPr>
              <w:t>收集、贮存危险废物的场所、设施、设备和容器、包装物或其他物品转作他用时，必须经过消除污染的处理，并经环境保护监测部门监测，达到无害化标准，未达标准的严禁转作他用。</w:t>
            </w:r>
          </w:p>
          <w:p>
            <w:pPr>
              <w:spacing w:line="360" w:lineRule="auto"/>
              <w:ind w:firstLine="480"/>
              <w:rPr>
                <w:rFonts w:ascii="Times New Roman" w:hAnsi="Times New Roman"/>
                <w:kern w:val="2"/>
                <w:szCs w:val="24"/>
              </w:rPr>
            </w:pPr>
            <w:r>
              <w:rPr>
                <w:rFonts w:hint="eastAsia" w:ascii="Times New Roman" w:hAnsi="Times New Roman"/>
                <w:kern w:val="2"/>
                <w:szCs w:val="24"/>
              </w:rPr>
              <w:t>在收集、贮存危险废物过程中，发生污染事故或其他突发性污染事件时，必须立即采取措施，消除或减轻污染危害，及时通知可能受到危害的单位和居民，并应于</w:t>
            </w:r>
            <w:r>
              <w:rPr>
                <w:rFonts w:ascii="Times New Roman" w:hAnsi="Times New Roman"/>
                <w:kern w:val="2"/>
                <w:szCs w:val="24"/>
              </w:rPr>
              <w:t>24h内向所在区、市环境保护行政主管部门和有关部门报告，接受调查处理。</w:t>
            </w:r>
          </w:p>
          <w:p>
            <w:pPr>
              <w:spacing w:line="360" w:lineRule="auto"/>
              <w:ind w:firstLine="480" w:firstLineChars="200"/>
              <w:rPr>
                <w:rFonts w:ascii="Times New Roman" w:hAnsi="Times New Roman"/>
                <w:kern w:val="2"/>
                <w:szCs w:val="24"/>
              </w:rPr>
            </w:pPr>
            <w:r>
              <w:rPr>
                <w:rFonts w:hint="eastAsia" w:ascii="Times New Roman" w:hAnsi="Times New Roman"/>
                <w:kern w:val="2"/>
                <w:szCs w:val="24"/>
              </w:rPr>
              <w:t>收集、贮存危险废物过程中按危险废物特性进行分类包装。包装容器的外面必须有表示废物形态、性质的明显标志，并向运输者和接受者提供安全保护要求的文字说明。</w:t>
            </w:r>
          </w:p>
          <w:p>
            <w:pPr>
              <w:spacing w:line="360" w:lineRule="auto"/>
              <w:ind w:firstLine="480" w:firstLineChars="200"/>
              <w:rPr>
                <w:rFonts w:ascii="Times New Roman" w:hAnsi="Times New Roman"/>
                <w:kern w:val="2"/>
                <w:szCs w:val="24"/>
              </w:rPr>
            </w:pPr>
            <w:r>
              <w:rPr>
                <w:rFonts w:ascii="Times New Roman" w:hAnsi="Times New Roman"/>
                <w:kern w:val="2"/>
                <w:szCs w:val="24"/>
              </w:rPr>
              <w:t>（2）危险废物的转移及运输</w:t>
            </w:r>
          </w:p>
          <w:p>
            <w:pPr>
              <w:spacing w:line="360" w:lineRule="auto"/>
              <w:ind w:firstLine="480" w:firstLineChars="200"/>
              <w:rPr>
                <w:rFonts w:ascii="Times New Roman" w:hAnsi="Times New Roman"/>
                <w:kern w:val="2"/>
              </w:rPr>
            </w:pPr>
            <w:r>
              <w:rPr>
                <w:rFonts w:ascii="Times New Roman" w:hAnsi="Times New Roman"/>
              </w:rPr>
              <w:t>危险废物的转移及运输危险废物的转移应遵从《危险废物转移联单管理办法》及其他有关规定的要求，并禁止在转移过程中将危险废物排放至外环境中。建设单位应与危废处置中心共同研究危险废物运输有关事宜，确保危险废物的运输安全可靠，减少或避免运输过程中二次污染和可能造成的环境风险。项目产生的危险废物交由具有危险废物处置资质的单位进行回收处置。收集和运输分别采用密闭容器和密闭厢式货车，废物收集后立即运走，尽量缩短停滞时间。</w:t>
            </w:r>
          </w:p>
          <w:p>
            <w:pPr>
              <w:spacing w:line="360" w:lineRule="auto"/>
              <w:ind w:firstLine="480" w:firstLineChars="200"/>
              <w:rPr>
                <w:rFonts w:ascii="Times New Roman" w:hAnsi="Times New Roman"/>
                <w:kern w:val="2"/>
              </w:rPr>
            </w:pPr>
            <w:r>
              <w:rPr>
                <w:rFonts w:ascii="Times New Roman" w:hAnsi="Times New Roman"/>
              </w:rPr>
              <w:t>在采取上述措施后，项目所产生的固体废物能够达到零排放，处置方式可行，</w:t>
            </w:r>
            <w:r>
              <w:rPr>
                <w:rFonts w:ascii="Times New Roman" w:hAnsi="Times New Roman"/>
                <w:kern w:val="2"/>
                <w:szCs w:val="24"/>
              </w:rPr>
              <w:t>在做好一般固体废物及危险废物暂存场所场地防渗的基础上，并做好一般固体废物和危险废物的收集，并定期检查固体废物的存放容器，防止容器损坏而泄露的情况下，一般固体废物和危险废物</w:t>
            </w:r>
            <w:bookmarkStart w:id="21" w:name="_GoBack"/>
            <w:bookmarkEnd w:id="21"/>
            <w:r>
              <w:rPr>
                <w:rFonts w:ascii="Times New Roman" w:hAnsi="Times New Roman"/>
                <w:kern w:val="2"/>
                <w:szCs w:val="24"/>
              </w:rPr>
              <w:t>的存放对周围环境影响很小</w:t>
            </w:r>
            <w:r>
              <w:rPr>
                <w:rFonts w:ascii="Times New Roman" w:hAnsi="Times New Roman"/>
              </w:rPr>
              <w:t>。</w:t>
            </w:r>
          </w:p>
          <w:bookmarkEnd w:id="18"/>
          <w:p>
            <w:pPr>
              <w:pStyle w:val="41"/>
              <w:ind w:firstLine="480" w:firstLineChars="200"/>
            </w:pPr>
            <w:r>
              <w:t>五、环境风险分析及预防措施</w:t>
            </w:r>
          </w:p>
          <w:p>
            <w:pPr>
              <w:tabs>
                <w:tab w:val="left" w:pos="6807"/>
              </w:tabs>
              <w:adjustRightInd w:val="0"/>
              <w:snapToGrid w:val="0"/>
              <w:spacing w:line="360" w:lineRule="auto"/>
              <w:ind w:firstLine="480" w:firstLineChars="200"/>
              <w:rPr>
                <w:rFonts w:ascii="Times New Roman" w:hAnsi="Times New Roman"/>
              </w:rPr>
            </w:pPr>
            <w:r>
              <w:rPr>
                <w:rFonts w:ascii="Times New Roman" w:hAnsi="Times New Roman"/>
              </w:rPr>
              <w:t>（1）分级确定</w:t>
            </w:r>
          </w:p>
          <w:p>
            <w:pPr>
              <w:widowControl/>
              <w:spacing w:line="360" w:lineRule="auto"/>
              <w:ind w:firstLine="480" w:firstLineChars="200"/>
              <w:rPr>
                <w:rFonts w:ascii="Times New Roman" w:hAnsi="Times New Roman"/>
                <w:kern w:val="2"/>
                <w:szCs w:val="24"/>
              </w:rPr>
            </w:pPr>
            <w:r>
              <w:rPr>
                <w:rFonts w:ascii="Times New Roman" w:hAnsi="Times New Roman"/>
                <w:kern w:val="2"/>
                <w:szCs w:val="24"/>
              </w:rPr>
              <w:t>根据《建设项目环境风险评价技术导则》(HJ/T169-2018)要求，分析建设项目生产、使用、储存过程中涉及的有毒有害、易燃易爆物质，参见附录 B 确定危险物质的临界量。定量分析危险物质数量与临界量的比值（Q）和所属行业及生产工艺特点（M），按附录 C 对危险物质及工艺系统危险性（P）等级进行判断。</w:t>
            </w:r>
          </w:p>
          <w:p>
            <w:pPr>
              <w:widowControl/>
              <w:spacing w:line="360" w:lineRule="auto"/>
              <w:ind w:firstLine="480" w:firstLineChars="200"/>
              <w:rPr>
                <w:rFonts w:ascii="Times New Roman" w:hAnsi="Times New Roman"/>
                <w:kern w:val="2"/>
                <w:szCs w:val="24"/>
              </w:rPr>
            </w:pPr>
            <w:r>
              <w:rPr>
                <w:rFonts w:ascii="Times New Roman" w:hAnsi="Times New Roman"/>
                <w:kern w:val="2"/>
                <w:szCs w:val="24"/>
              </w:rPr>
              <w:t>危险物质数量与临界量的比值（Q）计算所涉及的每种危险物质在厂界内的最大存在总量与其在附录 B 中对应临界量的比值Q。在不同厂区的同一种物质，按其在厂界内的最大存在总量计算。当只涉及一种危险物质时，计算该物质的总量与其临界量比值，即为 Q； 当存在多种危险物质时，则按式（C.1）计算物质总量与其临界量比值（Q）：</w:t>
            </w:r>
          </w:p>
          <w:p>
            <w:pPr>
              <w:widowControl/>
              <w:spacing w:line="360" w:lineRule="auto"/>
              <w:ind w:firstLine="2240" w:firstLineChars="700"/>
              <w:rPr>
                <w:rFonts w:ascii="Times New Roman" w:hAnsi="Times New Roman"/>
                <w:kern w:val="2"/>
                <w:szCs w:val="24"/>
              </w:rPr>
            </w:pPr>
            <w:r>
              <w:rPr>
                <w:rFonts w:ascii="Times New Roman" w:hAnsi="Times New Roman"/>
                <w:kern w:val="2"/>
                <w:sz w:val="32"/>
                <w:szCs w:val="24"/>
              </w:rPr>
              <w:t>Q=q</w:t>
            </w:r>
            <w:r>
              <w:rPr>
                <w:rFonts w:ascii="Times New Roman" w:hAnsi="Times New Roman"/>
                <w:kern w:val="2"/>
                <w:sz w:val="32"/>
                <w:szCs w:val="24"/>
                <w:vertAlign w:val="subscript"/>
              </w:rPr>
              <w:t>1</w:t>
            </w:r>
            <w:r>
              <w:rPr>
                <w:rFonts w:ascii="Times New Roman" w:hAnsi="Times New Roman"/>
                <w:kern w:val="2"/>
                <w:sz w:val="32"/>
                <w:szCs w:val="24"/>
              </w:rPr>
              <w:t>/Q</w:t>
            </w:r>
            <w:r>
              <w:rPr>
                <w:rFonts w:ascii="Times New Roman" w:hAnsi="Times New Roman"/>
                <w:kern w:val="2"/>
                <w:sz w:val="32"/>
                <w:szCs w:val="24"/>
                <w:vertAlign w:val="subscript"/>
              </w:rPr>
              <w:t>1</w:t>
            </w:r>
            <w:r>
              <w:rPr>
                <w:rFonts w:ascii="Times New Roman" w:hAnsi="Times New Roman"/>
                <w:kern w:val="2"/>
                <w:sz w:val="32"/>
                <w:szCs w:val="24"/>
              </w:rPr>
              <w:t>+ q</w:t>
            </w:r>
            <w:r>
              <w:rPr>
                <w:rFonts w:ascii="Times New Roman" w:hAnsi="Times New Roman"/>
                <w:kern w:val="2"/>
                <w:sz w:val="32"/>
                <w:szCs w:val="24"/>
                <w:vertAlign w:val="subscript"/>
              </w:rPr>
              <w:t>2</w:t>
            </w:r>
            <w:r>
              <w:rPr>
                <w:rFonts w:ascii="Times New Roman" w:hAnsi="Times New Roman"/>
                <w:kern w:val="2"/>
                <w:sz w:val="32"/>
                <w:szCs w:val="24"/>
              </w:rPr>
              <w:t>/Q</w:t>
            </w:r>
            <w:r>
              <w:rPr>
                <w:rFonts w:ascii="Times New Roman" w:hAnsi="Times New Roman"/>
                <w:kern w:val="2"/>
                <w:sz w:val="32"/>
                <w:szCs w:val="24"/>
                <w:vertAlign w:val="subscript"/>
              </w:rPr>
              <w:t>2</w:t>
            </w:r>
            <w:r>
              <w:rPr>
                <w:rFonts w:ascii="Times New Roman" w:hAnsi="Times New Roman"/>
                <w:kern w:val="2"/>
                <w:sz w:val="32"/>
                <w:szCs w:val="24"/>
              </w:rPr>
              <w:t>+……+ q</w:t>
            </w:r>
            <w:r>
              <w:rPr>
                <w:rFonts w:ascii="Times New Roman" w:hAnsi="Times New Roman"/>
                <w:kern w:val="2"/>
                <w:sz w:val="32"/>
                <w:szCs w:val="24"/>
                <w:vertAlign w:val="subscript"/>
              </w:rPr>
              <w:t>n</w:t>
            </w:r>
            <w:r>
              <w:rPr>
                <w:rFonts w:ascii="Times New Roman" w:hAnsi="Times New Roman"/>
                <w:kern w:val="2"/>
                <w:sz w:val="32"/>
                <w:szCs w:val="24"/>
              </w:rPr>
              <w:t>/Q</w:t>
            </w:r>
            <w:r>
              <w:rPr>
                <w:rFonts w:ascii="Times New Roman" w:hAnsi="Times New Roman"/>
                <w:kern w:val="2"/>
                <w:sz w:val="32"/>
                <w:szCs w:val="24"/>
                <w:vertAlign w:val="subscript"/>
              </w:rPr>
              <w:t>n</w:t>
            </w:r>
          </w:p>
          <w:p>
            <w:pPr>
              <w:widowControl/>
              <w:spacing w:line="360" w:lineRule="auto"/>
              <w:ind w:firstLine="480" w:firstLineChars="200"/>
              <w:rPr>
                <w:rFonts w:ascii="Times New Roman" w:hAnsi="Times New Roman"/>
                <w:kern w:val="2"/>
                <w:szCs w:val="24"/>
              </w:rPr>
            </w:pPr>
            <w:r>
              <w:rPr>
                <w:rFonts w:ascii="Times New Roman" w:hAnsi="Times New Roman"/>
                <w:kern w:val="2"/>
                <w:szCs w:val="24"/>
              </w:rPr>
              <w:t>式中：q</w:t>
            </w:r>
            <w:r>
              <w:rPr>
                <w:rFonts w:ascii="Times New Roman" w:hAnsi="Times New Roman"/>
                <w:kern w:val="2"/>
                <w:szCs w:val="24"/>
                <w:vertAlign w:val="subscript"/>
              </w:rPr>
              <w:t>1</w:t>
            </w:r>
            <w:r>
              <w:rPr>
                <w:rFonts w:ascii="Times New Roman" w:hAnsi="Times New Roman"/>
                <w:kern w:val="2"/>
                <w:szCs w:val="24"/>
              </w:rPr>
              <w:t>，q</w:t>
            </w:r>
            <w:r>
              <w:rPr>
                <w:rFonts w:ascii="Times New Roman" w:hAnsi="Times New Roman"/>
                <w:kern w:val="2"/>
                <w:szCs w:val="24"/>
                <w:vertAlign w:val="subscript"/>
              </w:rPr>
              <w:t>2</w:t>
            </w:r>
            <w:r>
              <w:rPr>
                <w:rFonts w:ascii="Times New Roman" w:hAnsi="Times New Roman"/>
                <w:kern w:val="2"/>
                <w:szCs w:val="24"/>
              </w:rPr>
              <w:t>……q</w:t>
            </w:r>
            <w:r>
              <w:rPr>
                <w:rFonts w:ascii="Times New Roman" w:hAnsi="Times New Roman"/>
                <w:kern w:val="2"/>
                <w:szCs w:val="24"/>
                <w:vertAlign w:val="subscript"/>
              </w:rPr>
              <w:t>n</w:t>
            </w:r>
            <w:r>
              <w:rPr>
                <w:rFonts w:ascii="Times New Roman" w:hAnsi="Times New Roman"/>
                <w:kern w:val="2"/>
                <w:szCs w:val="24"/>
              </w:rPr>
              <w:t xml:space="preserve">—每种危险物质实际存在量(t)； </w:t>
            </w:r>
          </w:p>
          <w:p>
            <w:pPr>
              <w:widowControl/>
              <w:spacing w:line="360" w:lineRule="auto"/>
              <w:ind w:firstLine="480" w:firstLineChars="200"/>
              <w:rPr>
                <w:rFonts w:ascii="Times New Roman" w:hAnsi="Times New Roman"/>
                <w:kern w:val="2"/>
                <w:szCs w:val="24"/>
              </w:rPr>
            </w:pPr>
            <w:r>
              <w:rPr>
                <w:rFonts w:ascii="Times New Roman" w:hAnsi="Times New Roman"/>
                <w:kern w:val="2"/>
                <w:szCs w:val="24"/>
              </w:rPr>
              <w:t>Q</w:t>
            </w:r>
            <w:r>
              <w:rPr>
                <w:rFonts w:ascii="Times New Roman" w:hAnsi="Times New Roman"/>
                <w:kern w:val="2"/>
                <w:szCs w:val="24"/>
                <w:vertAlign w:val="subscript"/>
              </w:rPr>
              <w:t>1</w:t>
            </w:r>
            <w:r>
              <w:rPr>
                <w:rFonts w:ascii="Times New Roman" w:hAnsi="Times New Roman"/>
                <w:kern w:val="2"/>
                <w:szCs w:val="24"/>
              </w:rPr>
              <w:t>，Q</w:t>
            </w:r>
            <w:r>
              <w:rPr>
                <w:rFonts w:ascii="Times New Roman" w:hAnsi="Times New Roman"/>
                <w:kern w:val="2"/>
                <w:szCs w:val="24"/>
                <w:vertAlign w:val="subscript"/>
              </w:rPr>
              <w:t>2</w:t>
            </w:r>
            <w:r>
              <w:rPr>
                <w:rFonts w:ascii="Times New Roman" w:hAnsi="Times New Roman"/>
                <w:kern w:val="2"/>
                <w:szCs w:val="24"/>
              </w:rPr>
              <w:t>……Q</w:t>
            </w:r>
            <w:r>
              <w:rPr>
                <w:rFonts w:ascii="Times New Roman" w:hAnsi="Times New Roman"/>
                <w:kern w:val="2"/>
                <w:szCs w:val="24"/>
                <w:vertAlign w:val="subscript"/>
              </w:rPr>
              <w:t>n</w:t>
            </w:r>
            <w:r>
              <w:rPr>
                <w:rFonts w:ascii="Times New Roman" w:hAnsi="Times New Roman"/>
                <w:kern w:val="2"/>
                <w:szCs w:val="24"/>
              </w:rPr>
              <w:t>—与各种物质相对应的生产场所或贮存区的临界量(t)。</w:t>
            </w:r>
          </w:p>
          <w:p>
            <w:pPr>
              <w:widowControl/>
              <w:spacing w:line="360" w:lineRule="auto"/>
              <w:ind w:firstLine="480" w:firstLineChars="200"/>
              <w:rPr>
                <w:rFonts w:ascii="Times New Roman" w:hAnsi="Times New Roman"/>
                <w:kern w:val="2"/>
                <w:szCs w:val="24"/>
              </w:rPr>
            </w:pPr>
            <w:r>
              <w:rPr>
                <w:rFonts w:ascii="Times New Roman" w:hAnsi="Times New Roman"/>
                <w:kern w:val="2"/>
                <w:szCs w:val="24"/>
              </w:rPr>
              <w:t>Q1, Q2, ..., Qn——每种危险物质的临界量，t。</w:t>
            </w:r>
          </w:p>
          <w:p>
            <w:pPr>
              <w:widowControl/>
              <w:spacing w:line="360" w:lineRule="auto"/>
              <w:ind w:firstLine="480" w:firstLineChars="200"/>
              <w:rPr>
                <w:rFonts w:ascii="Times New Roman" w:hAnsi="Times New Roman"/>
                <w:kern w:val="2"/>
                <w:szCs w:val="24"/>
              </w:rPr>
            </w:pPr>
            <w:r>
              <w:rPr>
                <w:rFonts w:ascii="Times New Roman" w:hAnsi="Times New Roman"/>
                <w:kern w:val="2"/>
                <w:szCs w:val="24"/>
              </w:rPr>
              <w:t xml:space="preserve">当 Q＜1 时，该项目环境风险潜势为Ⅰ。 </w:t>
            </w:r>
          </w:p>
          <w:p>
            <w:pPr>
              <w:widowControl/>
              <w:spacing w:line="360" w:lineRule="auto"/>
              <w:ind w:firstLine="480" w:firstLineChars="200"/>
              <w:rPr>
                <w:rFonts w:ascii="Times New Roman" w:hAnsi="Times New Roman"/>
                <w:kern w:val="2"/>
                <w:szCs w:val="24"/>
              </w:rPr>
            </w:pPr>
            <w:r>
              <w:rPr>
                <w:rFonts w:ascii="Times New Roman" w:hAnsi="Times New Roman"/>
                <w:kern w:val="2"/>
                <w:szCs w:val="24"/>
              </w:rPr>
              <w:t>当 Q≥1 时，将 Q 值划分为：（1）1≤Q＜10；（2）10≤Q＜100；（3）Q≥100</w:t>
            </w:r>
          </w:p>
          <w:p>
            <w:pPr>
              <w:widowControl/>
              <w:spacing w:line="360" w:lineRule="auto"/>
              <w:ind w:firstLine="480" w:firstLineChars="200"/>
              <w:rPr>
                <w:rFonts w:ascii="Times New Roman" w:hAnsi="Times New Roman"/>
                <w:kern w:val="2"/>
                <w:szCs w:val="24"/>
              </w:rPr>
            </w:pPr>
            <w:r>
              <w:rPr>
                <w:rFonts w:ascii="Times New Roman" w:hAnsi="Times New Roman"/>
                <w:kern w:val="2"/>
                <w:szCs w:val="24"/>
              </w:rPr>
              <w:t>项目</w:t>
            </w:r>
            <w:r>
              <w:rPr>
                <w:rFonts w:hint="eastAsia" w:ascii="Times New Roman" w:hAnsi="Times New Roman"/>
                <w:kern w:val="2"/>
                <w:szCs w:val="24"/>
              </w:rPr>
              <w:t>未单独使用</w:t>
            </w:r>
            <w:r>
              <w:rPr>
                <w:rFonts w:ascii="Times New Roman" w:hAnsi="Times New Roman"/>
                <w:kern w:val="2"/>
                <w:szCs w:val="24"/>
              </w:rPr>
              <w:t>《建设项目环境风险评价技术导则》(HJ/T169-2018)及《危险化学品目录》（2018年）所列出的危险物质。可认为本项目Q＜1，因此判断项目环境风险潜势为Ⅰ</w:t>
            </w:r>
            <w:r>
              <w:rPr>
                <w:rFonts w:hint="eastAsia" w:ascii="Times New Roman" w:hAnsi="Times New Roman"/>
                <w:kern w:val="2"/>
                <w:szCs w:val="24"/>
              </w:rPr>
              <w:t>。</w:t>
            </w:r>
          </w:p>
          <w:p>
            <w:pPr>
              <w:spacing w:line="360" w:lineRule="auto"/>
              <w:ind w:firstLine="480" w:firstLineChars="200"/>
              <w:rPr>
                <w:rFonts w:ascii="Times New Roman" w:hAnsi="Times New Roman"/>
                <w:kern w:val="2"/>
                <w:szCs w:val="24"/>
              </w:rPr>
            </w:pPr>
            <w:r>
              <w:rPr>
                <w:rFonts w:ascii="Times New Roman" w:hAnsi="Times New Roman"/>
                <w:kern w:val="2"/>
                <w:szCs w:val="24"/>
              </w:rPr>
              <w:t>本项目Q＜1，因此判断项目环境风险潜势为Ⅰ。</w:t>
            </w:r>
          </w:p>
          <w:p>
            <w:pPr>
              <w:tabs>
                <w:tab w:val="left" w:pos="6807"/>
              </w:tabs>
              <w:adjustRightInd w:val="0"/>
              <w:snapToGrid w:val="0"/>
              <w:spacing w:line="360" w:lineRule="auto"/>
              <w:ind w:firstLine="480" w:firstLineChars="200"/>
              <w:rPr>
                <w:rFonts w:ascii="Times New Roman" w:hAnsi="Times New Roman"/>
              </w:rPr>
            </w:pPr>
            <w:r>
              <w:rPr>
                <w:rFonts w:ascii="Times New Roman" w:hAnsi="Times New Roman"/>
              </w:rPr>
              <w:t>（2）评价工作等级</w:t>
            </w:r>
          </w:p>
          <w:p>
            <w:pPr>
              <w:widowControl/>
              <w:spacing w:line="360" w:lineRule="auto"/>
              <w:ind w:firstLine="480" w:firstLineChars="200"/>
              <w:rPr>
                <w:rFonts w:ascii="Times New Roman" w:hAnsi="Times New Roman"/>
                <w:kern w:val="2"/>
                <w:szCs w:val="24"/>
              </w:rPr>
            </w:pPr>
            <w:r>
              <w:rPr>
                <w:rFonts w:ascii="Times New Roman" w:hAnsi="Times New Roman"/>
                <w:kern w:val="2"/>
                <w:szCs w:val="24"/>
              </w:rPr>
              <w:t>按照《建设项目环境风险评价技术导则》(HJ/T169-2018)中的有关规定，风险评价工作等级划分见表</w:t>
            </w:r>
            <w:r>
              <w:rPr>
                <w:rFonts w:hint="eastAsia" w:ascii="Times New Roman" w:hAnsi="Times New Roman"/>
                <w:kern w:val="2"/>
                <w:szCs w:val="24"/>
              </w:rPr>
              <w:t>38</w:t>
            </w:r>
            <w:r>
              <w:rPr>
                <w:rFonts w:ascii="Times New Roman" w:hAnsi="Times New Roman"/>
                <w:kern w:val="2"/>
                <w:szCs w:val="24"/>
              </w:rPr>
              <w:t>。</w:t>
            </w:r>
            <w:bookmarkStart w:id="20" w:name="_Ref464055351"/>
          </w:p>
          <w:p>
            <w:pPr>
              <w:widowControl/>
              <w:jc w:val="center"/>
              <w:rPr>
                <w:rFonts w:ascii="Times New Roman" w:hAnsi="Times New Roman" w:eastAsia="黑体"/>
                <w:bCs/>
                <w:kern w:val="2"/>
                <w:szCs w:val="32"/>
              </w:rPr>
            </w:pPr>
            <w:r>
              <w:rPr>
                <w:rFonts w:ascii="Times New Roman" w:hAnsi="Times New Roman" w:eastAsia="黑体"/>
                <w:bCs/>
                <w:kern w:val="2"/>
                <w:szCs w:val="32"/>
              </w:rPr>
              <w:t>表</w:t>
            </w:r>
            <w:bookmarkEnd w:id="20"/>
            <w:r>
              <w:rPr>
                <w:rFonts w:hint="eastAsia" w:ascii="Times New Roman" w:hAnsi="Times New Roman" w:eastAsia="黑体"/>
                <w:kern w:val="2"/>
                <w:szCs w:val="32"/>
              </w:rPr>
              <w:t>38</w:t>
            </w:r>
            <w:r>
              <w:rPr>
                <w:rFonts w:ascii="Times New Roman" w:hAnsi="Times New Roman" w:eastAsia="黑体"/>
                <w:bCs/>
                <w:kern w:val="2"/>
                <w:szCs w:val="32"/>
              </w:rPr>
              <w:t xml:space="preserve"> 评价工作等级划分表</w:t>
            </w:r>
          </w:p>
          <w:tbl>
            <w:tblPr>
              <w:tblStyle w:val="30"/>
              <w:tblW w:w="9449" w:type="dxa"/>
              <w:jc w:val="center"/>
              <w:tblInd w:w="0" w:type="dxa"/>
              <w:tblLayout w:type="fixed"/>
              <w:tblCellMar>
                <w:top w:w="0" w:type="dxa"/>
                <w:left w:w="0" w:type="dxa"/>
                <w:bottom w:w="0" w:type="dxa"/>
                <w:right w:w="0" w:type="dxa"/>
              </w:tblCellMar>
            </w:tblPr>
            <w:tblGrid>
              <w:gridCol w:w="1769"/>
              <w:gridCol w:w="1667"/>
              <w:gridCol w:w="1920"/>
              <w:gridCol w:w="1920"/>
              <w:gridCol w:w="2173"/>
            </w:tblGrid>
            <w:tr>
              <w:tblPrEx>
                <w:tblLayout w:type="fixed"/>
                <w:tblCellMar>
                  <w:top w:w="0" w:type="dxa"/>
                  <w:left w:w="0" w:type="dxa"/>
                  <w:bottom w:w="0" w:type="dxa"/>
                  <w:right w:w="0" w:type="dxa"/>
                </w:tblCellMar>
              </w:tblPrEx>
              <w:trPr>
                <w:jc w:val="center"/>
              </w:trPr>
              <w:tc>
                <w:tcPr>
                  <w:tcW w:w="1769" w:type="dxa"/>
                  <w:tcBorders>
                    <w:top w:val="single" w:color="000000" w:sz="8" w:space="0"/>
                    <w:left w:val="single" w:color="000000" w:sz="8" w:space="0"/>
                    <w:bottom w:val="single" w:color="000000" w:sz="4" w:space="0"/>
                    <w:right w:val="single" w:color="000000" w:sz="4" w:space="0"/>
                  </w:tcBorders>
                  <w:vAlign w:val="center"/>
                </w:tcPr>
                <w:p>
                  <w:pPr>
                    <w:spacing w:line="0" w:lineRule="atLeast"/>
                    <w:jc w:val="center"/>
                    <w:outlineLvl w:val="1"/>
                    <w:rPr>
                      <w:rFonts w:ascii="Times New Roman" w:hAnsi="Times New Roman"/>
                      <w:bCs/>
                      <w:kern w:val="28"/>
                      <w:sz w:val="21"/>
                      <w:szCs w:val="32"/>
                    </w:rPr>
                  </w:pPr>
                  <w:r>
                    <w:rPr>
                      <w:rFonts w:ascii="Times New Roman" w:hAnsi="Times New Roman"/>
                      <w:bCs/>
                      <w:spacing w:val="7"/>
                      <w:kern w:val="28"/>
                      <w:sz w:val="21"/>
                      <w:szCs w:val="32"/>
                    </w:rPr>
                    <w:t>环</w:t>
                  </w:r>
                  <w:r>
                    <w:rPr>
                      <w:rFonts w:ascii="Times New Roman" w:hAnsi="Times New Roman"/>
                      <w:bCs/>
                      <w:kern w:val="28"/>
                      <w:sz w:val="21"/>
                      <w:szCs w:val="32"/>
                    </w:rPr>
                    <w:t>境风</w:t>
                  </w:r>
                  <w:r>
                    <w:rPr>
                      <w:rFonts w:ascii="Times New Roman" w:hAnsi="Times New Roman"/>
                      <w:bCs/>
                      <w:spacing w:val="7"/>
                      <w:kern w:val="28"/>
                      <w:sz w:val="21"/>
                      <w:szCs w:val="32"/>
                    </w:rPr>
                    <w:t>险</w:t>
                  </w:r>
                  <w:r>
                    <w:rPr>
                      <w:rFonts w:ascii="Times New Roman" w:hAnsi="Times New Roman"/>
                      <w:bCs/>
                      <w:kern w:val="28"/>
                      <w:sz w:val="21"/>
                      <w:szCs w:val="32"/>
                    </w:rPr>
                    <w:t>潜势</w:t>
                  </w:r>
                </w:p>
              </w:tc>
              <w:tc>
                <w:tcPr>
                  <w:tcW w:w="1667" w:type="dxa"/>
                  <w:tcBorders>
                    <w:top w:val="single" w:color="000000" w:sz="8" w:space="0"/>
                    <w:left w:val="single" w:color="000000" w:sz="4" w:space="0"/>
                    <w:bottom w:val="single" w:color="000000" w:sz="4" w:space="0"/>
                    <w:right w:val="single" w:color="000000" w:sz="4" w:space="0"/>
                  </w:tcBorders>
                  <w:vAlign w:val="center"/>
                </w:tcPr>
                <w:p>
                  <w:pPr>
                    <w:spacing w:line="0" w:lineRule="atLeast"/>
                    <w:jc w:val="center"/>
                    <w:outlineLvl w:val="1"/>
                    <w:rPr>
                      <w:rFonts w:ascii="Times New Roman" w:hAnsi="Times New Roman"/>
                      <w:bCs/>
                      <w:kern w:val="28"/>
                      <w:sz w:val="21"/>
                      <w:szCs w:val="32"/>
                    </w:rPr>
                  </w:pPr>
                  <w:r>
                    <w:rPr>
                      <w:rFonts w:ascii="Times New Roman" w:hAnsi="Times New Roman"/>
                      <w:bCs/>
                      <w:spacing w:val="7"/>
                      <w:kern w:val="28"/>
                      <w:sz w:val="21"/>
                      <w:szCs w:val="32"/>
                    </w:rPr>
                    <w:t>Ⅳ</w:t>
                  </w:r>
                  <w:r>
                    <w:rPr>
                      <w:rFonts w:ascii="Times New Roman" w:hAnsi="Times New Roman"/>
                      <w:bCs/>
                      <w:kern w:val="28"/>
                      <w:sz w:val="21"/>
                      <w:szCs w:val="32"/>
                    </w:rPr>
                    <w:t>、Ⅳ</w:t>
                  </w:r>
                  <w:r>
                    <w:rPr>
                      <w:rFonts w:ascii="Times New Roman" w:hAnsi="Times New Roman"/>
                      <w:bCs/>
                      <w:kern w:val="28"/>
                      <w:position w:val="8"/>
                      <w:sz w:val="21"/>
                      <w:szCs w:val="32"/>
                    </w:rPr>
                    <w:t>+</w:t>
                  </w:r>
                </w:p>
              </w:tc>
              <w:tc>
                <w:tcPr>
                  <w:tcW w:w="1920" w:type="dxa"/>
                  <w:tcBorders>
                    <w:top w:val="single" w:color="000000" w:sz="8" w:space="0"/>
                    <w:left w:val="single" w:color="000000" w:sz="4" w:space="0"/>
                    <w:bottom w:val="single" w:color="000000" w:sz="4" w:space="0"/>
                    <w:right w:val="single" w:color="000000" w:sz="4" w:space="0"/>
                  </w:tcBorders>
                  <w:vAlign w:val="center"/>
                </w:tcPr>
                <w:p>
                  <w:pPr>
                    <w:spacing w:line="0" w:lineRule="atLeast"/>
                    <w:jc w:val="center"/>
                    <w:outlineLvl w:val="1"/>
                    <w:rPr>
                      <w:rFonts w:ascii="Times New Roman" w:hAnsi="Times New Roman"/>
                      <w:bCs/>
                      <w:kern w:val="28"/>
                      <w:sz w:val="21"/>
                      <w:szCs w:val="32"/>
                    </w:rPr>
                  </w:pPr>
                  <w:r>
                    <w:rPr>
                      <w:rFonts w:ascii="Times New Roman" w:hAnsi="Times New Roman"/>
                      <w:bCs/>
                      <w:kern w:val="28"/>
                      <w:sz w:val="21"/>
                      <w:szCs w:val="32"/>
                    </w:rPr>
                    <w:t>Ⅲ</w:t>
                  </w:r>
                </w:p>
              </w:tc>
              <w:tc>
                <w:tcPr>
                  <w:tcW w:w="1920" w:type="dxa"/>
                  <w:tcBorders>
                    <w:top w:val="single" w:color="000000" w:sz="8" w:space="0"/>
                    <w:left w:val="single" w:color="000000" w:sz="4" w:space="0"/>
                    <w:bottom w:val="single" w:color="000000" w:sz="4" w:space="0"/>
                    <w:right w:val="single" w:color="000000" w:sz="4" w:space="0"/>
                  </w:tcBorders>
                  <w:vAlign w:val="center"/>
                </w:tcPr>
                <w:p>
                  <w:pPr>
                    <w:spacing w:line="0" w:lineRule="atLeast"/>
                    <w:jc w:val="center"/>
                    <w:outlineLvl w:val="1"/>
                    <w:rPr>
                      <w:rFonts w:ascii="Times New Roman" w:hAnsi="Times New Roman"/>
                      <w:bCs/>
                      <w:kern w:val="28"/>
                      <w:sz w:val="21"/>
                      <w:szCs w:val="32"/>
                    </w:rPr>
                  </w:pPr>
                  <w:r>
                    <w:rPr>
                      <w:rFonts w:ascii="Times New Roman" w:hAnsi="Times New Roman"/>
                      <w:bCs/>
                      <w:kern w:val="28"/>
                      <w:sz w:val="21"/>
                      <w:szCs w:val="32"/>
                    </w:rPr>
                    <w:t>Ⅱ</w:t>
                  </w:r>
                </w:p>
              </w:tc>
              <w:tc>
                <w:tcPr>
                  <w:tcW w:w="2173" w:type="dxa"/>
                  <w:tcBorders>
                    <w:top w:val="single" w:color="000000" w:sz="8" w:space="0"/>
                    <w:left w:val="single" w:color="000000" w:sz="4" w:space="0"/>
                    <w:bottom w:val="single" w:color="000000" w:sz="4" w:space="0"/>
                    <w:right w:val="single" w:color="000000" w:sz="8" w:space="0"/>
                  </w:tcBorders>
                  <w:vAlign w:val="center"/>
                </w:tcPr>
                <w:p>
                  <w:pPr>
                    <w:spacing w:line="0" w:lineRule="atLeast"/>
                    <w:jc w:val="center"/>
                    <w:outlineLvl w:val="1"/>
                    <w:rPr>
                      <w:rFonts w:ascii="Times New Roman" w:hAnsi="Times New Roman"/>
                      <w:bCs/>
                      <w:kern w:val="28"/>
                      <w:sz w:val="21"/>
                      <w:szCs w:val="32"/>
                    </w:rPr>
                  </w:pPr>
                  <w:r>
                    <w:rPr>
                      <w:rFonts w:ascii="Times New Roman" w:hAnsi="Times New Roman"/>
                      <w:bCs/>
                      <w:kern w:val="28"/>
                      <w:sz w:val="21"/>
                      <w:szCs w:val="32"/>
                    </w:rPr>
                    <w:t>Ⅰ</w:t>
                  </w:r>
                </w:p>
              </w:tc>
            </w:tr>
            <w:tr>
              <w:tblPrEx>
                <w:tblLayout w:type="fixed"/>
                <w:tblCellMar>
                  <w:top w:w="0" w:type="dxa"/>
                  <w:left w:w="0" w:type="dxa"/>
                  <w:bottom w:w="0" w:type="dxa"/>
                  <w:right w:w="0" w:type="dxa"/>
                </w:tblCellMar>
              </w:tblPrEx>
              <w:trPr>
                <w:trHeight w:val="56" w:hRule="atLeast"/>
                <w:jc w:val="center"/>
              </w:trPr>
              <w:tc>
                <w:tcPr>
                  <w:tcW w:w="1769" w:type="dxa"/>
                  <w:tcBorders>
                    <w:top w:val="single" w:color="000000" w:sz="4" w:space="0"/>
                    <w:left w:val="single" w:color="000000" w:sz="8" w:space="0"/>
                    <w:bottom w:val="single" w:color="000000" w:sz="4" w:space="0"/>
                    <w:right w:val="single" w:color="000000" w:sz="4" w:space="0"/>
                  </w:tcBorders>
                  <w:vAlign w:val="center"/>
                </w:tcPr>
                <w:p>
                  <w:pPr>
                    <w:spacing w:line="0" w:lineRule="atLeast"/>
                    <w:jc w:val="center"/>
                    <w:outlineLvl w:val="1"/>
                    <w:rPr>
                      <w:rFonts w:ascii="Times New Roman" w:hAnsi="Times New Roman"/>
                      <w:bCs/>
                      <w:kern w:val="28"/>
                      <w:sz w:val="21"/>
                      <w:szCs w:val="32"/>
                    </w:rPr>
                  </w:pPr>
                  <w:r>
                    <w:rPr>
                      <w:rFonts w:ascii="Times New Roman" w:hAnsi="Times New Roman"/>
                      <w:bCs/>
                      <w:spacing w:val="7"/>
                      <w:kern w:val="28"/>
                      <w:sz w:val="21"/>
                      <w:szCs w:val="32"/>
                    </w:rPr>
                    <w:t>评</w:t>
                  </w:r>
                  <w:r>
                    <w:rPr>
                      <w:rFonts w:ascii="Times New Roman" w:hAnsi="Times New Roman"/>
                      <w:bCs/>
                      <w:kern w:val="28"/>
                      <w:sz w:val="21"/>
                      <w:szCs w:val="32"/>
                    </w:rPr>
                    <w:t>价工</w:t>
                  </w:r>
                  <w:r>
                    <w:rPr>
                      <w:rFonts w:ascii="Times New Roman" w:hAnsi="Times New Roman"/>
                      <w:bCs/>
                      <w:spacing w:val="7"/>
                      <w:kern w:val="28"/>
                      <w:sz w:val="21"/>
                      <w:szCs w:val="32"/>
                    </w:rPr>
                    <w:t>作</w:t>
                  </w:r>
                  <w:r>
                    <w:rPr>
                      <w:rFonts w:ascii="Times New Roman" w:hAnsi="Times New Roman"/>
                      <w:bCs/>
                      <w:kern w:val="28"/>
                      <w:sz w:val="21"/>
                      <w:szCs w:val="32"/>
                    </w:rPr>
                    <w:t>等级</w:t>
                  </w:r>
                </w:p>
              </w:tc>
              <w:tc>
                <w:tcPr>
                  <w:tcW w:w="1667" w:type="dxa"/>
                  <w:tcBorders>
                    <w:top w:val="single" w:color="000000" w:sz="4" w:space="0"/>
                    <w:left w:val="single" w:color="000000" w:sz="4" w:space="0"/>
                    <w:bottom w:val="single" w:color="000000" w:sz="4" w:space="0"/>
                    <w:right w:val="single" w:color="000000" w:sz="4" w:space="0"/>
                  </w:tcBorders>
                  <w:vAlign w:val="center"/>
                </w:tcPr>
                <w:p>
                  <w:pPr>
                    <w:spacing w:line="0" w:lineRule="atLeast"/>
                    <w:jc w:val="center"/>
                    <w:outlineLvl w:val="1"/>
                    <w:rPr>
                      <w:rFonts w:ascii="Times New Roman" w:hAnsi="Times New Roman"/>
                      <w:bCs/>
                      <w:kern w:val="28"/>
                      <w:sz w:val="21"/>
                      <w:szCs w:val="32"/>
                    </w:rPr>
                  </w:pPr>
                  <w:r>
                    <w:rPr>
                      <w:rFonts w:ascii="Times New Roman" w:hAnsi="Times New Roman"/>
                      <w:bCs/>
                      <w:kern w:val="28"/>
                      <w:sz w:val="21"/>
                      <w:szCs w:val="32"/>
                    </w:rPr>
                    <w:t>一</w:t>
                  </w:r>
                </w:p>
              </w:tc>
              <w:tc>
                <w:tcPr>
                  <w:tcW w:w="1920" w:type="dxa"/>
                  <w:tcBorders>
                    <w:top w:val="single" w:color="000000" w:sz="4" w:space="0"/>
                    <w:left w:val="single" w:color="000000" w:sz="4" w:space="0"/>
                    <w:bottom w:val="single" w:color="000000" w:sz="4" w:space="0"/>
                    <w:right w:val="single" w:color="000000" w:sz="4" w:space="0"/>
                  </w:tcBorders>
                  <w:vAlign w:val="center"/>
                </w:tcPr>
                <w:p>
                  <w:pPr>
                    <w:spacing w:line="0" w:lineRule="atLeast"/>
                    <w:jc w:val="center"/>
                    <w:outlineLvl w:val="1"/>
                    <w:rPr>
                      <w:rFonts w:ascii="Times New Roman" w:hAnsi="Times New Roman"/>
                      <w:bCs/>
                      <w:kern w:val="28"/>
                      <w:sz w:val="21"/>
                      <w:szCs w:val="32"/>
                    </w:rPr>
                  </w:pPr>
                  <w:r>
                    <w:rPr>
                      <w:rFonts w:ascii="Times New Roman" w:hAnsi="Times New Roman"/>
                      <w:bCs/>
                      <w:kern w:val="28"/>
                      <w:sz w:val="21"/>
                      <w:szCs w:val="32"/>
                    </w:rPr>
                    <w:t>二</w:t>
                  </w:r>
                </w:p>
              </w:tc>
              <w:tc>
                <w:tcPr>
                  <w:tcW w:w="1920" w:type="dxa"/>
                  <w:tcBorders>
                    <w:top w:val="single" w:color="000000" w:sz="4" w:space="0"/>
                    <w:left w:val="single" w:color="000000" w:sz="4" w:space="0"/>
                    <w:bottom w:val="single" w:color="000000" w:sz="4" w:space="0"/>
                    <w:right w:val="single" w:color="000000" w:sz="4" w:space="0"/>
                  </w:tcBorders>
                  <w:vAlign w:val="center"/>
                </w:tcPr>
                <w:p>
                  <w:pPr>
                    <w:spacing w:line="0" w:lineRule="atLeast"/>
                    <w:jc w:val="center"/>
                    <w:outlineLvl w:val="1"/>
                    <w:rPr>
                      <w:rFonts w:ascii="Times New Roman" w:hAnsi="Times New Roman"/>
                      <w:bCs/>
                      <w:kern w:val="28"/>
                      <w:sz w:val="21"/>
                      <w:szCs w:val="32"/>
                    </w:rPr>
                  </w:pPr>
                  <w:r>
                    <w:rPr>
                      <w:rFonts w:ascii="Times New Roman" w:hAnsi="Times New Roman"/>
                      <w:bCs/>
                      <w:kern w:val="28"/>
                      <w:sz w:val="21"/>
                      <w:szCs w:val="32"/>
                    </w:rPr>
                    <w:t>三</w:t>
                  </w:r>
                </w:p>
              </w:tc>
              <w:tc>
                <w:tcPr>
                  <w:tcW w:w="2173" w:type="dxa"/>
                  <w:tcBorders>
                    <w:top w:val="single" w:color="000000" w:sz="4" w:space="0"/>
                    <w:left w:val="single" w:color="000000" w:sz="4" w:space="0"/>
                    <w:bottom w:val="single" w:color="000000" w:sz="4" w:space="0"/>
                    <w:right w:val="single" w:color="000000" w:sz="8" w:space="0"/>
                  </w:tcBorders>
                  <w:vAlign w:val="center"/>
                </w:tcPr>
                <w:p>
                  <w:pPr>
                    <w:spacing w:line="0" w:lineRule="atLeast"/>
                    <w:jc w:val="center"/>
                    <w:outlineLvl w:val="1"/>
                    <w:rPr>
                      <w:rFonts w:ascii="Times New Roman" w:hAnsi="Times New Roman"/>
                      <w:bCs/>
                      <w:kern w:val="28"/>
                      <w:sz w:val="21"/>
                      <w:szCs w:val="32"/>
                    </w:rPr>
                  </w:pPr>
                  <w:r>
                    <w:rPr>
                      <w:rFonts w:ascii="Times New Roman" w:hAnsi="Times New Roman"/>
                      <w:bCs/>
                      <w:spacing w:val="7"/>
                      <w:kern w:val="28"/>
                      <w:sz w:val="21"/>
                      <w:szCs w:val="32"/>
                    </w:rPr>
                    <w:t>简</w:t>
                  </w:r>
                  <w:r>
                    <w:rPr>
                      <w:rFonts w:ascii="Times New Roman" w:hAnsi="Times New Roman"/>
                      <w:bCs/>
                      <w:kern w:val="28"/>
                      <w:sz w:val="21"/>
                      <w:szCs w:val="32"/>
                    </w:rPr>
                    <w:t>单分析</w:t>
                  </w:r>
                  <w:r>
                    <w:rPr>
                      <w:rFonts w:ascii="Times New Roman" w:hAnsi="Times New Roman"/>
                      <w:bCs/>
                      <w:spacing w:val="-36"/>
                      <w:kern w:val="28"/>
                      <w:sz w:val="21"/>
                      <w:szCs w:val="32"/>
                    </w:rPr>
                    <w:t xml:space="preserve"> </w:t>
                  </w:r>
                  <w:r>
                    <w:rPr>
                      <w:rFonts w:ascii="Times New Roman" w:hAnsi="Times New Roman"/>
                      <w:bCs/>
                      <w:kern w:val="28"/>
                      <w:position w:val="8"/>
                      <w:sz w:val="21"/>
                      <w:szCs w:val="32"/>
                    </w:rPr>
                    <w:t>a</w:t>
                  </w:r>
                </w:p>
              </w:tc>
            </w:tr>
            <w:tr>
              <w:tblPrEx>
                <w:tblLayout w:type="fixed"/>
                <w:tblCellMar>
                  <w:top w:w="0" w:type="dxa"/>
                  <w:left w:w="0" w:type="dxa"/>
                  <w:bottom w:w="0" w:type="dxa"/>
                  <w:right w:w="0" w:type="dxa"/>
                </w:tblCellMar>
              </w:tblPrEx>
              <w:trPr>
                <w:jc w:val="center"/>
              </w:trPr>
              <w:tc>
                <w:tcPr>
                  <w:tcW w:w="9449" w:type="dxa"/>
                  <w:gridSpan w:val="5"/>
                  <w:tcBorders>
                    <w:top w:val="single" w:color="000000" w:sz="4" w:space="0"/>
                    <w:left w:val="single" w:color="000000" w:sz="8" w:space="0"/>
                    <w:bottom w:val="single" w:color="000000" w:sz="8" w:space="0"/>
                    <w:right w:val="single" w:color="000000" w:sz="8" w:space="0"/>
                  </w:tcBorders>
                  <w:vAlign w:val="center"/>
                </w:tcPr>
                <w:p>
                  <w:pPr>
                    <w:spacing w:line="0" w:lineRule="atLeast"/>
                    <w:outlineLvl w:val="1"/>
                    <w:rPr>
                      <w:rFonts w:ascii="Times New Roman" w:hAnsi="Times New Roman"/>
                      <w:bCs/>
                      <w:kern w:val="28"/>
                      <w:sz w:val="21"/>
                      <w:szCs w:val="32"/>
                    </w:rPr>
                  </w:pPr>
                  <w:r>
                    <w:rPr>
                      <w:rFonts w:ascii="Times New Roman" w:hAnsi="Times New Roman"/>
                      <w:bCs/>
                      <w:kern w:val="28"/>
                      <w:position w:val="8"/>
                      <w:sz w:val="21"/>
                      <w:szCs w:val="32"/>
                    </w:rPr>
                    <w:t>a</w:t>
                  </w:r>
                  <w:r>
                    <w:rPr>
                      <w:rFonts w:ascii="Times New Roman" w:hAnsi="Times New Roman"/>
                      <w:bCs/>
                      <w:spacing w:val="1"/>
                      <w:kern w:val="28"/>
                      <w:sz w:val="21"/>
                      <w:szCs w:val="32"/>
                    </w:rPr>
                    <w:t>是</w:t>
                  </w:r>
                  <w:r>
                    <w:rPr>
                      <w:rFonts w:ascii="Times New Roman" w:hAnsi="Times New Roman"/>
                      <w:bCs/>
                      <w:spacing w:val="2"/>
                      <w:kern w:val="28"/>
                      <w:sz w:val="21"/>
                      <w:szCs w:val="32"/>
                    </w:rPr>
                    <w:t>相</w:t>
                  </w:r>
                  <w:r>
                    <w:rPr>
                      <w:rFonts w:ascii="Times New Roman" w:hAnsi="Times New Roman"/>
                      <w:bCs/>
                      <w:spacing w:val="1"/>
                      <w:kern w:val="28"/>
                      <w:sz w:val="21"/>
                      <w:szCs w:val="32"/>
                    </w:rPr>
                    <w:t>对于</w:t>
                  </w:r>
                  <w:r>
                    <w:rPr>
                      <w:rFonts w:ascii="Times New Roman" w:hAnsi="Times New Roman"/>
                      <w:bCs/>
                      <w:spacing w:val="2"/>
                      <w:kern w:val="28"/>
                      <w:sz w:val="21"/>
                      <w:szCs w:val="32"/>
                    </w:rPr>
                    <w:t>详</w:t>
                  </w:r>
                  <w:r>
                    <w:rPr>
                      <w:rFonts w:ascii="Times New Roman" w:hAnsi="Times New Roman"/>
                      <w:bCs/>
                      <w:spacing w:val="1"/>
                      <w:kern w:val="28"/>
                      <w:sz w:val="21"/>
                      <w:szCs w:val="32"/>
                    </w:rPr>
                    <w:t>细评价</w:t>
                  </w:r>
                  <w:r>
                    <w:rPr>
                      <w:rFonts w:ascii="Times New Roman" w:hAnsi="Times New Roman"/>
                      <w:bCs/>
                      <w:spacing w:val="2"/>
                      <w:kern w:val="28"/>
                      <w:sz w:val="21"/>
                      <w:szCs w:val="32"/>
                    </w:rPr>
                    <w:t>工</w:t>
                  </w:r>
                  <w:r>
                    <w:rPr>
                      <w:rFonts w:ascii="Times New Roman" w:hAnsi="Times New Roman"/>
                      <w:bCs/>
                      <w:spacing w:val="1"/>
                      <w:kern w:val="28"/>
                      <w:sz w:val="21"/>
                      <w:szCs w:val="32"/>
                    </w:rPr>
                    <w:t>作</w:t>
                  </w:r>
                  <w:r>
                    <w:rPr>
                      <w:rFonts w:ascii="Times New Roman" w:hAnsi="Times New Roman"/>
                      <w:bCs/>
                      <w:spacing w:val="2"/>
                      <w:kern w:val="28"/>
                      <w:sz w:val="21"/>
                      <w:szCs w:val="32"/>
                    </w:rPr>
                    <w:t>内</w:t>
                  </w:r>
                  <w:r>
                    <w:rPr>
                      <w:rFonts w:ascii="Times New Roman" w:hAnsi="Times New Roman"/>
                      <w:bCs/>
                      <w:spacing w:val="1"/>
                      <w:kern w:val="28"/>
                      <w:sz w:val="21"/>
                      <w:szCs w:val="32"/>
                    </w:rPr>
                    <w:t>容而言</w:t>
                  </w:r>
                  <w:r>
                    <w:rPr>
                      <w:rFonts w:ascii="Times New Roman" w:hAnsi="Times New Roman"/>
                      <w:bCs/>
                      <w:spacing w:val="2"/>
                      <w:kern w:val="28"/>
                      <w:sz w:val="21"/>
                      <w:szCs w:val="32"/>
                    </w:rPr>
                    <w:t>，</w:t>
                  </w:r>
                  <w:r>
                    <w:rPr>
                      <w:rFonts w:ascii="Times New Roman" w:hAnsi="Times New Roman"/>
                      <w:bCs/>
                      <w:spacing w:val="1"/>
                      <w:kern w:val="28"/>
                      <w:sz w:val="21"/>
                      <w:szCs w:val="32"/>
                    </w:rPr>
                    <w:t>在</w:t>
                  </w:r>
                  <w:r>
                    <w:rPr>
                      <w:rFonts w:ascii="Times New Roman" w:hAnsi="Times New Roman"/>
                      <w:bCs/>
                      <w:spacing w:val="2"/>
                      <w:kern w:val="28"/>
                      <w:sz w:val="21"/>
                      <w:szCs w:val="32"/>
                    </w:rPr>
                    <w:t>描</w:t>
                  </w:r>
                  <w:r>
                    <w:rPr>
                      <w:rFonts w:ascii="Times New Roman" w:hAnsi="Times New Roman"/>
                      <w:bCs/>
                      <w:spacing w:val="1"/>
                      <w:kern w:val="28"/>
                      <w:sz w:val="21"/>
                      <w:szCs w:val="32"/>
                    </w:rPr>
                    <w:t>述危险</w:t>
                  </w:r>
                  <w:r>
                    <w:rPr>
                      <w:rFonts w:ascii="Times New Roman" w:hAnsi="Times New Roman"/>
                      <w:bCs/>
                      <w:spacing w:val="2"/>
                      <w:kern w:val="28"/>
                      <w:sz w:val="21"/>
                      <w:szCs w:val="32"/>
                    </w:rPr>
                    <w:t>物</w:t>
                  </w:r>
                  <w:r>
                    <w:rPr>
                      <w:rFonts w:ascii="Times New Roman" w:hAnsi="Times New Roman"/>
                      <w:bCs/>
                      <w:spacing w:val="1"/>
                      <w:kern w:val="28"/>
                      <w:sz w:val="21"/>
                      <w:szCs w:val="32"/>
                    </w:rPr>
                    <w:t>质</w:t>
                  </w:r>
                  <w:r>
                    <w:rPr>
                      <w:rFonts w:ascii="Times New Roman" w:hAnsi="Times New Roman"/>
                      <w:bCs/>
                      <w:spacing w:val="2"/>
                      <w:kern w:val="28"/>
                      <w:sz w:val="21"/>
                      <w:szCs w:val="32"/>
                    </w:rPr>
                    <w:t>、</w:t>
                  </w:r>
                  <w:r>
                    <w:rPr>
                      <w:rFonts w:ascii="Times New Roman" w:hAnsi="Times New Roman"/>
                      <w:bCs/>
                      <w:spacing w:val="1"/>
                      <w:kern w:val="28"/>
                      <w:sz w:val="21"/>
                      <w:szCs w:val="32"/>
                    </w:rPr>
                    <w:t>环境影</w:t>
                  </w:r>
                  <w:r>
                    <w:rPr>
                      <w:rFonts w:ascii="Times New Roman" w:hAnsi="Times New Roman"/>
                      <w:bCs/>
                      <w:spacing w:val="2"/>
                      <w:kern w:val="28"/>
                      <w:sz w:val="21"/>
                      <w:szCs w:val="32"/>
                    </w:rPr>
                    <w:t>响</w:t>
                  </w:r>
                  <w:r>
                    <w:rPr>
                      <w:rFonts w:ascii="Times New Roman" w:hAnsi="Times New Roman"/>
                      <w:bCs/>
                      <w:spacing w:val="1"/>
                      <w:kern w:val="28"/>
                      <w:sz w:val="21"/>
                      <w:szCs w:val="32"/>
                    </w:rPr>
                    <w:t>途</w:t>
                  </w:r>
                  <w:r>
                    <w:rPr>
                      <w:rFonts w:ascii="Times New Roman" w:hAnsi="Times New Roman"/>
                      <w:bCs/>
                      <w:spacing w:val="2"/>
                      <w:kern w:val="28"/>
                      <w:sz w:val="21"/>
                      <w:szCs w:val="32"/>
                    </w:rPr>
                    <w:t>径</w:t>
                  </w:r>
                  <w:r>
                    <w:rPr>
                      <w:rFonts w:ascii="Times New Roman" w:hAnsi="Times New Roman"/>
                      <w:bCs/>
                      <w:spacing w:val="1"/>
                      <w:kern w:val="28"/>
                      <w:sz w:val="21"/>
                      <w:szCs w:val="32"/>
                    </w:rPr>
                    <w:t>、环境</w:t>
                  </w:r>
                  <w:r>
                    <w:rPr>
                      <w:rFonts w:ascii="Times New Roman" w:hAnsi="Times New Roman"/>
                      <w:bCs/>
                      <w:spacing w:val="2"/>
                      <w:kern w:val="28"/>
                      <w:sz w:val="21"/>
                      <w:szCs w:val="32"/>
                    </w:rPr>
                    <w:t>危</w:t>
                  </w:r>
                  <w:r>
                    <w:rPr>
                      <w:rFonts w:ascii="Times New Roman" w:hAnsi="Times New Roman"/>
                      <w:bCs/>
                      <w:spacing w:val="1"/>
                      <w:kern w:val="28"/>
                      <w:sz w:val="21"/>
                      <w:szCs w:val="32"/>
                    </w:rPr>
                    <w:t>害</w:t>
                  </w:r>
                  <w:r>
                    <w:rPr>
                      <w:rFonts w:ascii="Times New Roman" w:hAnsi="Times New Roman"/>
                      <w:bCs/>
                      <w:spacing w:val="2"/>
                      <w:kern w:val="28"/>
                      <w:sz w:val="21"/>
                      <w:szCs w:val="32"/>
                    </w:rPr>
                    <w:t>后</w:t>
                  </w:r>
                  <w:r>
                    <w:rPr>
                      <w:rFonts w:ascii="Times New Roman" w:hAnsi="Times New Roman"/>
                      <w:bCs/>
                      <w:spacing w:val="1"/>
                      <w:kern w:val="28"/>
                      <w:sz w:val="21"/>
                      <w:szCs w:val="32"/>
                    </w:rPr>
                    <w:t>果、风</w:t>
                  </w:r>
                  <w:r>
                    <w:rPr>
                      <w:rFonts w:ascii="Times New Roman" w:hAnsi="Times New Roman"/>
                      <w:bCs/>
                      <w:spacing w:val="2"/>
                      <w:kern w:val="28"/>
                      <w:sz w:val="21"/>
                      <w:szCs w:val="32"/>
                    </w:rPr>
                    <w:t>险</w:t>
                  </w:r>
                  <w:r>
                    <w:rPr>
                      <w:rFonts w:ascii="Times New Roman" w:hAnsi="Times New Roman"/>
                      <w:bCs/>
                      <w:spacing w:val="1"/>
                      <w:kern w:val="28"/>
                      <w:sz w:val="21"/>
                      <w:szCs w:val="32"/>
                    </w:rPr>
                    <w:t>防</w:t>
                  </w:r>
                  <w:r>
                    <w:rPr>
                      <w:rFonts w:ascii="Times New Roman" w:hAnsi="Times New Roman"/>
                      <w:bCs/>
                      <w:spacing w:val="2"/>
                      <w:kern w:val="28"/>
                      <w:sz w:val="21"/>
                      <w:szCs w:val="32"/>
                    </w:rPr>
                    <w:t>范</w:t>
                  </w:r>
                  <w:r>
                    <w:rPr>
                      <w:rFonts w:ascii="Times New Roman" w:hAnsi="Times New Roman"/>
                      <w:bCs/>
                      <w:spacing w:val="1"/>
                      <w:kern w:val="28"/>
                      <w:sz w:val="21"/>
                      <w:szCs w:val="32"/>
                    </w:rPr>
                    <w:t>措施等</w:t>
                  </w:r>
                  <w:r>
                    <w:rPr>
                      <w:rFonts w:ascii="Times New Roman" w:hAnsi="Times New Roman"/>
                      <w:bCs/>
                      <w:spacing w:val="2"/>
                      <w:kern w:val="28"/>
                      <w:sz w:val="21"/>
                      <w:szCs w:val="32"/>
                    </w:rPr>
                    <w:t>方</w:t>
                  </w:r>
                  <w:r>
                    <w:rPr>
                      <w:rFonts w:ascii="Times New Roman" w:hAnsi="Times New Roman"/>
                      <w:bCs/>
                      <w:spacing w:val="1"/>
                      <w:kern w:val="28"/>
                      <w:sz w:val="21"/>
                      <w:szCs w:val="32"/>
                    </w:rPr>
                    <w:t>面给</w:t>
                  </w:r>
                  <w:r>
                    <w:rPr>
                      <w:rFonts w:ascii="Times New Roman" w:hAnsi="Times New Roman"/>
                      <w:bCs/>
                      <w:kern w:val="28"/>
                      <w:sz w:val="21"/>
                      <w:szCs w:val="32"/>
                    </w:rPr>
                    <w:t>出定性的说明。见附录</w:t>
                  </w:r>
                  <w:r>
                    <w:rPr>
                      <w:rFonts w:ascii="Times New Roman" w:hAnsi="Times New Roman"/>
                      <w:bCs/>
                      <w:spacing w:val="-46"/>
                      <w:kern w:val="28"/>
                      <w:sz w:val="21"/>
                      <w:szCs w:val="32"/>
                    </w:rPr>
                    <w:t xml:space="preserve"> </w:t>
                  </w:r>
                  <w:r>
                    <w:rPr>
                      <w:rFonts w:ascii="Times New Roman" w:hAnsi="Times New Roman"/>
                      <w:bCs/>
                      <w:spacing w:val="-1"/>
                      <w:kern w:val="28"/>
                      <w:sz w:val="21"/>
                      <w:szCs w:val="32"/>
                    </w:rPr>
                    <w:t>A</w:t>
                  </w:r>
                  <w:r>
                    <w:rPr>
                      <w:rFonts w:ascii="Times New Roman" w:hAnsi="Times New Roman"/>
                      <w:bCs/>
                      <w:kern w:val="28"/>
                      <w:sz w:val="21"/>
                      <w:szCs w:val="32"/>
                    </w:rPr>
                    <w:t>。</w:t>
                  </w:r>
                </w:p>
              </w:tc>
            </w:tr>
          </w:tbl>
          <w:p>
            <w:pPr>
              <w:spacing w:line="360" w:lineRule="auto"/>
              <w:ind w:firstLine="480" w:firstLineChars="200"/>
              <w:rPr>
                <w:rFonts w:ascii="Times New Roman" w:hAnsi="Times New Roman"/>
                <w:color w:val="000000"/>
                <w:kern w:val="0"/>
                <w:szCs w:val="24"/>
              </w:rPr>
            </w:pPr>
            <w:r>
              <w:rPr>
                <w:rFonts w:ascii="Times New Roman" w:hAnsi="Times New Roman"/>
                <w:color w:val="000000"/>
                <w:kern w:val="0"/>
                <w:szCs w:val="24"/>
              </w:rPr>
              <w:t>根据导则要求，本次环境风险评价等级确定为简单分析。</w:t>
            </w:r>
          </w:p>
          <w:p>
            <w:pPr>
              <w:tabs>
                <w:tab w:val="left" w:pos="6807"/>
              </w:tabs>
              <w:adjustRightInd w:val="0"/>
              <w:snapToGrid w:val="0"/>
              <w:spacing w:line="360" w:lineRule="auto"/>
              <w:ind w:firstLine="480" w:firstLineChars="200"/>
              <w:rPr>
                <w:rFonts w:ascii="Times New Roman" w:hAnsi="Times New Roman"/>
              </w:rPr>
            </w:pPr>
            <w:r>
              <w:rPr>
                <w:rFonts w:ascii="Times New Roman" w:hAnsi="Times New Roman"/>
              </w:rPr>
              <w:t>（3）环境风险分析</w:t>
            </w:r>
          </w:p>
          <w:p>
            <w:pPr>
              <w:tabs>
                <w:tab w:val="left" w:pos="6807"/>
              </w:tabs>
              <w:adjustRightInd w:val="0"/>
              <w:snapToGrid w:val="0"/>
              <w:spacing w:line="360" w:lineRule="auto"/>
              <w:ind w:firstLine="480" w:firstLineChars="200"/>
              <w:rPr>
                <w:rFonts w:ascii="Times New Roman" w:hAnsi="Times New Roman"/>
              </w:rPr>
            </w:pPr>
            <w:r>
              <w:rPr>
                <w:rFonts w:ascii="Times New Roman" w:hAnsi="Times New Roman"/>
              </w:rPr>
              <w:t>项目营运期前在的环境风险问题有：</w:t>
            </w:r>
          </w:p>
          <w:p>
            <w:pPr>
              <w:tabs>
                <w:tab w:val="left" w:pos="6807"/>
              </w:tabs>
              <w:adjustRightInd w:val="0"/>
              <w:snapToGrid w:val="0"/>
              <w:spacing w:line="360" w:lineRule="auto"/>
              <w:ind w:firstLine="480" w:firstLineChars="200"/>
              <w:rPr>
                <w:rFonts w:ascii="Times New Roman" w:hAnsi="Times New Roman"/>
              </w:rPr>
            </w:pPr>
            <w:r>
              <w:rPr>
                <w:rFonts w:hint="eastAsia"/>
              </w:rPr>
              <w:t>①</w:t>
            </w:r>
            <w:r>
              <w:rPr>
                <w:rFonts w:ascii="Times New Roman" w:hAnsi="Times New Roman"/>
              </w:rPr>
              <w:t>电路短路、电线老化等发生火灾风险；</w:t>
            </w:r>
          </w:p>
          <w:p>
            <w:pPr>
              <w:tabs>
                <w:tab w:val="left" w:pos="6807"/>
              </w:tabs>
              <w:adjustRightInd w:val="0"/>
              <w:snapToGrid w:val="0"/>
              <w:spacing w:line="360" w:lineRule="auto"/>
              <w:ind w:firstLine="480" w:firstLineChars="200"/>
              <w:rPr>
                <w:rFonts w:ascii="Times New Roman" w:hAnsi="Times New Roman"/>
              </w:rPr>
            </w:pPr>
            <w:r>
              <w:rPr>
                <w:rFonts w:hint="eastAsia"/>
              </w:rPr>
              <w:t>②</w:t>
            </w:r>
            <w:r>
              <w:rPr>
                <w:rFonts w:hint="eastAsia" w:ascii="Times New Roman" w:hAnsi="Times New Roman"/>
              </w:rPr>
              <w:t>废气处理设施火灾风险；</w:t>
            </w:r>
          </w:p>
          <w:p>
            <w:pPr>
              <w:tabs>
                <w:tab w:val="left" w:pos="6807"/>
              </w:tabs>
              <w:adjustRightInd w:val="0"/>
              <w:snapToGrid w:val="0"/>
              <w:spacing w:line="360" w:lineRule="auto"/>
              <w:ind w:firstLine="480" w:firstLineChars="200"/>
              <w:rPr>
                <w:rFonts w:ascii="Times New Roman" w:hAnsi="Times New Roman"/>
              </w:rPr>
            </w:pPr>
            <w:r>
              <w:rPr>
                <w:rFonts w:hint="eastAsia"/>
              </w:rPr>
              <w:t>③</w:t>
            </w:r>
            <w:r>
              <w:rPr>
                <w:rFonts w:hint="eastAsia" w:ascii="Times New Roman" w:hAnsi="Times New Roman"/>
              </w:rPr>
              <w:t>油墨印刷等</w:t>
            </w:r>
            <w:r>
              <w:rPr>
                <w:rFonts w:ascii="Times New Roman" w:hAnsi="Times New Roman"/>
              </w:rPr>
              <w:t>运行使用过程中管理不当，引发泄漏事故</w:t>
            </w:r>
            <w:r>
              <w:rPr>
                <w:rFonts w:hint="eastAsia" w:ascii="Times New Roman" w:hAnsi="Times New Roman"/>
              </w:rPr>
              <w:t>；</w:t>
            </w:r>
          </w:p>
          <w:p>
            <w:pPr>
              <w:tabs>
                <w:tab w:val="left" w:pos="6807"/>
              </w:tabs>
              <w:adjustRightInd w:val="0"/>
              <w:snapToGrid w:val="0"/>
              <w:spacing w:line="360" w:lineRule="auto"/>
              <w:ind w:firstLine="480" w:firstLineChars="200"/>
              <w:rPr>
                <w:rFonts w:ascii="Times New Roman" w:hAnsi="Times New Roman"/>
              </w:rPr>
            </w:pPr>
            <w:r>
              <w:rPr>
                <w:rFonts w:hint="eastAsia" w:ascii="Times New Roman" w:hAnsi="Times New Roman"/>
              </w:rPr>
              <w:t>④设备管理不当，造成事故性排放，污染周围环境空气；</w:t>
            </w:r>
          </w:p>
          <w:p>
            <w:pPr>
              <w:tabs>
                <w:tab w:val="left" w:pos="6807"/>
              </w:tabs>
              <w:adjustRightInd w:val="0"/>
              <w:snapToGrid w:val="0"/>
              <w:spacing w:line="360" w:lineRule="auto"/>
              <w:ind w:firstLine="480" w:firstLineChars="200"/>
              <w:rPr>
                <w:rFonts w:ascii="Times New Roman" w:hAnsi="Times New Roman"/>
              </w:rPr>
            </w:pPr>
            <w:r>
              <w:rPr>
                <w:rFonts w:hint="eastAsia" w:ascii="Times New Roman" w:hAnsi="Times New Roman"/>
              </w:rPr>
              <w:t>⑤</w:t>
            </w:r>
            <w:r>
              <w:rPr>
                <w:rFonts w:ascii="Times New Roman" w:hAnsi="Times New Roman"/>
              </w:rPr>
              <w:t>化粪池、排污管道损坏导致项目废水外漏，污水渗漏对周围地表水、地下水的污染风险；</w:t>
            </w:r>
          </w:p>
          <w:p>
            <w:pPr>
              <w:tabs>
                <w:tab w:val="left" w:pos="6807"/>
              </w:tabs>
              <w:adjustRightInd w:val="0"/>
              <w:snapToGrid w:val="0"/>
              <w:spacing w:line="360" w:lineRule="auto"/>
              <w:ind w:firstLine="480" w:firstLineChars="200"/>
              <w:rPr>
                <w:rFonts w:ascii="Times New Roman" w:hAnsi="Times New Roman"/>
              </w:rPr>
            </w:pPr>
            <w:r>
              <w:rPr>
                <w:rFonts w:hint="eastAsia" w:ascii="Times New Roman" w:hAnsi="Times New Roman"/>
              </w:rPr>
              <w:t>⑥</w:t>
            </w:r>
            <w:r>
              <w:rPr>
                <w:rFonts w:ascii="Times New Roman" w:hAnsi="Times New Roman"/>
              </w:rPr>
              <w:t>项目运行过程中产生危险废物，若不按国家有关危险废物的处置方式进行管理，会对项目区周围地表水、地下水、土壤等造成严重污染。</w:t>
            </w:r>
          </w:p>
          <w:p>
            <w:pPr>
              <w:tabs>
                <w:tab w:val="left" w:pos="6807"/>
              </w:tabs>
              <w:adjustRightInd w:val="0"/>
              <w:snapToGrid w:val="0"/>
              <w:spacing w:line="360" w:lineRule="auto"/>
              <w:ind w:firstLine="480" w:firstLineChars="200"/>
              <w:rPr>
                <w:rFonts w:ascii="Times New Roman" w:hAnsi="Times New Roman"/>
              </w:rPr>
            </w:pPr>
            <w:r>
              <w:rPr>
                <w:rFonts w:ascii="Times New Roman" w:hAnsi="Times New Roman"/>
              </w:rPr>
              <w:t xml:space="preserve">针对项目环境风险特征，拟采取以下防范措施： </w:t>
            </w:r>
          </w:p>
          <w:p>
            <w:pPr>
              <w:tabs>
                <w:tab w:val="left" w:pos="6807"/>
              </w:tabs>
              <w:adjustRightInd w:val="0"/>
              <w:snapToGrid w:val="0"/>
              <w:spacing w:line="360" w:lineRule="auto"/>
              <w:ind w:firstLine="480" w:firstLineChars="200"/>
            </w:pPr>
            <w:r>
              <w:rPr>
                <w:rFonts w:hint="eastAsia"/>
              </w:rPr>
              <w:t>①</w:t>
            </w:r>
            <w:r>
              <w:t>严格进行物料管理，防止发生泄漏；</w:t>
            </w:r>
          </w:p>
          <w:p>
            <w:pPr>
              <w:tabs>
                <w:tab w:val="left" w:pos="6807"/>
              </w:tabs>
              <w:adjustRightInd w:val="0"/>
              <w:snapToGrid w:val="0"/>
              <w:spacing w:line="360" w:lineRule="auto"/>
              <w:ind w:firstLine="480" w:firstLineChars="200"/>
            </w:pPr>
            <w:r>
              <w:rPr>
                <w:rFonts w:hint="eastAsia"/>
              </w:rPr>
              <w:t>②</w:t>
            </w:r>
            <w:r>
              <w:t>加强废气治理设备的运行管理、维护，保证正常运行，杜绝事故性排放</w:t>
            </w:r>
            <w:r>
              <w:rPr>
                <w:rFonts w:hint="eastAsia"/>
              </w:rPr>
              <w:t>及火灾风险事故的发生</w:t>
            </w:r>
            <w:r>
              <w:t>；</w:t>
            </w:r>
          </w:p>
          <w:p>
            <w:pPr>
              <w:tabs>
                <w:tab w:val="left" w:pos="6807"/>
              </w:tabs>
              <w:adjustRightInd w:val="0"/>
              <w:snapToGrid w:val="0"/>
              <w:spacing w:line="360" w:lineRule="auto"/>
              <w:ind w:firstLine="480" w:firstLineChars="200"/>
            </w:pPr>
            <w:r>
              <w:rPr>
                <w:rFonts w:hint="eastAsia"/>
              </w:rPr>
              <w:t>③</w:t>
            </w:r>
            <w:r>
              <w:t>严格管理危险废物，定期检查危废仓库状况，防止对周围环境造成污染；</w:t>
            </w:r>
          </w:p>
          <w:p>
            <w:pPr>
              <w:tabs>
                <w:tab w:val="left" w:pos="6807"/>
              </w:tabs>
              <w:adjustRightInd w:val="0"/>
              <w:snapToGrid w:val="0"/>
              <w:spacing w:line="360" w:lineRule="auto"/>
              <w:ind w:firstLine="480" w:firstLineChars="200"/>
            </w:pPr>
            <w:r>
              <w:rPr>
                <w:rFonts w:hint="eastAsia"/>
              </w:rPr>
              <w:t>④定期检修厂内电路，维护用电安全；</w:t>
            </w:r>
          </w:p>
          <w:p>
            <w:pPr>
              <w:tabs>
                <w:tab w:val="left" w:pos="6807"/>
              </w:tabs>
              <w:adjustRightInd w:val="0"/>
              <w:snapToGrid w:val="0"/>
              <w:spacing w:line="360" w:lineRule="auto"/>
              <w:ind w:firstLine="480" w:firstLineChars="200"/>
            </w:pPr>
            <w:r>
              <w:rPr>
                <w:rFonts w:hint="eastAsia"/>
              </w:rPr>
              <w:t>⑤定期检查化粪池及排污管道，防止发生泄漏污染周围地表水、地下水；</w:t>
            </w:r>
          </w:p>
          <w:p>
            <w:pPr>
              <w:tabs>
                <w:tab w:val="left" w:pos="6807"/>
              </w:tabs>
              <w:adjustRightInd w:val="0"/>
              <w:snapToGrid w:val="0"/>
              <w:spacing w:line="360" w:lineRule="auto"/>
              <w:ind w:firstLine="480" w:firstLineChars="200"/>
            </w:pPr>
            <w:r>
              <w:rPr>
                <w:rFonts w:hint="eastAsia"/>
              </w:rPr>
              <w:t>⑥</w:t>
            </w:r>
            <w:r>
              <w:t>严格落实噪声控制措施，并加强日常管理，确保主要噪声设施夜间不运行，杜绝噪声扰民。在采取上述安全防范措施后，项目环境风险水平是可以接受的。项目环境风险评价自查表</w:t>
            </w:r>
            <w:r>
              <w:rPr>
                <w:rFonts w:hint="eastAsia"/>
              </w:rPr>
              <w:t>见</w:t>
            </w:r>
            <w:r>
              <w:t>表</w:t>
            </w:r>
            <w:r>
              <w:rPr>
                <w:rFonts w:hint="eastAsia"/>
              </w:rPr>
              <w:t>39</w:t>
            </w:r>
            <w:r>
              <w:t>。</w:t>
            </w:r>
          </w:p>
          <w:p>
            <w:pPr>
              <w:widowControl/>
              <w:jc w:val="center"/>
              <w:rPr>
                <w:rFonts w:ascii="Times New Roman" w:hAnsi="Times New Roman" w:eastAsia="黑体"/>
                <w:bCs/>
                <w:kern w:val="2"/>
                <w:szCs w:val="32"/>
              </w:rPr>
            </w:pPr>
            <w:r>
              <w:rPr>
                <w:rFonts w:ascii="Times New Roman" w:hAnsi="Times New Roman" w:eastAsia="黑体"/>
                <w:bCs/>
                <w:kern w:val="2"/>
                <w:szCs w:val="32"/>
              </w:rPr>
              <w:t>表</w:t>
            </w:r>
            <w:r>
              <w:rPr>
                <w:rFonts w:hint="eastAsia" w:ascii="Times New Roman" w:hAnsi="Times New Roman" w:eastAsia="黑体"/>
                <w:bCs/>
                <w:kern w:val="2"/>
                <w:szCs w:val="32"/>
              </w:rPr>
              <w:t>39</w:t>
            </w:r>
            <w:r>
              <w:rPr>
                <w:rFonts w:ascii="Times New Roman" w:hAnsi="Times New Roman" w:eastAsia="黑体"/>
                <w:bCs/>
                <w:kern w:val="2"/>
                <w:szCs w:val="32"/>
              </w:rPr>
              <w:t xml:space="preserve"> </w:t>
            </w:r>
            <w:r>
              <w:rPr>
                <w:rFonts w:hint="eastAsia" w:ascii="Times New Roman" w:hAnsi="Times New Roman" w:eastAsia="黑体"/>
                <w:bCs/>
                <w:kern w:val="2"/>
                <w:szCs w:val="32"/>
                <w:lang w:val="zh-CN"/>
              </w:rPr>
              <w:t>威海步特户外用品有限公司威海步特户外用品有限公司充气桨板标签生产项目</w:t>
            </w:r>
            <w:r>
              <w:rPr>
                <w:rFonts w:ascii="Times New Roman" w:hAnsi="Times New Roman" w:eastAsia="黑体"/>
                <w:bCs/>
                <w:kern w:val="2"/>
                <w:szCs w:val="32"/>
              </w:rPr>
              <w:t>环境风险简单分析内容表</w:t>
            </w:r>
          </w:p>
          <w:tbl>
            <w:tblPr>
              <w:tblStyle w:val="30"/>
              <w:tblW w:w="921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96"/>
              <w:gridCol w:w="673"/>
              <w:gridCol w:w="2169"/>
              <w:gridCol w:w="1942"/>
              <w:gridCol w:w="1134"/>
              <w:gridCol w:w="17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96" w:type="dxa"/>
                  <w:shd w:val="clear" w:color="auto" w:fill="auto"/>
                  <w:vAlign w:val="center"/>
                </w:tcPr>
                <w:p>
                  <w:pPr>
                    <w:jc w:val="center"/>
                    <w:outlineLvl w:val="1"/>
                    <w:rPr>
                      <w:rFonts w:ascii="Times New Roman" w:hAnsi="Times New Roman"/>
                      <w:bCs/>
                      <w:kern w:val="28"/>
                      <w:sz w:val="21"/>
                      <w:szCs w:val="32"/>
                    </w:rPr>
                  </w:pPr>
                  <w:r>
                    <w:rPr>
                      <w:rFonts w:ascii="Times New Roman" w:hAnsi="Times New Roman"/>
                      <w:bCs/>
                      <w:kern w:val="28"/>
                      <w:sz w:val="21"/>
                      <w:szCs w:val="32"/>
                    </w:rPr>
                    <w:t>建设项目名称</w:t>
                  </w:r>
                </w:p>
              </w:tc>
              <w:tc>
                <w:tcPr>
                  <w:tcW w:w="7619" w:type="dxa"/>
                  <w:gridSpan w:val="5"/>
                  <w:shd w:val="clear" w:color="auto" w:fill="auto"/>
                  <w:vAlign w:val="center"/>
                </w:tcPr>
                <w:p>
                  <w:pPr>
                    <w:pStyle w:val="22"/>
                    <w:rPr>
                      <w:lang w:val="zh-CN"/>
                    </w:rPr>
                  </w:pPr>
                  <w:r>
                    <w:rPr>
                      <w:rFonts w:hint="eastAsia"/>
                      <w:lang w:val="zh-CN"/>
                    </w:rPr>
                    <w:t>威海步特户外用品有限公司充气桨板标签生产项目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1" w:hRule="atLeast"/>
              </w:trPr>
              <w:tc>
                <w:tcPr>
                  <w:tcW w:w="1596" w:type="dxa"/>
                  <w:shd w:val="clear" w:color="auto" w:fill="auto"/>
                  <w:vAlign w:val="center"/>
                </w:tcPr>
                <w:p>
                  <w:pPr>
                    <w:jc w:val="center"/>
                    <w:outlineLvl w:val="1"/>
                    <w:rPr>
                      <w:rFonts w:ascii="Times New Roman" w:hAnsi="Times New Roman"/>
                      <w:bCs/>
                      <w:kern w:val="28"/>
                      <w:sz w:val="21"/>
                      <w:szCs w:val="32"/>
                    </w:rPr>
                  </w:pPr>
                  <w:r>
                    <w:rPr>
                      <w:rFonts w:ascii="Times New Roman" w:hAnsi="Times New Roman"/>
                      <w:bCs/>
                      <w:kern w:val="28"/>
                      <w:sz w:val="21"/>
                      <w:szCs w:val="32"/>
                    </w:rPr>
                    <w:t>建设地点</w:t>
                  </w:r>
                </w:p>
              </w:tc>
              <w:tc>
                <w:tcPr>
                  <w:tcW w:w="7619" w:type="dxa"/>
                  <w:gridSpan w:val="5"/>
                  <w:shd w:val="clear" w:color="auto" w:fill="auto"/>
                  <w:vAlign w:val="center"/>
                </w:tcPr>
                <w:p>
                  <w:pPr>
                    <w:pStyle w:val="22"/>
                  </w:pPr>
                  <w:r>
                    <w:rPr>
                      <w:rFonts w:hint="eastAsia"/>
                    </w:rPr>
                    <w:t>山东省威海市环翠区桥头镇旺桥路8号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96" w:type="dxa"/>
                  <w:shd w:val="clear" w:color="auto" w:fill="auto"/>
                  <w:vAlign w:val="center"/>
                </w:tcPr>
                <w:p>
                  <w:pPr>
                    <w:jc w:val="center"/>
                    <w:outlineLvl w:val="1"/>
                    <w:rPr>
                      <w:rFonts w:ascii="Times New Roman" w:hAnsi="Times New Roman"/>
                      <w:bCs/>
                      <w:kern w:val="28"/>
                      <w:sz w:val="21"/>
                      <w:szCs w:val="32"/>
                    </w:rPr>
                  </w:pPr>
                  <w:r>
                    <w:rPr>
                      <w:rFonts w:ascii="Times New Roman" w:hAnsi="Times New Roman"/>
                      <w:bCs/>
                      <w:kern w:val="28"/>
                      <w:sz w:val="21"/>
                      <w:szCs w:val="32"/>
                    </w:rPr>
                    <w:t>地理坐标</w:t>
                  </w:r>
                </w:p>
              </w:tc>
              <w:tc>
                <w:tcPr>
                  <w:tcW w:w="673" w:type="dxa"/>
                  <w:shd w:val="clear" w:color="auto" w:fill="auto"/>
                  <w:vAlign w:val="center"/>
                </w:tcPr>
                <w:p>
                  <w:pPr>
                    <w:jc w:val="center"/>
                    <w:outlineLvl w:val="1"/>
                    <w:rPr>
                      <w:rFonts w:ascii="Times New Roman" w:hAnsi="Times New Roman"/>
                      <w:bCs/>
                      <w:kern w:val="28"/>
                      <w:sz w:val="21"/>
                      <w:szCs w:val="32"/>
                    </w:rPr>
                  </w:pPr>
                  <w:r>
                    <w:rPr>
                      <w:rFonts w:ascii="Times New Roman" w:hAnsi="Times New Roman"/>
                      <w:bCs/>
                      <w:kern w:val="28"/>
                      <w:sz w:val="21"/>
                      <w:szCs w:val="32"/>
                    </w:rPr>
                    <w:t>经度</w:t>
                  </w:r>
                </w:p>
              </w:tc>
              <w:tc>
                <w:tcPr>
                  <w:tcW w:w="2169" w:type="dxa"/>
                  <w:shd w:val="clear" w:color="auto" w:fill="auto"/>
                  <w:vAlign w:val="center"/>
                </w:tcPr>
                <w:p>
                  <w:pPr>
                    <w:jc w:val="center"/>
                    <w:outlineLvl w:val="1"/>
                    <w:rPr>
                      <w:rFonts w:ascii="Times New Roman" w:hAnsi="Times New Roman"/>
                      <w:bCs/>
                      <w:kern w:val="28"/>
                      <w:sz w:val="21"/>
                      <w:szCs w:val="32"/>
                    </w:rPr>
                  </w:pPr>
                  <w:r>
                    <w:rPr>
                      <w:rFonts w:hint="eastAsia" w:ascii="Times New Roman" w:hAnsi="Times New Roman"/>
                      <w:bCs/>
                      <w:kern w:val="28"/>
                      <w:sz w:val="21"/>
                      <w:szCs w:val="32"/>
                    </w:rPr>
                    <w:t>122.272409</w:t>
                  </w:r>
                </w:p>
              </w:tc>
              <w:tc>
                <w:tcPr>
                  <w:tcW w:w="1942" w:type="dxa"/>
                  <w:shd w:val="clear" w:color="auto" w:fill="auto"/>
                  <w:vAlign w:val="center"/>
                </w:tcPr>
                <w:p>
                  <w:pPr>
                    <w:jc w:val="center"/>
                    <w:outlineLvl w:val="1"/>
                    <w:rPr>
                      <w:rFonts w:ascii="Times New Roman" w:hAnsi="Times New Roman"/>
                      <w:bCs/>
                      <w:kern w:val="28"/>
                      <w:sz w:val="21"/>
                      <w:szCs w:val="32"/>
                    </w:rPr>
                  </w:pPr>
                  <w:r>
                    <w:rPr>
                      <w:rFonts w:ascii="Times New Roman" w:hAnsi="Times New Roman"/>
                      <w:bCs/>
                      <w:kern w:val="28"/>
                      <w:sz w:val="21"/>
                      <w:szCs w:val="32"/>
                    </w:rPr>
                    <w:t>纬度</w:t>
                  </w:r>
                </w:p>
              </w:tc>
              <w:tc>
                <w:tcPr>
                  <w:tcW w:w="2835" w:type="dxa"/>
                  <w:gridSpan w:val="2"/>
                  <w:shd w:val="clear" w:color="auto" w:fill="auto"/>
                  <w:vAlign w:val="center"/>
                </w:tcPr>
                <w:p>
                  <w:pPr>
                    <w:jc w:val="center"/>
                    <w:outlineLvl w:val="1"/>
                    <w:rPr>
                      <w:rFonts w:ascii="Times New Roman" w:hAnsi="Times New Roman"/>
                      <w:bCs/>
                      <w:kern w:val="0"/>
                      <w:sz w:val="21"/>
                      <w:szCs w:val="24"/>
                    </w:rPr>
                  </w:pPr>
                  <w:r>
                    <w:rPr>
                      <w:rFonts w:hint="eastAsia" w:ascii="Times New Roman" w:hAnsi="Times New Roman"/>
                      <w:bCs/>
                      <w:kern w:val="28"/>
                      <w:sz w:val="21"/>
                      <w:szCs w:val="32"/>
                    </w:rPr>
                    <w:t>37.335796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3" w:hRule="atLeast"/>
              </w:trPr>
              <w:tc>
                <w:tcPr>
                  <w:tcW w:w="1596" w:type="dxa"/>
                  <w:vMerge w:val="restart"/>
                  <w:shd w:val="clear" w:color="auto" w:fill="auto"/>
                  <w:vAlign w:val="center"/>
                </w:tcPr>
                <w:p>
                  <w:pPr>
                    <w:jc w:val="center"/>
                    <w:outlineLvl w:val="1"/>
                    <w:rPr>
                      <w:rFonts w:ascii="Times New Roman" w:hAnsi="Times New Roman"/>
                      <w:bCs/>
                      <w:kern w:val="28"/>
                      <w:sz w:val="21"/>
                      <w:szCs w:val="32"/>
                    </w:rPr>
                  </w:pPr>
                  <w:r>
                    <w:rPr>
                      <w:rFonts w:ascii="Times New Roman" w:hAnsi="Times New Roman"/>
                      <w:bCs/>
                      <w:kern w:val="28"/>
                      <w:sz w:val="21"/>
                      <w:szCs w:val="32"/>
                    </w:rPr>
                    <w:t>主要危险物质及分布</w:t>
                  </w:r>
                </w:p>
              </w:tc>
              <w:tc>
                <w:tcPr>
                  <w:tcW w:w="673" w:type="dxa"/>
                  <w:shd w:val="clear" w:color="auto" w:fill="auto"/>
                  <w:vAlign w:val="center"/>
                </w:tcPr>
                <w:p>
                  <w:pPr>
                    <w:jc w:val="center"/>
                    <w:outlineLvl w:val="1"/>
                    <w:rPr>
                      <w:rFonts w:ascii="Times New Roman" w:hAnsi="Times New Roman" w:eastAsia="Times New Roman"/>
                      <w:bCs/>
                      <w:kern w:val="28"/>
                      <w:sz w:val="21"/>
                      <w:szCs w:val="32"/>
                    </w:rPr>
                  </w:pPr>
                  <w:r>
                    <w:rPr>
                      <w:rFonts w:ascii="Times New Roman" w:hAnsi="Times New Roman"/>
                      <w:bCs/>
                      <w:kern w:val="28"/>
                      <w:sz w:val="21"/>
                      <w:szCs w:val="32"/>
                    </w:rPr>
                    <w:t>序号</w:t>
                  </w:r>
                </w:p>
              </w:tc>
              <w:tc>
                <w:tcPr>
                  <w:tcW w:w="2169" w:type="dxa"/>
                  <w:shd w:val="clear" w:color="auto" w:fill="auto"/>
                  <w:vAlign w:val="center"/>
                </w:tcPr>
                <w:p>
                  <w:pPr>
                    <w:jc w:val="center"/>
                    <w:outlineLvl w:val="1"/>
                    <w:rPr>
                      <w:rFonts w:ascii="Times New Roman" w:hAnsi="Times New Roman" w:eastAsia="Times New Roman"/>
                      <w:bCs/>
                      <w:kern w:val="28"/>
                      <w:sz w:val="21"/>
                      <w:szCs w:val="32"/>
                    </w:rPr>
                  </w:pPr>
                  <w:r>
                    <w:rPr>
                      <w:rFonts w:ascii="Times New Roman" w:hAnsi="Times New Roman"/>
                      <w:bCs/>
                      <w:kern w:val="28"/>
                      <w:sz w:val="21"/>
                      <w:szCs w:val="32"/>
                    </w:rPr>
                    <w:t>名称</w:t>
                  </w:r>
                </w:p>
              </w:tc>
              <w:tc>
                <w:tcPr>
                  <w:tcW w:w="1942" w:type="dxa"/>
                  <w:shd w:val="clear" w:color="auto" w:fill="auto"/>
                  <w:vAlign w:val="center"/>
                </w:tcPr>
                <w:p>
                  <w:pPr>
                    <w:jc w:val="center"/>
                    <w:outlineLvl w:val="1"/>
                    <w:rPr>
                      <w:rFonts w:ascii="Times New Roman" w:hAnsi="Times New Roman" w:eastAsia="Times New Roman"/>
                      <w:bCs/>
                      <w:kern w:val="28"/>
                      <w:sz w:val="21"/>
                      <w:szCs w:val="32"/>
                    </w:rPr>
                  </w:pPr>
                  <w:r>
                    <w:rPr>
                      <w:rFonts w:ascii="Times New Roman" w:hAnsi="Times New Roman"/>
                      <w:bCs/>
                      <w:kern w:val="28"/>
                      <w:sz w:val="21"/>
                      <w:szCs w:val="32"/>
                    </w:rPr>
                    <w:t>产生工序</w:t>
                  </w:r>
                </w:p>
              </w:tc>
              <w:tc>
                <w:tcPr>
                  <w:tcW w:w="1134" w:type="dxa"/>
                  <w:shd w:val="clear" w:color="auto" w:fill="auto"/>
                  <w:vAlign w:val="center"/>
                </w:tcPr>
                <w:p>
                  <w:pPr>
                    <w:jc w:val="center"/>
                    <w:outlineLvl w:val="1"/>
                    <w:rPr>
                      <w:rFonts w:ascii="Times New Roman" w:hAnsi="Times New Roman" w:eastAsia="Times New Roman"/>
                      <w:bCs/>
                      <w:kern w:val="28"/>
                      <w:sz w:val="21"/>
                      <w:szCs w:val="32"/>
                    </w:rPr>
                  </w:pPr>
                  <w:r>
                    <w:rPr>
                      <w:rFonts w:ascii="Times New Roman" w:hAnsi="Times New Roman"/>
                      <w:bCs/>
                      <w:kern w:val="28"/>
                      <w:sz w:val="21"/>
                      <w:szCs w:val="32"/>
                    </w:rPr>
                    <w:t>存储位置</w:t>
                  </w:r>
                </w:p>
              </w:tc>
              <w:tc>
                <w:tcPr>
                  <w:tcW w:w="1701" w:type="dxa"/>
                  <w:shd w:val="clear" w:color="auto" w:fill="auto"/>
                  <w:vAlign w:val="center"/>
                </w:tcPr>
                <w:p>
                  <w:pPr>
                    <w:jc w:val="center"/>
                    <w:outlineLvl w:val="1"/>
                    <w:rPr>
                      <w:rFonts w:ascii="Times New Roman" w:hAnsi="Times New Roman" w:eastAsia="Times New Roman"/>
                      <w:bCs/>
                      <w:kern w:val="28"/>
                      <w:sz w:val="21"/>
                      <w:szCs w:val="32"/>
                    </w:rPr>
                  </w:pPr>
                  <w:r>
                    <w:rPr>
                      <w:rFonts w:ascii="Times New Roman" w:hAnsi="Times New Roman"/>
                      <w:bCs/>
                      <w:kern w:val="28"/>
                      <w:sz w:val="21"/>
                      <w:szCs w:val="32"/>
                    </w:rPr>
                    <w:t>厂内最大存在量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2" w:hRule="atLeast"/>
              </w:trPr>
              <w:tc>
                <w:tcPr>
                  <w:tcW w:w="1596" w:type="dxa"/>
                  <w:vMerge w:val="continue"/>
                  <w:shd w:val="clear" w:color="auto" w:fill="auto"/>
                  <w:vAlign w:val="center"/>
                </w:tcPr>
                <w:p>
                  <w:pPr>
                    <w:jc w:val="center"/>
                    <w:outlineLvl w:val="1"/>
                    <w:rPr>
                      <w:rFonts w:ascii="Times New Roman" w:hAnsi="Times New Roman" w:eastAsia="Times New Roman"/>
                      <w:bCs/>
                      <w:kern w:val="28"/>
                      <w:sz w:val="21"/>
                      <w:szCs w:val="32"/>
                    </w:rPr>
                  </w:pPr>
                </w:p>
              </w:tc>
              <w:tc>
                <w:tcPr>
                  <w:tcW w:w="673" w:type="dxa"/>
                  <w:shd w:val="clear" w:color="auto" w:fill="auto"/>
                  <w:vAlign w:val="center"/>
                </w:tcPr>
                <w:p>
                  <w:pPr>
                    <w:jc w:val="center"/>
                    <w:outlineLvl w:val="1"/>
                    <w:rPr>
                      <w:rFonts w:ascii="Times New Roman" w:hAnsi="Times New Roman"/>
                      <w:bCs/>
                      <w:kern w:val="28"/>
                      <w:sz w:val="21"/>
                      <w:szCs w:val="32"/>
                    </w:rPr>
                  </w:pPr>
                  <w:r>
                    <w:rPr>
                      <w:rFonts w:hint="eastAsia" w:ascii="Times New Roman" w:hAnsi="Times New Roman"/>
                      <w:bCs/>
                      <w:kern w:val="28"/>
                      <w:sz w:val="21"/>
                      <w:szCs w:val="32"/>
                    </w:rPr>
                    <w:t>/</w:t>
                  </w:r>
                </w:p>
              </w:tc>
              <w:tc>
                <w:tcPr>
                  <w:tcW w:w="2169" w:type="dxa"/>
                  <w:shd w:val="clear" w:color="auto" w:fill="auto"/>
                  <w:vAlign w:val="center"/>
                </w:tcPr>
                <w:p>
                  <w:pPr>
                    <w:jc w:val="center"/>
                    <w:outlineLvl w:val="1"/>
                    <w:rPr>
                      <w:rFonts w:ascii="Times New Roman" w:hAnsi="Times New Roman" w:eastAsiaTheme="minorEastAsia"/>
                      <w:bCs/>
                      <w:kern w:val="28"/>
                      <w:sz w:val="21"/>
                      <w:szCs w:val="32"/>
                    </w:rPr>
                  </w:pPr>
                  <w:r>
                    <w:rPr>
                      <w:rFonts w:hint="eastAsia" w:ascii="Times New Roman" w:hAnsi="Times New Roman" w:eastAsiaTheme="minorEastAsia"/>
                      <w:bCs/>
                      <w:kern w:val="28"/>
                      <w:sz w:val="21"/>
                      <w:szCs w:val="32"/>
                    </w:rPr>
                    <w:t>油墨、稀释剂</w:t>
                  </w:r>
                </w:p>
              </w:tc>
              <w:tc>
                <w:tcPr>
                  <w:tcW w:w="1942" w:type="dxa"/>
                  <w:shd w:val="clear" w:color="auto" w:fill="auto"/>
                  <w:vAlign w:val="center"/>
                </w:tcPr>
                <w:p>
                  <w:pPr>
                    <w:jc w:val="center"/>
                    <w:outlineLvl w:val="1"/>
                    <w:rPr>
                      <w:rFonts w:ascii="Times New Roman" w:hAnsi="Times New Roman" w:eastAsiaTheme="minorEastAsia"/>
                      <w:bCs/>
                      <w:kern w:val="28"/>
                      <w:sz w:val="21"/>
                      <w:szCs w:val="32"/>
                    </w:rPr>
                  </w:pPr>
                  <w:r>
                    <w:rPr>
                      <w:rFonts w:hint="eastAsia" w:ascii="Times New Roman" w:hAnsi="Times New Roman" w:eastAsiaTheme="minorEastAsia"/>
                      <w:bCs/>
                      <w:kern w:val="28"/>
                      <w:sz w:val="21"/>
                      <w:szCs w:val="32"/>
                    </w:rPr>
                    <w:t>/</w:t>
                  </w:r>
                </w:p>
              </w:tc>
              <w:tc>
                <w:tcPr>
                  <w:tcW w:w="1134" w:type="dxa"/>
                  <w:shd w:val="clear" w:color="auto" w:fill="auto"/>
                  <w:vAlign w:val="center"/>
                </w:tcPr>
                <w:p>
                  <w:pPr>
                    <w:jc w:val="center"/>
                    <w:outlineLvl w:val="1"/>
                    <w:rPr>
                      <w:rFonts w:ascii="Times New Roman" w:hAnsi="Times New Roman" w:eastAsiaTheme="minorEastAsia"/>
                      <w:bCs/>
                      <w:kern w:val="28"/>
                      <w:sz w:val="21"/>
                      <w:szCs w:val="32"/>
                    </w:rPr>
                  </w:pPr>
                  <w:r>
                    <w:rPr>
                      <w:rFonts w:hint="eastAsia" w:ascii="Times New Roman" w:hAnsi="Times New Roman" w:eastAsiaTheme="minorEastAsia"/>
                      <w:bCs/>
                      <w:kern w:val="28"/>
                      <w:sz w:val="21"/>
                      <w:szCs w:val="32"/>
                    </w:rPr>
                    <w:t>仓库内</w:t>
                  </w:r>
                </w:p>
              </w:tc>
              <w:tc>
                <w:tcPr>
                  <w:tcW w:w="1701" w:type="dxa"/>
                  <w:shd w:val="clear" w:color="auto" w:fill="auto"/>
                  <w:vAlign w:val="center"/>
                </w:tcPr>
                <w:p>
                  <w:pPr>
                    <w:jc w:val="center"/>
                    <w:outlineLvl w:val="1"/>
                    <w:rPr>
                      <w:rFonts w:ascii="Times New Roman" w:hAnsi="Times New Roman" w:eastAsiaTheme="minorEastAsia"/>
                      <w:bCs/>
                      <w:kern w:val="28"/>
                      <w:sz w:val="21"/>
                      <w:szCs w:val="32"/>
                    </w:rPr>
                  </w:pPr>
                  <w:r>
                    <w:rPr>
                      <w:rFonts w:ascii="Times New Roman" w:hAnsi="Times New Roman" w:eastAsiaTheme="minorEastAsia"/>
                      <w:bCs/>
                      <w:kern w:val="28"/>
                      <w:sz w:val="21"/>
                      <w:szCs w:val="32"/>
                    </w:rPr>
                    <w:t>0.30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96" w:type="dxa"/>
                  <w:shd w:val="clear" w:color="auto" w:fill="auto"/>
                  <w:vAlign w:val="center"/>
                </w:tcPr>
                <w:p>
                  <w:pPr>
                    <w:jc w:val="center"/>
                    <w:outlineLvl w:val="1"/>
                    <w:rPr>
                      <w:rFonts w:ascii="Times New Roman" w:hAnsi="Times New Roman"/>
                      <w:bCs/>
                      <w:kern w:val="28"/>
                      <w:sz w:val="21"/>
                      <w:szCs w:val="32"/>
                    </w:rPr>
                  </w:pPr>
                  <w:r>
                    <w:rPr>
                      <w:rFonts w:ascii="Times New Roman" w:hAnsi="Times New Roman"/>
                      <w:bCs/>
                      <w:kern w:val="28"/>
                      <w:sz w:val="21"/>
                      <w:szCs w:val="32"/>
                    </w:rPr>
                    <w:t>环境影响途径及危害后果</w:t>
                  </w:r>
                </w:p>
              </w:tc>
              <w:tc>
                <w:tcPr>
                  <w:tcW w:w="7619" w:type="dxa"/>
                  <w:gridSpan w:val="5"/>
                  <w:shd w:val="clear" w:color="auto" w:fill="auto"/>
                  <w:vAlign w:val="center"/>
                </w:tcPr>
                <w:p>
                  <w:pPr>
                    <w:jc w:val="left"/>
                    <w:outlineLvl w:val="1"/>
                    <w:rPr>
                      <w:rFonts w:ascii="Times New Roman" w:hAnsi="Times New Roman"/>
                      <w:bCs/>
                      <w:kern w:val="28"/>
                      <w:sz w:val="21"/>
                      <w:szCs w:val="32"/>
                    </w:rPr>
                  </w:pPr>
                  <w:r>
                    <w:rPr>
                      <w:rFonts w:ascii="Times New Roman" w:hAnsi="Times New Roman"/>
                      <w:bCs/>
                      <w:kern w:val="28"/>
                      <w:sz w:val="21"/>
                      <w:szCs w:val="32"/>
                    </w:rPr>
                    <w:t>有毒有害物质泄漏后直接进入大气环境或挥发进入大气环境，通过大气扩散对项目周围环境造成危害。</w:t>
                  </w:r>
                </w:p>
                <w:p>
                  <w:pPr>
                    <w:jc w:val="left"/>
                    <w:outlineLvl w:val="1"/>
                    <w:rPr>
                      <w:rFonts w:ascii="Times New Roman" w:hAnsi="Times New Roman"/>
                      <w:bCs/>
                      <w:kern w:val="28"/>
                      <w:sz w:val="21"/>
                      <w:szCs w:val="32"/>
                    </w:rPr>
                  </w:pPr>
                  <w:r>
                    <w:rPr>
                      <w:rFonts w:ascii="Times New Roman" w:hAnsi="Times New Roman"/>
                      <w:bCs/>
                      <w:kern w:val="28"/>
                      <w:sz w:val="21"/>
                      <w:szCs w:val="32"/>
                    </w:rPr>
                    <w:t xml:space="preserve">项目风险物质泄漏，通过排水系统排放入外界水体，对外界水环境造成影响。 </w:t>
                  </w:r>
                </w:p>
                <w:p>
                  <w:pPr>
                    <w:jc w:val="left"/>
                    <w:outlineLvl w:val="1"/>
                    <w:rPr>
                      <w:rFonts w:ascii="Times New Roman" w:hAnsi="Times New Roman"/>
                      <w:bCs/>
                      <w:kern w:val="28"/>
                      <w:sz w:val="21"/>
                      <w:szCs w:val="32"/>
                    </w:rPr>
                  </w:pPr>
                  <w:r>
                    <w:rPr>
                      <w:rFonts w:ascii="Times New Roman" w:hAnsi="Times New Roman"/>
                      <w:bCs/>
                      <w:kern w:val="28"/>
                      <w:sz w:val="21"/>
                      <w:szCs w:val="32"/>
                    </w:rPr>
                    <w:t>项目有毒有害物质泄漏后直接进入大气环境或挥发进入大气环境沉降或经雨水聚积地面，通过地面渗透进入土壤/地下含水层，对土壤环境/地下水环境造成风险事故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96" w:type="dxa"/>
                  <w:shd w:val="clear" w:color="auto" w:fill="auto"/>
                  <w:vAlign w:val="center"/>
                </w:tcPr>
                <w:p>
                  <w:pPr>
                    <w:jc w:val="center"/>
                    <w:outlineLvl w:val="1"/>
                    <w:rPr>
                      <w:rFonts w:ascii="Times New Roman" w:hAnsi="Times New Roman"/>
                      <w:bCs/>
                      <w:kern w:val="28"/>
                      <w:sz w:val="21"/>
                      <w:szCs w:val="32"/>
                    </w:rPr>
                  </w:pPr>
                  <w:r>
                    <w:rPr>
                      <w:rFonts w:ascii="Times New Roman" w:hAnsi="Times New Roman"/>
                      <w:bCs/>
                      <w:kern w:val="28"/>
                      <w:sz w:val="21"/>
                      <w:szCs w:val="32"/>
                    </w:rPr>
                    <w:t>风险防范措施要求</w:t>
                  </w:r>
                </w:p>
              </w:tc>
              <w:tc>
                <w:tcPr>
                  <w:tcW w:w="7619" w:type="dxa"/>
                  <w:gridSpan w:val="5"/>
                  <w:shd w:val="clear" w:color="auto" w:fill="auto"/>
                  <w:vAlign w:val="center"/>
                </w:tcPr>
                <w:p>
                  <w:pPr>
                    <w:ind w:firstLine="420" w:firstLineChars="200"/>
                    <w:jc w:val="left"/>
                    <w:outlineLvl w:val="1"/>
                    <w:rPr>
                      <w:rFonts w:ascii="Times New Roman" w:hAnsi="Times New Roman"/>
                      <w:bCs/>
                      <w:kern w:val="28"/>
                      <w:sz w:val="21"/>
                      <w:szCs w:val="32"/>
                    </w:rPr>
                  </w:pPr>
                  <w:r>
                    <w:rPr>
                      <w:rFonts w:ascii="Times New Roman" w:hAnsi="Times New Roman"/>
                      <w:bCs/>
                      <w:kern w:val="28"/>
                      <w:sz w:val="21"/>
                      <w:szCs w:val="32"/>
                    </w:rPr>
                    <w:t>定期检查废气处理设备</w:t>
                  </w:r>
                  <w:r>
                    <w:rPr>
                      <w:rFonts w:hint="eastAsia" w:ascii="Times New Roman" w:hAnsi="Times New Roman"/>
                      <w:bCs/>
                      <w:kern w:val="28"/>
                      <w:sz w:val="21"/>
                      <w:szCs w:val="32"/>
                    </w:rPr>
                    <w:t>供电系统，并记录运行情况，防止因供电故障失火发生火灾，定期委托相关单位对废气处理设备进行检修，确保设备安全、正常运转，设备运行出现问题需及时断电，防止废气事故性排放。</w:t>
                  </w:r>
                </w:p>
                <w:p>
                  <w:pPr>
                    <w:ind w:firstLine="420" w:firstLineChars="200"/>
                    <w:jc w:val="left"/>
                    <w:outlineLvl w:val="1"/>
                    <w:rPr>
                      <w:rFonts w:ascii="Times New Roman" w:hAnsi="Times New Roman"/>
                      <w:bCs/>
                      <w:kern w:val="28"/>
                      <w:sz w:val="21"/>
                      <w:szCs w:val="32"/>
                    </w:rPr>
                  </w:pPr>
                  <w:r>
                    <w:rPr>
                      <w:rFonts w:ascii="Times New Roman" w:hAnsi="Times New Roman"/>
                      <w:bCs/>
                      <w:kern w:val="28"/>
                      <w:sz w:val="21"/>
                      <w:szCs w:val="32"/>
                    </w:rPr>
                    <w:t>定期检查污水管道防渗情况，若发现管道破损的状况，需及时更换管道，防止污水污染地下水。</w:t>
                  </w:r>
                </w:p>
                <w:p>
                  <w:pPr>
                    <w:ind w:firstLine="420" w:firstLineChars="200"/>
                    <w:jc w:val="left"/>
                    <w:outlineLvl w:val="1"/>
                    <w:rPr>
                      <w:rFonts w:ascii="Times New Roman" w:hAnsi="Times New Roman"/>
                      <w:bCs/>
                      <w:kern w:val="28"/>
                      <w:sz w:val="21"/>
                      <w:szCs w:val="32"/>
                    </w:rPr>
                  </w:pPr>
                  <w:r>
                    <w:rPr>
                      <w:rFonts w:ascii="Times New Roman" w:hAnsi="Times New Roman"/>
                      <w:bCs/>
                      <w:kern w:val="28"/>
                      <w:sz w:val="21"/>
                      <w:szCs w:val="32"/>
                    </w:rPr>
                    <w:t>定期检查危废仓库情况，以免发生事故性排放。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96" w:type="dxa"/>
                  <w:shd w:val="clear" w:color="auto" w:fill="auto"/>
                  <w:vAlign w:val="center"/>
                </w:tcPr>
                <w:p>
                  <w:pPr>
                    <w:jc w:val="center"/>
                    <w:outlineLvl w:val="1"/>
                    <w:rPr>
                      <w:rFonts w:ascii="Times New Roman" w:hAnsi="Times New Roman"/>
                      <w:bCs/>
                      <w:kern w:val="28"/>
                      <w:sz w:val="21"/>
                      <w:szCs w:val="32"/>
                    </w:rPr>
                  </w:pPr>
                  <w:r>
                    <w:rPr>
                      <w:rFonts w:ascii="Times New Roman" w:hAnsi="Times New Roman"/>
                      <w:bCs/>
                      <w:kern w:val="28"/>
                      <w:sz w:val="21"/>
                      <w:szCs w:val="32"/>
                    </w:rPr>
                    <w:t>填表说明</w:t>
                  </w:r>
                </w:p>
              </w:tc>
              <w:tc>
                <w:tcPr>
                  <w:tcW w:w="7619" w:type="dxa"/>
                  <w:gridSpan w:val="5"/>
                  <w:shd w:val="clear" w:color="auto" w:fill="auto"/>
                  <w:vAlign w:val="center"/>
                </w:tcPr>
                <w:p>
                  <w:pPr>
                    <w:ind w:firstLine="420" w:firstLineChars="200"/>
                    <w:jc w:val="left"/>
                    <w:outlineLvl w:val="1"/>
                    <w:rPr>
                      <w:rFonts w:ascii="Times New Roman" w:hAnsi="Times New Roman"/>
                      <w:bCs/>
                      <w:kern w:val="28"/>
                      <w:sz w:val="21"/>
                      <w:szCs w:val="32"/>
                    </w:rPr>
                  </w:pPr>
                  <w:r>
                    <w:rPr>
                      <w:rFonts w:ascii="Times New Roman" w:hAnsi="Times New Roman"/>
                      <w:bCs/>
                      <w:kern w:val="28"/>
                      <w:sz w:val="21"/>
                      <w:szCs w:val="32"/>
                    </w:rPr>
                    <w:t>项目所存储及使用的物料均不属于持久性污染物，风险防范措施到位，环境风险程度较低</w:t>
                  </w:r>
                </w:p>
              </w:tc>
            </w:tr>
          </w:tbl>
          <w:p>
            <w:pPr>
              <w:widowControl/>
              <w:jc w:val="center"/>
              <w:rPr>
                <w:rFonts w:ascii="Times New Roman" w:hAnsi="Times New Roman" w:eastAsia="黑体"/>
                <w:bCs/>
                <w:kern w:val="2"/>
                <w:szCs w:val="32"/>
              </w:rPr>
            </w:pPr>
            <w:r>
              <w:rPr>
                <w:rFonts w:ascii="Times New Roman" w:hAnsi="Times New Roman"/>
                <w:color w:val="000000"/>
                <w:kern w:val="0"/>
                <w:szCs w:val="24"/>
              </w:rPr>
              <w:t>表4</w:t>
            </w:r>
            <w:r>
              <w:rPr>
                <w:rFonts w:hint="eastAsia" w:ascii="Times New Roman" w:hAnsi="Times New Roman"/>
                <w:color w:val="000000"/>
                <w:kern w:val="0"/>
                <w:szCs w:val="24"/>
              </w:rPr>
              <w:t>0</w:t>
            </w:r>
            <w:r>
              <w:rPr>
                <w:rFonts w:ascii="Times New Roman" w:hAnsi="Times New Roman"/>
                <w:color w:val="000000"/>
                <w:kern w:val="0"/>
                <w:szCs w:val="24"/>
              </w:rPr>
              <w:t xml:space="preserve"> </w:t>
            </w:r>
            <w:r>
              <w:rPr>
                <w:rFonts w:hint="eastAsia" w:ascii="Times New Roman" w:hAnsi="Times New Roman" w:eastAsia="黑体"/>
                <w:bCs/>
                <w:kern w:val="2"/>
                <w:szCs w:val="32"/>
                <w:lang w:val="zh-CN"/>
              </w:rPr>
              <w:t>威海步特户外用品有限公司威海步特户外用品有限公司充气桨板标签生产项目环保投资一览表及</w:t>
            </w:r>
            <w:r>
              <w:rPr>
                <w:rFonts w:ascii="Times New Roman" w:hAnsi="Times New Roman" w:eastAsia="黑体"/>
                <w:bCs/>
                <w:kern w:val="2"/>
                <w:szCs w:val="22"/>
              </w:rPr>
              <w:t>三同时验收一览表</w:t>
            </w:r>
          </w:p>
          <w:tbl>
            <w:tblPr>
              <w:tblStyle w:val="30"/>
              <w:tblW w:w="945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82"/>
              <w:gridCol w:w="729"/>
              <w:gridCol w:w="1087"/>
              <w:gridCol w:w="2027"/>
              <w:gridCol w:w="3345"/>
              <w:gridCol w:w="542"/>
              <w:gridCol w:w="542"/>
              <w:gridCol w:w="5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trPr>
              <w:tc>
                <w:tcPr>
                  <w:tcW w:w="682" w:type="dxa"/>
                  <w:tcBorders>
                    <w:tl2br w:val="nil"/>
                    <w:tr2bl w:val="nil"/>
                  </w:tcBorders>
                </w:tcPr>
                <w:p>
                  <w:pPr>
                    <w:jc w:val="right"/>
                    <w:rPr>
                      <w:rFonts w:ascii="Times New Roman" w:hAnsi="Times New Roman"/>
                      <w:kern w:val="2"/>
                      <w:sz w:val="21"/>
                      <w:szCs w:val="21"/>
                    </w:rPr>
                  </w:pPr>
                  <w:r>
                    <w:rPr>
                      <w:rFonts w:ascii="Times New Roman" w:hAnsi="Times New Roman"/>
                      <w:kern w:val="2"/>
                      <w:sz w:val="21"/>
                      <w:szCs w:val="21"/>
                    </w:rPr>
                    <w:t>内容</w:t>
                  </w:r>
                </w:p>
                <w:p>
                  <w:pPr>
                    <w:rPr>
                      <w:rFonts w:ascii="Times New Roman" w:hAnsi="Times New Roman"/>
                      <w:kern w:val="2"/>
                      <w:sz w:val="21"/>
                      <w:szCs w:val="21"/>
                    </w:rPr>
                  </w:pPr>
                  <w:r>
                    <w:rPr>
                      <w:rFonts w:ascii="Times New Roman" w:hAnsi="Times New Roman"/>
                      <w:kern w:val="2"/>
                      <w:sz w:val="21"/>
                      <w:szCs w:val="21"/>
                    </w:rPr>
                    <w:t>类型</w:t>
                  </w:r>
                </w:p>
              </w:tc>
              <w:tc>
                <w:tcPr>
                  <w:tcW w:w="729" w:type="dxa"/>
                  <w:tcBorders>
                    <w:tl2br w:val="nil"/>
                    <w:tr2bl w:val="nil"/>
                  </w:tcBorders>
                  <w:vAlign w:val="center"/>
                </w:tcPr>
                <w:p>
                  <w:pPr>
                    <w:jc w:val="center"/>
                    <w:rPr>
                      <w:rFonts w:ascii="Times New Roman" w:hAnsi="Times New Roman"/>
                      <w:kern w:val="2"/>
                      <w:sz w:val="21"/>
                      <w:szCs w:val="21"/>
                    </w:rPr>
                  </w:pPr>
                  <w:r>
                    <w:rPr>
                      <w:rFonts w:ascii="Times New Roman" w:hAnsi="Times New Roman"/>
                      <w:kern w:val="2"/>
                      <w:sz w:val="21"/>
                      <w:szCs w:val="21"/>
                    </w:rPr>
                    <w:t>排放源</w:t>
                  </w:r>
                </w:p>
              </w:tc>
              <w:tc>
                <w:tcPr>
                  <w:tcW w:w="1087" w:type="dxa"/>
                  <w:tcBorders>
                    <w:tl2br w:val="nil"/>
                    <w:tr2bl w:val="nil"/>
                  </w:tcBorders>
                  <w:vAlign w:val="center"/>
                </w:tcPr>
                <w:p>
                  <w:pPr>
                    <w:jc w:val="center"/>
                    <w:rPr>
                      <w:rFonts w:ascii="Times New Roman" w:hAnsi="Times New Roman"/>
                      <w:kern w:val="2"/>
                      <w:sz w:val="21"/>
                      <w:szCs w:val="21"/>
                    </w:rPr>
                  </w:pPr>
                  <w:r>
                    <w:rPr>
                      <w:rFonts w:ascii="Times New Roman" w:hAnsi="Times New Roman"/>
                      <w:kern w:val="2"/>
                      <w:sz w:val="21"/>
                      <w:szCs w:val="21"/>
                    </w:rPr>
                    <w:t>污染物</w:t>
                  </w:r>
                </w:p>
              </w:tc>
              <w:tc>
                <w:tcPr>
                  <w:tcW w:w="2027" w:type="dxa"/>
                  <w:tcBorders>
                    <w:tl2br w:val="nil"/>
                    <w:tr2bl w:val="nil"/>
                  </w:tcBorders>
                  <w:vAlign w:val="center"/>
                </w:tcPr>
                <w:p>
                  <w:pPr>
                    <w:jc w:val="center"/>
                    <w:rPr>
                      <w:rFonts w:ascii="Times New Roman" w:hAnsi="Times New Roman"/>
                      <w:kern w:val="2"/>
                      <w:sz w:val="21"/>
                      <w:szCs w:val="21"/>
                    </w:rPr>
                  </w:pPr>
                  <w:r>
                    <w:rPr>
                      <w:rFonts w:ascii="Times New Roman" w:hAnsi="Times New Roman"/>
                      <w:kern w:val="2"/>
                      <w:sz w:val="21"/>
                      <w:szCs w:val="21"/>
                    </w:rPr>
                    <w:t>防治措施</w:t>
                  </w:r>
                </w:p>
              </w:tc>
              <w:tc>
                <w:tcPr>
                  <w:tcW w:w="3345" w:type="dxa"/>
                  <w:tcBorders>
                    <w:tl2br w:val="nil"/>
                    <w:tr2bl w:val="nil"/>
                  </w:tcBorders>
                  <w:vAlign w:val="center"/>
                </w:tcPr>
                <w:p>
                  <w:pPr>
                    <w:jc w:val="center"/>
                    <w:rPr>
                      <w:rFonts w:ascii="Times New Roman" w:hAnsi="Times New Roman"/>
                      <w:kern w:val="2"/>
                      <w:sz w:val="21"/>
                      <w:szCs w:val="21"/>
                    </w:rPr>
                  </w:pPr>
                  <w:r>
                    <w:rPr>
                      <w:rFonts w:ascii="Times New Roman" w:hAnsi="Times New Roman"/>
                      <w:kern w:val="2"/>
                      <w:sz w:val="21"/>
                      <w:szCs w:val="21"/>
                    </w:rPr>
                    <w:t>执行标准</w:t>
                  </w:r>
                </w:p>
              </w:tc>
              <w:tc>
                <w:tcPr>
                  <w:tcW w:w="542" w:type="dxa"/>
                  <w:tcBorders>
                    <w:tl2br w:val="nil"/>
                    <w:tr2bl w:val="nil"/>
                  </w:tcBorders>
                  <w:vAlign w:val="center"/>
                </w:tcPr>
                <w:p>
                  <w:pPr>
                    <w:jc w:val="center"/>
                    <w:rPr>
                      <w:rFonts w:ascii="Times New Roman" w:hAnsi="Times New Roman"/>
                      <w:kern w:val="2"/>
                      <w:sz w:val="21"/>
                      <w:szCs w:val="21"/>
                    </w:rPr>
                  </w:pPr>
                  <w:r>
                    <w:rPr>
                      <w:rFonts w:hint="eastAsia" w:ascii="Times New Roman" w:hAnsi="Times New Roman"/>
                      <w:kern w:val="2"/>
                      <w:sz w:val="21"/>
                      <w:szCs w:val="21"/>
                    </w:rPr>
                    <w:t>环保投资（万元）</w:t>
                  </w:r>
                </w:p>
              </w:tc>
              <w:tc>
                <w:tcPr>
                  <w:tcW w:w="542" w:type="dxa"/>
                  <w:tcBorders>
                    <w:tl2br w:val="nil"/>
                    <w:tr2bl w:val="nil"/>
                  </w:tcBorders>
                  <w:vAlign w:val="center"/>
                </w:tcPr>
                <w:p>
                  <w:pPr>
                    <w:jc w:val="center"/>
                    <w:rPr>
                      <w:rFonts w:ascii="Times New Roman" w:hAnsi="Times New Roman"/>
                      <w:kern w:val="2"/>
                      <w:sz w:val="21"/>
                      <w:szCs w:val="21"/>
                    </w:rPr>
                  </w:pPr>
                  <w:r>
                    <w:rPr>
                      <w:rFonts w:ascii="Times New Roman" w:hAnsi="Times New Roman"/>
                      <w:kern w:val="2"/>
                      <w:sz w:val="21"/>
                      <w:szCs w:val="21"/>
                    </w:rPr>
                    <w:t>治理</w:t>
                  </w:r>
                </w:p>
                <w:p>
                  <w:pPr>
                    <w:jc w:val="center"/>
                    <w:rPr>
                      <w:rFonts w:ascii="Times New Roman" w:hAnsi="Times New Roman"/>
                      <w:kern w:val="2"/>
                      <w:sz w:val="21"/>
                      <w:szCs w:val="21"/>
                    </w:rPr>
                  </w:pPr>
                  <w:r>
                    <w:rPr>
                      <w:rFonts w:ascii="Times New Roman" w:hAnsi="Times New Roman"/>
                      <w:kern w:val="2"/>
                      <w:sz w:val="21"/>
                      <w:szCs w:val="21"/>
                    </w:rPr>
                    <w:t>效果</w:t>
                  </w:r>
                </w:p>
              </w:tc>
              <w:tc>
                <w:tcPr>
                  <w:tcW w:w="505" w:type="dxa"/>
                  <w:tcBorders>
                    <w:tl2br w:val="nil"/>
                    <w:tr2bl w:val="nil"/>
                  </w:tcBorders>
                </w:tcPr>
                <w:p>
                  <w:pPr>
                    <w:jc w:val="center"/>
                    <w:rPr>
                      <w:rFonts w:ascii="Times New Roman" w:hAnsi="Times New Roman"/>
                      <w:kern w:val="2"/>
                      <w:sz w:val="21"/>
                      <w:szCs w:val="21"/>
                    </w:rPr>
                  </w:pPr>
                  <w:r>
                    <w:rPr>
                      <w:rFonts w:ascii="Times New Roman" w:hAnsi="Times New Roman"/>
                      <w:kern w:val="2"/>
                      <w:sz w:val="21"/>
                      <w:szCs w:val="21"/>
                    </w:rPr>
                    <w:t>完成</w:t>
                  </w:r>
                </w:p>
                <w:p>
                  <w:pPr>
                    <w:jc w:val="center"/>
                    <w:rPr>
                      <w:rFonts w:ascii="Times New Roman" w:hAnsi="Times New Roman"/>
                      <w:kern w:val="2"/>
                      <w:sz w:val="21"/>
                      <w:szCs w:val="21"/>
                    </w:rPr>
                  </w:pPr>
                  <w:r>
                    <w:rPr>
                      <w:rFonts w:ascii="Times New Roman" w:hAnsi="Times New Roman"/>
                      <w:kern w:val="2"/>
                      <w:sz w:val="21"/>
                      <w:szCs w:val="21"/>
                    </w:rPr>
                    <w:t>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457" w:hRule="atLeast"/>
              </w:trPr>
              <w:tc>
                <w:tcPr>
                  <w:tcW w:w="682" w:type="dxa"/>
                  <w:tcBorders>
                    <w:tl2br w:val="nil"/>
                    <w:tr2bl w:val="nil"/>
                  </w:tcBorders>
                  <w:vAlign w:val="center"/>
                </w:tcPr>
                <w:p>
                  <w:pPr>
                    <w:jc w:val="center"/>
                    <w:rPr>
                      <w:rFonts w:ascii="Times New Roman" w:hAnsi="Times New Roman"/>
                      <w:kern w:val="2"/>
                      <w:sz w:val="21"/>
                      <w:szCs w:val="21"/>
                    </w:rPr>
                  </w:pPr>
                  <w:r>
                    <w:rPr>
                      <w:rFonts w:ascii="Times New Roman" w:hAnsi="Times New Roman"/>
                      <w:kern w:val="2"/>
                      <w:sz w:val="21"/>
                      <w:szCs w:val="21"/>
                    </w:rPr>
                    <w:t>大</w:t>
                  </w:r>
                </w:p>
                <w:p>
                  <w:pPr>
                    <w:jc w:val="center"/>
                    <w:rPr>
                      <w:rFonts w:ascii="Times New Roman" w:hAnsi="Times New Roman"/>
                      <w:kern w:val="2"/>
                      <w:sz w:val="21"/>
                      <w:szCs w:val="21"/>
                    </w:rPr>
                  </w:pPr>
                  <w:r>
                    <w:rPr>
                      <w:rFonts w:ascii="Times New Roman" w:hAnsi="Times New Roman"/>
                      <w:kern w:val="2"/>
                      <w:sz w:val="21"/>
                      <w:szCs w:val="21"/>
                    </w:rPr>
                    <w:t>气</w:t>
                  </w:r>
                </w:p>
                <w:p>
                  <w:pPr>
                    <w:jc w:val="center"/>
                    <w:rPr>
                      <w:rFonts w:ascii="Times New Roman" w:hAnsi="Times New Roman"/>
                      <w:kern w:val="2"/>
                      <w:sz w:val="21"/>
                      <w:szCs w:val="21"/>
                    </w:rPr>
                  </w:pPr>
                  <w:r>
                    <w:rPr>
                      <w:rFonts w:ascii="Times New Roman" w:hAnsi="Times New Roman"/>
                      <w:kern w:val="2"/>
                      <w:sz w:val="21"/>
                      <w:szCs w:val="21"/>
                    </w:rPr>
                    <w:t>污</w:t>
                  </w:r>
                </w:p>
                <w:p>
                  <w:pPr>
                    <w:jc w:val="center"/>
                    <w:rPr>
                      <w:rFonts w:ascii="Times New Roman" w:hAnsi="Times New Roman"/>
                      <w:kern w:val="2"/>
                      <w:sz w:val="21"/>
                      <w:szCs w:val="21"/>
                    </w:rPr>
                  </w:pPr>
                  <w:r>
                    <w:rPr>
                      <w:rFonts w:ascii="Times New Roman" w:hAnsi="Times New Roman"/>
                      <w:kern w:val="2"/>
                      <w:sz w:val="21"/>
                      <w:szCs w:val="21"/>
                    </w:rPr>
                    <w:t>染</w:t>
                  </w:r>
                </w:p>
                <w:p>
                  <w:pPr>
                    <w:jc w:val="center"/>
                    <w:rPr>
                      <w:rFonts w:ascii="Times New Roman" w:hAnsi="Times New Roman"/>
                      <w:kern w:val="2"/>
                      <w:sz w:val="21"/>
                      <w:szCs w:val="21"/>
                    </w:rPr>
                  </w:pPr>
                  <w:r>
                    <w:rPr>
                      <w:rFonts w:ascii="Times New Roman" w:hAnsi="Times New Roman"/>
                      <w:kern w:val="2"/>
                      <w:sz w:val="21"/>
                      <w:szCs w:val="21"/>
                    </w:rPr>
                    <w:t>物</w:t>
                  </w:r>
                </w:p>
              </w:tc>
              <w:tc>
                <w:tcPr>
                  <w:tcW w:w="729" w:type="dxa"/>
                  <w:tcBorders>
                    <w:tl2br w:val="nil"/>
                    <w:tr2bl w:val="nil"/>
                  </w:tcBorders>
                  <w:vAlign w:val="center"/>
                </w:tcPr>
                <w:p>
                  <w:pPr>
                    <w:pStyle w:val="22"/>
                    <w:rPr>
                      <w:szCs w:val="21"/>
                    </w:rPr>
                  </w:pPr>
                  <w:r>
                    <w:rPr>
                      <w:rFonts w:hint="eastAsia"/>
                    </w:rPr>
                    <w:t>印刷工序</w:t>
                  </w:r>
                </w:p>
              </w:tc>
              <w:tc>
                <w:tcPr>
                  <w:tcW w:w="1087" w:type="dxa"/>
                  <w:tcBorders>
                    <w:tl2br w:val="nil"/>
                    <w:tr2bl w:val="nil"/>
                  </w:tcBorders>
                  <w:vAlign w:val="center"/>
                </w:tcPr>
                <w:p>
                  <w:pPr>
                    <w:jc w:val="center"/>
                    <w:rPr>
                      <w:rFonts w:ascii="Times New Roman" w:hAnsi="Times New Roman"/>
                      <w:kern w:val="2"/>
                      <w:sz w:val="21"/>
                      <w:szCs w:val="21"/>
                    </w:rPr>
                  </w:pPr>
                  <w:r>
                    <w:rPr>
                      <w:rFonts w:ascii="Times New Roman" w:hAnsi="Times New Roman"/>
                      <w:kern w:val="2"/>
                      <w:sz w:val="21"/>
                      <w:szCs w:val="21"/>
                    </w:rPr>
                    <w:t>VOC</w:t>
                  </w:r>
                  <w:r>
                    <w:rPr>
                      <w:rFonts w:ascii="Times New Roman" w:hAnsi="Times New Roman"/>
                      <w:kern w:val="2"/>
                      <w:sz w:val="21"/>
                      <w:szCs w:val="21"/>
                      <w:vertAlign w:val="subscript"/>
                    </w:rPr>
                    <w:t>s</w:t>
                  </w:r>
                </w:p>
              </w:tc>
              <w:tc>
                <w:tcPr>
                  <w:tcW w:w="2027" w:type="dxa"/>
                  <w:tcBorders>
                    <w:tl2br w:val="nil"/>
                    <w:tr2bl w:val="nil"/>
                  </w:tcBorders>
                  <w:vAlign w:val="center"/>
                </w:tcPr>
                <w:p>
                  <w:pPr>
                    <w:jc w:val="center"/>
                    <w:rPr>
                      <w:rFonts w:ascii="Times New Roman" w:hAnsi="Times New Roman"/>
                      <w:kern w:val="2"/>
                      <w:sz w:val="21"/>
                      <w:szCs w:val="21"/>
                    </w:rPr>
                  </w:pPr>
                  <w:r>
                    <w:rPr>
                      <w:rFonts w:ascii="Times New Roman" w:hAnsi="Times New Roman"/>
                      <w:spacing w:val="-10"/>
                      <w:sz w:val="21"/>
                      <w:szCs w:val="21"/>
                    </w:rPr>
                    <w:t>经集气装置收集，通过</w:t>
                  </w:r>
                  <w:r>
                    <w:rPr>
                      <w:rStyle w:val="39"/>
                      <w:rFonts w:hint="eastAsia"/>
                      <w:sz w:val="21"/>
                      <w:szCs w:val="24"/>
                    </w:rPr>
                    <w:t>活性炭吸附+催化燃烧装</w:t>
                  </w:r>
                  <w:r>
                    <w:rPr>
                      <w:rFonts w:ascii="Times New Roman" w:hAnsi="Times New Roman"/>
                      <w:spacing w:val="-10"/>
                      <w:sz w:val="21"/>
                      <w:szCs w:val="21"/>
                    </w:rPr>
                    <w:t>置处理后通过</w:t>
                  </w:r>
                  <w:r>
                    <w:rPr>
                      <w:rFonts w:hint="eastAsia" w:ascii="Times New Roman" w:hAnsi="Times New Roman"/>
                      <w:spacing w:val="-10"/>
                      <w:sz w:val="21"/>
                      <w:szCs w:val="21"/>
                    </w:rPr>
                    <w:t>15m高排气筒</w:t>
                  </w:r>
                  <w:r>
                    <w:rPr>
                      <w:rFonts w:ascii="Times New Roman" w:hAnsi="Times New Roman"/>
                      <w:spacing w:val="-10"/>
                      <w:sz w:val="21"/>
                      <w:szCs w:val="21"/>
                    </w:rPr>
                    <w:t>排放</w:t>
                  </w:r>
                </w:p>
              </w:tc>
              <w:tc>
                <w:tcPr>
                  <w:tcW w:w="3345" w:type="dxa"/>
                  <w:tcBorders>
                    <w:tl2br w:val="nil"/>
                    <w:tr2bl w:val="nil"/>
                  </w:tcBorders>
                  <w:vAlign w:val="center"/>
                </w:tcPr>
                <w:p>
                  <w:pPr>
                    <w:ind w:firstLine="420" w:firstLineChars="200"/>
                    <w:rPr>
                      <w:rFonts w:ascii="Times New Roman" w:hAnsi="Times New Roman"/>
                      <w:sz w:val="21"/>
                      <w:szCs w:val="21"/>
                    </w:rPr>
                  </w:pPr>
                  <w:r>
                    <w:rPr>
                      <w:rFonts w:ascii="Times New Roman" w:hAnsi="Times New Roman"/>
                      <w:sz w:val="21"/>
                      <w:szCs w:val="21"/>
                    </w:rPr>
                    <w:t>有组织VOC</w:t>
                  </w:r>
                  <w:r>
                    <w:rPr>
                      <w:rFonts w:ascii="Times New Roman" w:hAnsi="Times New Roman"/>
                      <w:sz w:val="21"/>
                      <w:szCs w:val="21"/>
                      <w:vertAlign w:val="subscript"/>
                    </w:rPr>
                    <w:t>s</w:t>
                  </w:r>
                  <w:r>
                    <w:rPr>
                      <w:rFonts w:hint="eastAsia" w:ascii="Times New Roman" w:hAnsi="Times New Roman"/>
                      <w:sz w:val="21"/>
                      <w:szCs w:val="21"/>
                    </w:rPr>
                    <w:t>排放浓度</w:t>
                  </w:r>
                  <w:r>
                    <w:rPr>
                      <w:rFonts w:ascii="Times New Roman" w:hAnsi="Times New Roman"/>
                      <w:sz w:val="21"/>
                      <w:szCs w:val="21"/>
                    </w:rPr>
                    <w:t>满足</w:t>
                  </w:r>
                  <w:r>
                    <w:rPr>
                      <w:rFonts w:hint="eastAsia" w:ascii="Times New Roman" w:hAnsi="Times New Roman"/>
                      <w:sz w:val="21"/>
                      <w:szCs w:val="21"/>
                    </w:rPr>
                    <w:t>《挥发性有机物排放标准第</w:t>
                  </w:r>
                  <w:r>
                    <w:rPr>
                      <w:rFonts w:ascii="Times New Roman" w:hAnsi="Times New Roman"/>
                      <w:sz w:val="21"/>
                      <w:szCs w:val="21"/>
                    </w:rPr>
                    <w:t>4部分：印刷业》(DB37/2801.4-2017)表2标准要求</w:t>
                  </w:r>
                </w:p>
                <w:p>
                  <w:pPr>
                    <w:rPr>
                      <w:rFonts w:ascii="Times New Roman" w:hAnsi="Times New Roman"/>
                      <w:kern w:val="0"/>
                      <w:sz w:val="21"/>
                      <w:szCs w:val="21"/>
                    </w:rPr>
                  </w:pPr>
                  <w:r>
                    <w:rPr>
                      <w:rFonts w:ascii="Times New Roman" w:hAnsi="Times New Roman"/>
                      <w:kern w:val="2"/>
                      <w:sz w:val="21"/>
                      <w:szCs w:val="21"/>
                    </w:rPr>
                    <w:t>无组织</w:t>
                  </w:r>
                  <w:r>
                    <w:rPr>
                      <w:rFonts w:ascii="Times New Roman" w:hAnsi="Times New Roman"/>
                      <w:kern w:val="0"/>
                      <w:sz w:val="21"/>
                      <w:szCs w:val="21"/>
                    </w:rPr>
                    <w:t>VOC</w:t>
                  </w:r>
                  <w:r>
                    <w:rPr>
                      <w:rFonts w:ascii="Times New Roman" w:hAnsi="Times New Roman"/>
                      <w:kern w:val="0"/>
                      <w:sz w:val="21"/>
                      <w:szCs w:val="21"/>
                      <w:vertAlign w:val="subscript"/>
                    </w:rPr>
                    <w:t>s</w:t>
                  </w:r>
                  <w:r>
                    <w:rPr>
                      <w:rFonts w:ascii="Times New Roman" w:hAnsi="Times New Roman"/>
                      <w:kern w:val="2"/>
                      <w:sz w:val="21"/>
                      <w:szCs w:val="21"/>
                    </w:rPr>
                    <w:t>排放</w:t>
                  </w:r>
                  <w:r>
                    <w:rPr>
                      <w:rFonts w:hint="eastAsia" w:ascii="Times New Roman" w:hAnsi="Times New Roman"/>
                      <w:kern w:val="2"/>
                      <w:sz w:val="21"/>
                      <w:szCs w:val="21"/>
                    </w:rPr>
                    <w:t>浓度</w:t>
                  </w:r>
                  <w:r>
                    <w:rPr>
                      <w:rFonts w:ascii="Times New Roman" w:hAnsi="Times New Roman"/>
                      <w:kern w:val="2"/>
                      <w:sz w:val="21"/>
                      <w:szCs w:val="21"/>
                    </w:rPr>
                    <w:t>满足《挥发性有机物无组织排放控制标准》（GB37822-2019）附录A.1排放限值要求及《挥发性有机物排放标准第4部分：印刷业》(DB37/2801.4-2017)表3标准要求</w:t>
                  </w:r>
                  <w:r>
                    <w:rPr>
                      <w:rFonts w:hint="eastAsia" w:ascii="Times New Roman" w:hAnsi="Times New Roman"/>
                      <w:kern w:val="2"/>
                      <w:sz w:val="21"/>
                      <w:szCs w:val="21"/>
                    </w:rPr>
                    <w:t>。</w:t>
                  </w:r>
                </w:p>
              </w:tc>
              <w:tc>
                <w:tcPr>
                  <w:tcW w:w="542" w:type="dxa"/>
                  <w:tcBorders>
                    <w:tl2br w:val="nil"/>
                    <w:tr2bl w:val="nil"/>
                  </w:tcBorders>
                  <w:vAlign w:val="center"/>
                </w:tcPr>
                <w:p>
                  <w:pPr>
                    <w:jc w:val="center"/>
                    <w:rPr>
                      <w:rFonts w:ascii="Times New Roman" w:hAnsi="Times New Roman"/>
                      <w:kern w:val="2"/>
                      <w:sz w:val="21"/>
                      <w:szCs w:val="21"/>
                    </w:rPr>
                  </w:pPr>
                  <w:r>
                    <w:rPr>
                      <w:rFonts w:hint="eastAsia" w:ascii="Times New Roman" w:hAnsi="Times New Roman"/>
                      <w:kern w:val="2"/>
                      <w:sz w:val="21"/>
                      <w:szCs w:val="21"/>
                    </w:rPr>
                    <w:t>17</w:t>
                  </w:r>
                </w:p>
              </w:tc>
              <w:tc>
                <w:tcPr>
                  <w:tcW w:w="542" w:type="dxa"/>
                  <w:tcBorders>
                    <w:tl2br w:val="nil"/>
                    <w:tr2bl w:val="nil"/>
                  </w:tcBorders>
                  <w:vAlign w:val="center"/>
                </w:tcPr>
                <w:p>
                  <w:pPr>
                    <w:jc w:val="center"/>
                    <w:rPr>
                      <w:rFonts w:ascii="Times New Roman" w:hAnsi="Times New Roman"/>
                      <w:kern w:val="2"/>
                      <w:sz w:val="21"/>
                      <w:szCs w:val="21"/>
                    </w:rPr>
                  </w:pPr>
                  <w:r>
                    <w:rPr>
                      <w:rFonts w:ascii="Times New Roman" w:hAnsi="Times New Roman"/>
                      <w:kern w:val="2"/>
                      <w:sz w:val="21"/>
                      <w:szCs w:val="21"/>
                    </w:rPr>
                    <w:t>达标</w:t>
                  </w:r>
                </w:p>
                <w:p>
                  <w:pPr>
                    <w:jc w:val="center"/>
                    <w:rPr>
                      <w:rFonts w:ascii="Times New Roman" w:hAnsi="Times New Roman"/>
                      <w:kern w:val="2"/>
                      <w:sz w:val="21"/>
                      <w:szCs w:val="21"/>
                    </w:rPr>
                  </w:pPr>
                  <w:r>
                    <w:rPr>
                      <w:rFonts w:ascii="Times New Roman" w:hAnsi="Times New Roman"/>
                      <w:kern w:val="2"/>
                      <w:sz w:val="21"/>
                      <w:szCs w:val="21"/>
                    </w:rPr>
                    <w:t>排放</w:t>
                  </w:r>
                </w:p>
              </w:tc>
              <w:tc>
                <w:tcPr>
                  <w:tcW w:w="505" w:type="dxa"/>
                  <w:vMerge w:val="restart"/>
                  <w:tcBorders>
                    <w:tl2br w:val="nil"/>
                    <w:tr2bl w:val="nil"/>
                  </w:tcBorders>
                  <w:vAlign w:val="center"/>
                </w:tcPr>
                <w:p>
                  <w:pPr>
                    <w:jc w:val="center"/>
                    <w:rPr>
                      <w:rFonts w:ascii="Times New Roman" w:hAnsi="Times New Roman"/>
                      <w:kern w:val="2"/>
                      <w:sz w:val="21"/>
                      <w:szCs w:val="21"/>
                    </w:rPr>
                  </w:pPr>
                  <w:r>
                    <w:rPr>
                      <w:rFonts w:ascii="Times New Roman" w:hAnsi="Times New Roman"/>
                      <w:kern w:val="2"/>
                      <w:sz w:val="21"/>
                      <w:szCs w:val="21"/>
                    </w:rPr>
                    <w:t>与主体工程同时设计、同时施工、同时投入运行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trPr>
              <w:tc>
                <w:tcPr>
                  <w:tcW w:w="682" w:type="dxa"/>
                  <w:tcBorders>
                    <w:tl2br w:val="nil"/>
                    <w:tr2bl w:val="nil"/>
                  </w:tcBorders>
                  <w:vAlign w:val="center"/>
                </w:tcPr>
                <w:p>
                  <w:pPr>
                    <w:jc w:val="center"/>
                    <w:rPr>
                      <w:rFonts w:ascii="Times New Roman" w:hAnsi="Times New Roman"/>
                      <w:kern w:val="2"/>
                      <w:sz w:val="21"/>
                      <w:szCs w:val="21"/>
                    </w:rPr>
                  </w:pPr>
                  <w:r>
                    <w:rPr>
                      <w:rFonts w:ascii="Times New Roman" w:hAnsi="Times New Roman"/>
                      <w:kern w:val="2"/>
                      <w:sz w:val="21"/>
                      <w:szCs w:val="21"/>
                    </w:rPr>
                    <w:t>水</w:t>
                  </w:r>
                </w:p>
                <w:p>
                  <w:pPr>
                    <w:jc w:val="center"/>
                    <w:rPr>
                      <w:rFonts w:ascii="Times New Roman" w:hAnsi="Times New Roman"/>
                      <w:kern w:val="2"/>
                      <w:sz w:val="21"/>
                      <w:szCs w:val="21"/>
                    </w:rPr>
                  </w:pPr>
                  <w:r>
                    <w:rPr>
                      <w:rFonts w:ascii="Times New Roman" w:hAnsi="Times New Roman"/>
                      <w:kern w:val="2"/>
                      <w:sz w:val="21"/>
                      <w:szCs w:val="21"/>
                    </w:rPr>
                    <w:t>污</w:t>
                  </w:r>
                </w:p>
                <w:p>
                  <w:pPr>
                    <w:jc w:val="center"/>
                    <w:rPr>
                      <w:rFonts w:ascii="Times New Roman" w:hAnsi="Times New Roman"/>
                      <w:kern w:val="2"/>
                      <w:sz w:val="21"/>
                      <w:szCs w:val="21"/>
                    </w:rPr>
                  </w:pPr>
                  <w:r>
                    <w:rPr>
                      <w:rFonts w:ascii="Times New Roman" w:hAnsi="Times New Roman"/>
                      <w:kern w:val="2"/>
                      <w:sz w:val="21"/>
                      <w:szCs w:val="21"/>
                    </w:rPr>
                    <w:t>染</w:t>
                  </w:r>
                </w:p>
                <w:p>
                  <w:pPr>
                    <w:jc w:val="center"/>
                    <w:rPr>
                      <w:rFonts w:ascii="Times New Roman" w:hAnsi="Times New Roman"/>
                      <w:kern w:val="2"/>
                      <w:sz w:val="21"/>
                      <w:szCs w:val="21"/>
                    </w:rPr>
                  </w:pPr>
                  <w:r>
                    <w:rPr>
                      <w:rFonts w:ascii="Times New Roman" w:hAnsi="Times New Roman"/>
                      <w:kern w:val="2"/>
                      <w:sz w:val="21"/>
                      <w:szCs w:val="21"/>
                    </w:rPr>
                    <w:t>物</w:t>
                  </w:r>
                </w:p>
              </w:tc>
              <w:tc>
                <w:tcPr>
                  <w:tcW w:w="729" w:type="dxa"/>
                  <w:tcBorders>
                    <w:tl2br w:val="nil"/>
                    <w:tr2bl w:val="nil"/>
                  </w:tcBorders>
                  <w:vAlign w:val="center"/>
                </w:tcPr>
                <w:p>
                  <w:pPr>
                    <w:jc w:val="center"/>
                    <w:rPr>
                      <w:rFonts w:ascii="Times New Roman" w:hAnsi="Times New Roman"/>
                      <w:kern w:val="2"/>
                      <w:sz w:val="21"/>
                      <w:szCs w:val="21"/>
                    </w:rPr>
                  </w:pPr>
                  <w:r>
                    <w:rPr>
                      <w:rFonts w:ascii="Times New Roman" w:hAnsi="Times New Roman"/>
                      <w:kern w:val="2"/>
                      <w:sz w:val="21"/>
                      <w:szCs w:val="21"/>
                    </w:rPr>
                    <w:t>生活</w:t>
                  </w:r>
                  <w:r>
                    <w:rPr>
                      <w:rFonts w:hint="eastAsia" w:ascii="Times New Roman" w:hAnsi="Times New Roman"/>
                      <w:kern w:val="2"/>
                      <w:sz w:val="21"/>
                      <w:szCs w:val="21"/>
                    </w:rPr>
                    <w:t>污水</w:t>
                  </w:r>
                </w:p>
              </w:tc>
              <w:tc>
                <w:tcPr>
                  <w:tcW w:w="1087" w:type="dxa"/>
                  <w:tcBorders>
                    <w:tl2br w:val="nil"/>
                    <w:tr2bl w:val="nil"/>
                  </w:tcBorders>
                  <w:vAlign w:val="center"/>
                </w:tcPr>
                <w:p>
                  <w:pPr>
                    <w:jc w:val="center"/>
                    <w:rPr>
                      <w:rFonts w:ascii="Times New Roman" w:hAnsi="Times New Roman"/>
                      <w:kern w:val="2"/>
                      <w:sz w:val="21"/>
                      <w:szCs w:val="21"/>
                    </w:rPr>
                  </w:pPr>
                  <w:r>
                    <w:rPr>
                      <w:rFonts w:ascii="Times New Roman" w:hAnsi="Times New Roman"/>
                      <w:kern w:val="2"/>
                      <w:sz w:val="21"/>
                      <w:szCs w:val="21"/>
                    </w:rPr>
                    <w:t>COD</w:t>
                  </w:r>
                </w:p>
                <w:p>
                  <w:pPr>
                    <w:jc w:val="center"/>
                    <w:rPr>
                      <w:rFonts w:ascii="Times New Roman" w:hAnsi="Times New Roman"/>
                      <w:kern w:val="2"/>
                      <w:sz w:val="21"/>
                      <w:szCs w:val="21"/>
                    </w:rPr>
                  </w:pPr>
                  <w:r>
                    <w:rPr>
                      <w:rFonts w:ascii="Times New Roman" w:hAnsi="Times New Roman"/>
                      <w:kern w:val="2"/>
                      <w:sz w:val="21"/>
                      <w:szCs w:val="21"/>
                    </w:rPr>
                    <w:t>氨氮</w:t>
                  </w:r>
                </w:p>
              </w:tc>
              <w:tc>
                <w:tcPr>
                  <w:tcW w:w="2027" w:type="dxa"/>
                  <w:tcBorders>
                    <w:tl2br w:val="nil"/>
                    <w:tr2bl w:val="nil"/>
                  </w:tcBorders>
                  <w:vAlign w:val="center"/>
                </w:tcPr>
                <w:p>
                  <w:pPr>
                    <w:jc w:val="center"/>
                    <w:rPr>
                      <w:rFonts w:ascii="Times New Roman" w:hAnsi="Times New Roman"/>
                      <w:kern w:val="2"/>
                      <w:sz w:val="21"/>
                      <w:szCs w:val="21"/>
                    </w:rPr>
                  </w:pPr>
                  <w:r>
                    <w:rPr>
                      <w:rFonts w:hint="eastAsia" w:ascii="Times New Roman" w:hAnsi="Times New Roman"/>
                      <w:sz w:val="21"/>
                      <w:szCs w:val="21"/>
                    </w:rPr>
                    <w:t>生活污水</w:t>
                  </w:r>
                  <w:r>
                    <w:rPr>
                      <w:rFonts w:ascii="Times New Roman" w:hAnsi="Times New Roman"/>
                      <w:sz w:val="21"/>
                      <w:szCs w:val="21"/>
                    </w:rPr>
                    <w:t>经化粪池处理后排入威海水务集团投资有限公司</w:t>
                  </w:r>
                  <w:r>
                    <w:rPr>
                      <w:rFonts w:hint="eastAsia" w:ascii="Times New Roman" w:hAnsi="Times New Roman"/>
                      <w:sz w:val="21"/>
                      <w:szCs w:val="21"/>
                    </w:rPr>
                    <w:t>崮山污水处理厂</w:t>
                  </w:r>
                  <w:r>
                    <w:rPr>
                      <w:rFonts w:ascii="Times New Roman" w:hAnsi="Times New Roman"/>
                      <w:sz w:val="21"/>
                      <w:szCs w:val="21"/>
                    </w:rPr>
                    <w:t>处理达标后排放</w:t>
                  </w:r>
                </w:p>
              </w:tc>
              <w:tc>
                <w:tcPr>
                  <w:tcW w:w="3345" w:type="dxa"/>
                  <w:tcBorders>
                    <w:tl2br w:val="nil"/>
                    <w:tr2bl w:val="nil"/>
                  </w:tcBorders>
                  <w:vAlign w:val="center"/>
                </w:tcPr>
                <w:p>
                  <w:pPr>
                    <w:jc w:val="center"/>
                    <w:rPr>
                      <w:rFonts w:ascii="Times New Roman" w:hAnsi="Times New Roman"/>
                      <w:kern w:val="2"/>
                      <w:sz w:val="21"/>
                      <w:szCs w:val="21"/>
                    </w:rPr>
                  </w:pPr>
                  <w:r>
                    <w:rPr>
                      <w:rFonts w:ascii="Times New Roman" w:hAnsi="Times New Roman"/>
                      <w:kern w:val="2"/>
                      <w:sz w:val="21"/>
                      <w:szCs w:val="21"/>
                    </w:rPr>
                    <w:t>达到</w:t>
                  </w:r>
                  <w:r>
                    <w:rPr>
                      <w:rFonts w:ascii="Times New Roman" w:hAnsi="Times New Roman"/>
                      <w:sz w:val="21"/>
                      <w:szCs w:val="21"/>
                    </w:rPr>
                    <w:t>《污水排入城镇下水道水质标准》（GB/T31962-2015）表1 B等级标准</w:t>
                  </w:r>
                </w:p>
              </w:tc>
              <w:tc>
                <w:tcPr>
                  <w:tcW w:w="542" w:type="dxa"/>
                  <w:tcBorders>
                    <w:tl2br w:val="nil"/>
                    <w:tr2bl w:val="nil"/>
                  </w:tcBorders>
                  <w:vAlign w:val="center"/>
                </w:tcPr>
                <w:p>
                  <w:pPr>
                    <w:jc w:val="center"/>
                    <w:rPr>
                      <w:rFonts w:ascii="Times New Roman" w:hAnsi="Times New Roman"/>
                      <w:kern w:val="2"/>
                      <w:sz w:val="21"/>
                      <w:szCs w:val="21"/>
                    </w:rPr>
                  </w:pPr>
                  <w:r>
                    <w:rPr>
                      <w:rFonts w:hint="eastAsia" w:ascii="Times New Roman" w:hAnsi="Times New Roman"/>
                      <w:kern w:val="2"/>
                      <w:sz w:val="21"/>
                      <w:szCs w:val="21"/>
                    </w:rPr>
                    <w:t>1</w:t>
                  </w:r>
                </w:p>
              </w:tc>
              <w:tc>
                <w:tcPr>
                  <w:tcW w:w="542" w:type="dxa"/>
                  <w:tcBorders>
                    <w:tl2br w:val="nil"/>
                    <w:tr2bl w:val="nil"/>
                  </w:tcBorders>
                  <w:vAlign w:val="center"/>
                </w:tcPr>
                <w:p>
                  <w:pPr>
                    <w:jc w:val="center"/>
                    <w:rPr>
                      <w:rFonts w:ascii="Times New Roman" w:hAnsi="Times New Roman"/>
                      <w:kern w:val="2"/>
                      <w:sz w:val="21"/>
                      <w:szCs w:val="21"/>
                    </w:rPr>
                  </w:pPr>
                  <w:r>
                    <w:rPr>
                      <w:rFonts w:ascii="Times New Roman" w:hAnsi="Times New Roman"/>
                      <w:kern w:val="2"/>
                      <w:sz w:val="21"/>
                      <w:szCs w:val="21"/>
                    </w:rPr>
                    <w:t>达标</w:t>
                  </w:r>
                </w:p>
                <w:p>
                  <w:pPr>
                    <w:jc w:val="center"/>
                    <w:rPr>
                      <w:rFonts w:ascii="Times New Roman" w:hAnsi="Times New Roman"/>
                      <w:kern w:val="2"/>
                      <w:sz w:val="21"/>
                      <w:szCs w:val="21"/>
                    </w:rPr>
                  </w:pPr>
                  <w:r>
                    <w:rPr>
                      <w:rFonts w:ascii="Times New Roman" w:hAnsi="Times New Roman"/>
                      <w:kern w:val="2"/>
                      <w:sz w:val="21"/>
                      <w:szCs w:val="21"/>
                    </w:rPr>
                    <w:t>排放</w:t>
                  </w:r>
                </w:p>
              </w:tc>
              <w:tc>
                <w:tcPr>
                  <w:tcW w:w="505" w:type="dxa"/>
                  <w:vMerge w:val="continue"/>
                  <w:tcBorders>
                    <w:tl2br w:val="nil"/>
                    <w:tr2bl w:val="nil"/>
                  </w:tcBorders>
                  <w:vAlign w:val="center"/>
                </w:tcPr>
                <w:p>
                  <w:pPr>
                    <w:widowControl/>
                    <w:jc w:val="left"/>
                    <w:rPr>
                      <w:rFonts w:ascii="Times New Roman" w:hAnsi="Times New Roman"/>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48" w:hRule="atLeast"/>
              </w:trPr>
              <w:tc>
                <w:tcPr>
                  <w:tcW w:w="682" w:type="dxa"/>
                  <w:vMerge w:val="restart"/>
                  <w:tcBorders>
                    <w:tl2br w:val="nil"/>
                    <w:tr2bl w:val="nil"/>
                  </w:tcBorders>
                  <w:vAlign w:val="center"/>
                </w:tcPr>
                <w:p>
                  <w:pPr>
                    <w:jc w:val="center"/>
                    <w:rPr>
                      <w:rFonts w:ascii="Times New Roman" w:hAnsi="Times New Roman"/>
                      <w:kern w:val="2"/>
                      <w:sz w:val="21"/>
                      <w:szCs w:val="21"/>
                    </w:rPr>
                  </w:pPr>
                  <w:r>
                    <w:rPr>
                      <w:rFonts w:ascii="Times New Roman" w:hAnsi="Times New Roman"/>
                      <w:kern w:val="2"/>
                      <w:sz w:val="21"/>
                      <w:szCs w:val="21"/>
                    </w:rPr>
                    <w:t>固</w:t>
                  </w:r>
                </w:p>
                <w:p>
                  <w:pPr>
                    <w:jc w:val="center"/>
                    <w:rPr>
                      <w:rFonts w:ascii="Times New Roman" w:hAnsi="Times New Roman"/>
                      <w:kern w:val="2"/>
                      <w:sz w:val="21"/>
                      <w:szCs w:val="21"/>
                    </w:rPr>
                  </w:pPr>
                  <w:r>
                    <w:rPr>
                      <w:rFonts w:ascii="Times New Roman" w:hAnsi="Times New Roman"/>
                      <w:kern w:val="2"/>
                      <w:sz w:val="21"/>
                      <w:szCs w:val="21"/>
                    </w:rPr>
                    <w:t>体</w:t>
                  </w:r>
                </w:p>
                <w:p>
                  <w:pPr>
                    <w:jc w:val="center"/>
                    <w:rPr>
                      <w:rFonts w:ascii="Times New Roman" w:hAnsi="Times New Roman"/>
                      <w:kern w:val="2"/>
                      <w:sz w:val="21"/>
                      <w:szCs w:val="21"/>
                    </w:rPr>
                  </w:pPr>
                  <w:r>
                    <w:rPr>
                      <w:rFonts w:ascii="Times New Roman" w:hAnsi="Times New Roman"/>
                      <w:kern w:val="2"/>
                      <w:sz w:val="21"/>
                      <w:szCs w:val="21"/>
                    </w:rPr>
                    <w:t>废</w:t>
                  </w:r>
                </w:p>
                <w:p>
                  <w:pPr>
                    <w:jc w:val="center"/>
                    <w:rPr>
                      <w:rFonts w:ascii="Times New Roman" w:hAnsi="Times New Roman"/>
                      <w:kern w:val="2"/>
                      <w:sz w:val="21"/>
                      <w:szCs w:val="21"/>
                    </w:rPr>
                  </w:pPr>
                  <w:r>
                    <w:rPr>
                      <w:rFonts w:ascii="Times New Roman" w:hAnsi="Times New Roman"/>
                      <w:kern w:val="2"/>
                      <w:sz w:val="21"/>
                      <w:szCs w:val="21"/>
                    </w:rPr>
                    <w:t>物</w:t>
                  </w:r>
                </w:p>
              </w:tc>
              <w:tc>
                <w:tcPr>
                  <w:tcW w:w="729" w:type="dxa"/>
                  <w:tcBorders>
                    <w:tl2br w:val="nil"/>
                    <w:tr2bl w:val="nil"/>
                  </w:tcBorders>
                  <w:vAlign w:val="center"/>
                </w:tcPr>
                <w:p>
                  <w:pPr>
                    <w:jc w:val="center"/>
                    <w:rPr>
                      <w:rFonts w:ascii="Times New Roman" w:hAnsi="Times New Roman"/>
                      <w:spacing w:val="20"/>
                      <w:sz w:val="21"/>
                      <w:szCs w:val="21"/>
                    </w:rPr>
                  </w:pPr>
                  <w:r>
                    <w:rPr>
                      <w:rFonts w:ascii="Times New Roman" w:hAnsi="Times New Roman"/>
                      <w:sz w:val="21"/>
                      <w:szCs w:val="21"/>
                    </w:rPr>
                    <w:t>生活</w:t>
                  </w:r>
                </w:p>
              </w:tc>
              <w:tc>
                <w:tcPr>
                  <w:tcW w:w="1087" w:type="dxa"/>
                  <w:tcBorders>
                    <w:tl2br w:val="nil"/>
                    <w:tr2bl w:val="nil"/>
                  </w:tcBorders>
                  <w:vAlign w:val="center"/>
                </w:tcPr>
                <w:p>
                  <w:pPr>
                    <w:pStyle w:val="22"/>
                    <w:rPr>
                      <w:szCs w:val="21"/>
                    </w:rPr>
                  </w:pPr>
                  <w:r>
                    <w:rPr>
                      <w:szCs w:val="21"/>
                    </w:rPr>
                    <w:t>生活垃圾</w:t>
                  </w:r>
                </w:p>
              </w:tc>
              <w:tc>
                <w:tcPr>
                  <w:tcW w:w="2027" w:type="dxa"/>
                  <w:tcBorders>
                    <w:tl2br w:val="nil"/>
                    <w:tr2bl w:val="nil"/>
                  </w:tcBorders>
                  <w:vAlign w:val="center"/>
                </w:tcPr>
                <w:p>
                  <w:pPr>
                    <w:snapToGrid w:val="0"/>
                    <w:spacing w:line="0" w:lineRule="atLeast"/>
                    <w:jc w:val="center"/>
                    <w:rPr>
                      <w:rFonts w:ascii="Times New Roman" w:hAnsi="Times New Roman"/>
                      <w:sz w:val="21"/>
                      <w:szCs w:val="21"/>
                    </w:rPr>
                  </w:pPr>
                  <w:r>
                    <w:rPr>
                      <w:rFonts w:ascii="Times New Roman" w:hAnsi="Times New Roman"/>
                      <w:sz w:val="21"/>
                      <w:szCs w:val="21"/>
                    </w:rPr>
                    <w:t>由环卫部门统一清运</w:t>
                  </w:r>
                </w:p>
              </w:tc>
              <w:tc>
                <w:tcPr>
                  <w:tcW w:w="3345" w:type="dxa"/>
                  <w:vMerge w:val="restart"/>
                  <w:tcBorders>
                    <w:tl2br w:val="nil"/>
                    <w:tr2bl w:val="nil"/>
                  </w:tcBorders>
                  <w:vAlign w:val="center"/>
                </w:tcPr>
                <w:p>
                  <w:pPr>
                    <w:jc w:val="center"/>
                    <w:rPr>
                      <w:rFonts w:ascii="Times New Roman" w:hAnsi="Times New Roman"/>
                      <w:kern w:val="2"/>
                      <w:sz w:val="21"/>
                      <w:szCs w:val="21"/>
                    </w:rPr>
                  </w:pPr>
                  <w:r>
                    <w:rPr>
                      <w:rFonts w:ascii="Times New Roman" w:hAnsi="Times New Roman"/>
                      <w:kern w:val="2"/>
                      <w:sz w:val="21"/>
                      <w:szCs w:val="21"/>
                    </w:rPr>
                    <w:t>《一般工业固体废物贮存、处置污染控制标准》（GB18599-2001及2013年修改单）</w:t>
                  </w:r>
                </w:p>
              </w:tc>
              <w:tc>
                <w:tcPr>
                  <w:tcW w:w="542" w:type="dxa"/>
                  <w:vMerge w:val="restart"/>
                  <w:tcBorders>
                    <w:tl2br w:val="nil"/>
                    <w:tr2bl w:val="nil"/>
                  </w:tcBorders>
                  <w:vAlign w:val="center"/>
                </w:tcPr>
                <w:p>
                  <w:pPr>
                    <w:jc w:val="center"/>
                    <w:rPr>
                      <w:rFonts w:ascii="Times New Roman" w:hAnsi="Times New Roman"/>
                      <w:kern w:val="2"/>
                      <w:sz w:val="21"/>
                      <w:szCs w:val="21"/>
                    </w:rPr>
                  </w:pPr>
                  <w:r>
                    <w:rPr>
                      <w:rFonts w:hint="eastAsia" w:ascii="Times New Roman" w:hAnsi="Times New Roman"/>
                      <w:kern w:val="2"/>
                      <w:sz w:val="21"/>
                      <w:szCs w:val="21"/>
                    </w:rPr>
                    <w:t>0.5</w:t>
                  </w:r>
                </w:p>
              </w:tc>
              <w:tc>
                <w:tcPr>
                  <w:tcW w:w="542" w:type="dxa"/>
                  <w:vMerge w:val="restart"/>
                  <w:tcBorders>
                    <w:tl2br w:val="nil"/>
                    <w:tr2bl w:val="nil"/>
                  </w:tcBorders>
                  <w:vAlign w:val="center"/>
                </w:tcPr>
                <w:p>
                  <w:pPr>
                    <w:jc w:val="center"/>
                    <w:rPr>
                      <w:rFonts w:ascii="Times New Roman" w:hAnsi="Times New Roman"/>
                      <w:kern w:val="2"/>
                      <w:sz w:val="21"/>
                      <w:szCs w:val="21"/>
                    </w:rPr>
                  </w:pPr>
                  <w:r>
                    <w:rPr>
                      <w:rFonts w:ascii="Times New Roman" w:hAnsi="Times New Roman"/>
                      <w:kern w:val="2"/>
                      <w:sz w:val="21"/>
                      <w:szCs w:val="21"/>
                    </w:rPr>
                    <w:t>零排放</w:t>
                  </w:r>
                </w:p>
              </w:tc>
              <w:tc>
                <w:tcPr>
                  <w:tcW w:w="505" w:type="dxa"/>
                  <w:vMerge w:val="continue"/>
                  <w:tcBorders>
                    <w:tl2br w:val="nil"/>
                    <w:tr2bl w:val="nil"/>
                  </w:tcBorders>
                  <w:vAlign w:val="center"/>
                </w:tcPr>
                <w:p>
                  <w:pPr>
                    <w:widowControl/>
                    <w:jc w:val="left"/>
                    <w:rPr>
                      <w:rFonts w:ascii="Times New Roman" w:hAnsi="Times New Roman"/>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24" w:hRule="atLeast"/>
              </w:trPr>
              <w:tc>
                <w:tcPr>
                  <w:tcW w:w="682" w:type="dxa"/>
                  <w:vMerge w:val="continue"/>
                  <w:tcBorders>
                    <w:tl2br w:val="nil"/>
                    <w:tr2bl w:val="nil"/>
                  </w:tcBorders>
                  <w:vAlign w:val="center"/>
                </w:tcPr>
                <w:p>
                  <w:pPr>
                    <w:jc w:val="center"/>
                    <w:rPr>
                      <w:rFonts w:ascii="Times New Roman" w:hAnsi="Times New Roman"/>
                      <w:kern w:val="2"/>
                      <w:sz w:val="21"/>
                      <w:szCs w:val="21"/>
                    </w:rPr>
                  </w:pPr>
                </w:p>
              </w:tc>
              <w:tc>
                <w:tcPr>
                  <w:tcW w:w="729" w:type="dxa"/>
                  <w:vMerge w:val="restart"/>
                  <w:tcBorders>
                    <w:tl2br w:val="nil"/>
                    <w:tr2bl w:val="nil"/>
                  </w:tcBorders>
                  <w:vAlign w:val="center"/>
                </w:tcPr>
                <w:p>
                  <w:pPr>
                    <w:jc w:val="center"/>
                    <w:rPr>
                      <w:rFonts w:ascii="Times New Roman" w:hAnsi="Times New Roman"/>
                      <w:sz w:val="21"/>
                      <w:szCs w:val="21"/>
                    </w:rPr>
                  </w:pPr>
                  <w:r>
                    <w:rPr>
                      <w:rFonts w:ascii="Times New Roman" w:hAnsi="Times New Roman"/>
                      <w:sz w:val="21"/>
                      <w:szCs w:val="21"/>
                    </w:rPr>
                    <w:t>生产</w:t>
                  </w:r>
                </w:p>
              </w:tc>
              <w:tc>
                <w:tcPr>
                  <w:tcW w:w="1087" w:type="dxa"/>
                  <w:tcBorders>
                    <w:tl2br w:val="nil"/>
                    <w:tr2bl w:val="nil"/>
                  </w:tcBorders>
                  <w:vAlign w:val="center"/>
                </w:tcPr>
                <w:p>
                  <w:pPr>
                    <w:pStyle w:val="22"/>
                    <w:rPr>
                      <w:szCs w:val="21"/>
                    </w:rPr>
                  </w:pPr>
                  <w:r>
                    <w:rPr>
                      <w:rFonts w:hint="eastAsia"/>
                      <w:szCs w:val="21"/>
                    </w:rPr>
                    <w:t>下脚</w:t>
                  </w:r>
                  <w:r>
                    <w:rPr>
                      <w:szCs w:val="21"/>
                    </w:rPr>
                    <w:t>料</w:t>
                  </w:r>
                </w:p>
              </w:tc>
              <w:tc>
                <w:tcPr>
                  <w:tcW w:w="2027" w:type="dxa"/>
                  <w:tcBorders>
                    <w:tl2br w:val="nil"/>
                    <w:tr2bl w:val="nil"/>
                  </w:tcBorders>
                  <w:vAlign w:val="center"/>
                </w:tcPr>
                <w:p>
                  <w:pPr>
                    <w:snapToGrid w:val="0"/>
                    <w:spacing w:line="0" w:lineRule="atLeast"/>
                    <w:jc w:val="center"/>
                    <w:rPr>
                      <w:rFonts w:ascii="Times New Roman" w:hAnsi="Times New Roman"/>
                      <w:sz w:val="21"/>
                      <w:szCs w:val="21"/>
                    </w:rPr>
                  </w:pPr>
                  <w:r>
                    <w:rPr>
                      <w:rFonts w:ascii="Times New Roman" w:hAnsi="Times New Roman"/>
                      <w:sz w:val="21"/>
                      <w:szCs w:val="21"/>
                    </w:rPr>
                    <w:t>外售废品回收单位</w:t>
                  </w:r>
                </w:p>
              </w:tc>
              <w:tc>
                <w:tcPr>
                  <w:tcW w:w="3345" w:type="dxa"/>
                  <w:vMerge w:val="continue"/>
                  <w:tcBorders>
                    <w:tl2br w:val="nil"/>
                    <w:tr2bl w:val="nil"/>
                  </w:tcBorders>
                  <w:vAlign w:val="center"/>
                </w:tcPr>
                <w:p>
                  <w:pPr>
                    <w:jc w:val="center"/>
                    <w:rPr>
                      <w:rFonts w:ascii="Times New Roman" w:hAnsi="Times New Roman"/>
                      <w:kern w:val="2"/>
                      <w:sz w:val="21"/>
                      <w:szCs w:val="21"/>
                    </w:rPr>
                  </w:pPr>
                </w:p>
              </w:tc>
              <w:tc>
                <w:tcPr>
                  <w:tcW w:w="542" w:type="dxa"/>
                  <w:vMerge w:val="continue"/>
                  <w:tcBorders>
                    <w:tl2br w:val="nil"/>
                    <w:tr2bl w:val="nil"/>
                  </w:tcBorders>
                  <w:vAlign w:val="center"/>
                </w:tcPr>
                <w:p>
                  <w:pPr>
                    <w:jc w:val="center"/>
                    <w:rPr>
                      <w:rFonts w:ascii="Times New Roman" w:hAnsi="Times New Roman"/>
                      <w:kern w:val="2"/>
                      <w:sz w:val="21"/>
                      <w:szCs w:val="21"/>
                    </w:rPr>
                  </w:pPr>
                </w:p>
              </w:tc>
              <w:tc>
                <w:tcPr>
                  <w:tcW w:w="542" w:type="dxa"/>
                  <w:vMerge w:val="continue"/>
                  <w:tcBorders>
                    <w:tl2br w:val="nil"/>
                    <w:tr2bl w:val="nil"/>
                  </w:tcBorders>
                  <w:vAlign w:val="center"/>
                </w:tcPr>
                <w:p>
                  <w:pPr>
                    <w:jc w:val="center"/>
                    <w:rPr>
                      <w:rFonts w:ascii="Times New Roman" w:hAnsi="Times New Roman"/>
                      <w:kern w:val="2"/>
                      <w:sz w:val="21"/>
                      <w:szCs w:val="21"/>
                    </w:rPr>
                  </w:pPr>
                </w:p>
              </w:tc>
              <w:tc>
                <w:tcPr>
                  <w:tcW w:w="505" w:type="dxa"/>
                  <w:vMerge w:val="continue"/>
                  <w:tcBorders>
                    <w:tl2br w:val="nil"/>
                    <w:tr2bl w:val="nil"/>
                  </w:tcBorders>
                  <w:vAlign w:val="center"/>
                </w:tcPr>
                <w:p>
                  <w:pPr>
                    <w:widowControl/>
                    <w:jc w:val="left"/>
                    <w:rPr>
                      <w:rFonts w:ascii="Times New Roman" w:hAnsi="Times New Roman"/>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5" w:hRule="atLeast"/>
              </w:trPr>
              <w:tc>
                <w:tcPr>
                  <w:tcW w:w="682" w:type="dxa"/>
                  <w:vMerge w:val="continue"/>
                  <w:tcBorders>
                    <w:tl2br w:val="nil"/>
                    <w:tr2bl w:val="nil"/>
                  </w:tcBorders>
                  <w:vAlign w:val="center"/>
                </w:tcPr>
                <w:p>
                  <w:pPr>
                    <w:jc w:val="center"/>
                    <w:rPr>
                      <w:rFonts w:ascii="Times New Roman" w:hAnsi="Times New Roman"/>
                      <w:kern w:val="2"/>
                      <w:sz w:val="21"/>
                      <w:szCs w:val="21"/>
                    </w:rPr>
                  </w:pPr>
                </w:p>
              </w:tc>
              <w:tc>
                <w:tcPr>
                  <w:tcW w:w="729" w:type="dxa"/>
                  <w:vMerge w:val="continue"/>
                  <w:tcBorders>
                    <w:tl2br w:val="nil"/>
                    <w:tr2bl w:val="nil"/>
                  </w:tcBorders>
                  <w:vAlign w:val="center"/>
                </w:tcPr>
                <w:p>
                  <w:pPr>
                    <w:jc w:val="center"/>
                    <w:rPr>
                      <w:rFonts w:ascii="Times New Roman" w:hAnsi="Times New Roman"/>
                      <w:sz w:val="21"/>
                      <w:szCs w:val="21"/>
                    </w:rPr>
                  </w:pPr>
                </w:p>
              </w:tc>
              <w:tc>
                <w:tcPr>
                  <w:tcW w:w="1087" w:type="dxa"/>
                  <w:tcBorders>
                    <w:tl2br w:val="nil"/>
                    <w:tr2bl w:val="nil"/>
                  </w:tcBorders>
                </w:tcPr>
                <w:p>
                  <w:pPr>
                    <w:pStyle w:val="22"/>
                    <w:rPr>
                      <w:szCs w:val="21"/>
                    </w:rPr>
                  </w:pPr>
                  <w:r>
                    <w:rPr>
                      <w:szCs w:val="21"/>
                    </w:rPr>
                    <w:t>废活性炭</w:t>
                  </w:r>
                </w:p>
              </w:tc>
              <w:tc>
                <w:tcPr>
                  <w:tcW w:w="2027" w:type="dxa"/>
                  <w:vMerge w:val="restart"/>
                  <w:tcBorders>
                    <w:tl2br w:val="nil"/>
                    <w:tr2bl w:val="nil"/>
                  </w:tcBorders>
                  <w:vAlign w:val="center"/>
                </w:tcPr>
                <w:p>
                  <w:pPr>
                    <w:jc w:val="center"/>
                    <w:rPr>
                      <w:rFonts w:ascii="Times New Roman" w:hAnsi="Times New Roman"/>
                      <w:kern w:val="2"/>
                      <w:sz w:val="21"/>
                      <w:szCs w:val="21"/>
                    </w:rPr>
                  </w:pPr>
                  <w:r>
                    <w:rPr>
                      <w:rFonts w:ascii="Times New Roman" w:hAnsi="Times New Roman"/>
                      <w:sz w:val="21"/>
                      <w:szCs w:val="21"/>
                    </w:rPr>
                    <w:t>暂存于危废库，由具有危险废物处理资质的单位拉走处理</w:t>
                  </w:r>
                </w:p>
              </w:tc>
              <w:tc>
                <w:tcPr>
                  <w:tcW w:w="3345" w:type="dxa"/>
                  <w:vMerge w:val="restart"/>
                  <w:tcBorders>
                    <w:tl2br w:val="nil"/>
                    <w:tr2bl w:val="nil"/>
                  </w:tcBorders>
                  <w:vAlign w:val="center"/>
                </w:tcPr>
                <w:p>
                  <w:pPr>
                    <w:pStyle w:val="22"/>
                    <w:rPr>
                      <w:kern w:val="2"/>
                      <w:szCs w:val="21"/>
                    </w:rPr>
                  </w:pPr>
                  <w:r>
                    <w:t>《危险废物贮存污染控制标准》（GB18597－2001）</w:t>
                  </w:r>
                  <w:r>
                    <w:rPr>
                      <w:rFonts w:hint="eastAsia"/>
                    </w:rPr>
                    <w:t>及修改单</w:t>
                  </w:r>
                </w:p>
              </w:tc>
              <w:tc>
                <w:tcPr>
                  <w:tcW w:w="542" w:type="dxa"/>
                  <w:vMerge w:val="continue"/>
                  <w:tcBorders>
                    <w:tl2br w:val="nil"/>
                    <w:tr2bl w:val="nil"/>
                  </w:tcBorders>
                  <w:vAlign w:val="center"/>
                </w:tcPr>
                <w:p>
                  <w:pPr>
                    <w:jc w:val="center"/>
                    <w:rPr>
                      <w:rFonts w:ascii="Times New Roman" w:hAnsi="Times New Roman"/>
                      <w:kern w:val="2"/>
                      <w:sz w:val="21"/>
                      <w:szCs w:val="21"/>
                    </w:rPr>
                  </w:pPr>
                </w:p>
              </w:tc>
              <w:tc>
                <w:tcPr>
                  <w:tcW w:w="542" w:type="dxa"/>
                  <w:vMerge w:val="continue"/>
                  <w:tcBorders>
                    <w:tl2br w:val="nil"/>
                    <w:tr2bl w:val="nil"/>
                  </w:tcBorders>
                  <w:vAlign w:val="center"/>
                </w:tcPr>
                <w:p>
                  <w:pPr>
                    <w:jc w:val="center"/>
                    <w:rPr>
                      <w:rFonts w:ascii="Times New Roman" w:hAnsi="Times New Roman"/>
                      <w:kern w:val="2"/>
                      <w:sz w:val="21"/>
                      <w:szCs w:val="21"/>
                    </w:rPr>
                  </w:pPr>
                </w:p>
              </w:tc>
              <w:tc>
                <w:tcPr>
                  <w:tcW w:w="505" w:type="dxa"/>
                  <w:vMerge w:val="continue"/>
                  <w:tcBorders>
                    <w:tl2br w:val="nil"/>
                    <w:tr2bl w:val="nil"/>
                  </w:tcBorders>
                  <w:vAlign w:val="center"/>
                </w:tcPr>
                <w:p>
                  <w:pPr>
                    <w:widowControl/>
                    <w:jc w:val="left"/>
                    <w:rPr>
                      <w:rFonts w:ascii="Times New Roman" w:hAnsi="Times New Roman"/>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48" w:hRule="atLeast"/>
              </w:trPr>
              <w:tc>
                <w:tcPr>
                  <w:tcW w:w="682" w:type="dxa"/>
                  <w:vMerge w:val="continue"/>
                  <w:tcBorders>
                    <w:tl2br w:val="nil"/>
                    <w:tr2bl w:val="nil"/>
                  </w:tcBorders>
                  <w:vAlign w:val="center"/>
                </w:tcPr>
                <w:p>
                  <w:pPr>
                    <w:jc w:val="center"/>
                    <w:rPr>
                      <w:rFonts w:ascii="Times New Roman" w:hAnsi="Times New Roman"/>
                      <w:kern w:val="2"/>
                      <w:sz w:val="21"/>
                      <w:szCs w:val="21"/>
                    </w:rPr>
                  </w:pPr>
                </w:p>
              </w:tc>
              <w:tc>
                <w:tcPr>
                  <w:tcW w:w="729" w:type="dxa"/>
                  <w:vMerge w:val="continue"/>
                  <w:tcBorders>
                    <w:tl2br w:val="nil"/>
                    <w:tr2bl w:val="nil"/>
                  </w:tcBorders>
                  <w:vAlign w:val="center"/>
                </w:tcPr>
                <w:p>
                  <w:pPr>
                    <w:jc w:val="center"/>
                    <w:rPr>
                      <w:rFonts w:ascii="Times New Roman" w:hAnsi="Times New Roman"/>
                      <w:sz w:val="21"/>
                      <w:szCs w:val="21"/>
                    </w:rPr>
                  </w:pPr>
                </w:p>
              </w:tc>
              <w:tc>
                <w:tcPr>
                  <w:tcW w:w="1087" w:type="dxa"/>
                  <w:tcBorders>
                    <w:tl2br w:val="nil"/>
                    <w:tr2bl w:val="nil"/>
                  </w:tcBorders>
                </w:tcPr>
                <w:p>
                  <w:pPr>
                    <w:pStyle w:val="22"/>
                    <w:rPr>
                      <w:szCs w:val="21"/>
                    </w:rPr>
                  </w:pPr>
                  <w:r>
                    <w:rPr>
                      <w:rFonts w:hint="eastAsia"/>
                      <w:szCs w:val="21"/>
                    </w:rPr>
                    <w:t>废催化剂</w:t>
                  </w:r>
                </w:p>
              </w:tc>
              <w:tc>
                <w:tcPr>
                  <w:tcW w:w="2027" w:type="dxa"/>
                  <w:vMerge w:val="continue"/>
                  <w:tcBorders>
                    <w:tl2br w:val="nil"/>
                    <w:tr2bl w:val="nil"/>
                  </w:tcBorders>
                  <w:vAlign w:val="center"/>
                </w:tcPr>
                <w:p>
                  <w:pPr>
                    <w:jc w:val="center"/>
                    <w:rPr>
                      <w:rFonts w:ascii="Times New Roman" w:hAnsi="Times New Roman"/>
                      <w:kern w:val="2"/>
                      <w:sz w:val="21"/>
                      <w:szCs w:val="21"/>
                    </w:rPr>
                  </w:pPr>
                </w:p>
              </w:tc>
              <w:tc>
                <w:tcPr>
                  <w:tcW w:w="3345" w:type="dxa"/>
                  <w:vMerge w:val="continue"/>
                  <w:tcBorders>
                    <w:tl2br w:val="nil"/>
                    <w:tr2bl w:val="nil"/>
                  </w:tcBorders>
                  <w:vAlign w:val="center"/>
                </w:tcPr>
                <w:p>
                  <w:pPr>
                    <w:pStyle w:val="22"/>
                    <w:rPr>
                      <w:kern w:val="2"/>
                      <w:szCs w:val="21"/>
                    </w:rPr>
                  </w:pPr>
                </w:p>
              </w:tc>
              <w:tc>
                <w:tcPr>
                  <w:tcW w:w="542" w:type="dxa"/>
                  <w:vMerge w:val="continue"/>
                  <w:tcBorders>
                    <w:tl2br w:val="nil"/>
                    <w:tr2bl w:val="nil"/>
                  </w:tcBorders>
                  <w:vAlign w:val="center"/>
                </w:tcPr>
                <w:p>
                  <w:pPr>
                    <w:jc w:val="center"/>
                    <w:rPr>
                      <w:rFonts w:ascii="Times New Roman" w:hAnsi="Times New Roman"/>
                      <w:kern w:val="2"/>
                      <w:sz w:val="21"/>
                      <w:szCs w:val="21"/>
                    </w:rPr>
                  </w:pPr>
                </w:p>
              </w:tc>
              <w:tc>
                <w:tcPr>
                  <w:tcW w:w="542" w:type="dxa"/>
                  <w:vMerge w:val="continue"/>
                  <w:tcBorders>
                    <w:tl2br w:val="nil"/>
                    <w:tr2bl w:val="nil"/>
                  </w:tcBorders>
                  <w:vAlign w:val="center"/>
                </w:tcPr>
                <w:p>
                  <w:pPr>
                    <w:jc w:val="center"/>
                    <w:rPr>
                      <w:rFonts w:ascii="Times New Roman" w:hAnsi="Times New Roman"/>
                      <w:kern w:val="2"/>
                      <w:sz w:val="21"/>
                      <w:szCs w:val="21"/>
                    </w:rPr>
                  </w:pPr>
                </w:p>
              </w:tc>
              <w:tc>
                <w:tcPr>
                  <w:tcW w:w="505" w:type="dxa"/>
                  <w:vMerge w:val="continue"/>
                  <w:tcBorders>
                    <w:tl2br w:val="nil"/>
                    <w:tr2bl w:val="nil"/>
                  </w:tcBorders>
                  <w:vAlign w:val="center"/>
                </w:tcPr>
                <w:p>
                  <w:pPr>
                    <w:widowControl/>
                    <w:jc w:val="left"/>
                    <w:rPr>
                      <w:rFonts w:ascii="Times New Roman" w:hAnsi="Times New Roman"/>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48" w:hRule="atLeast"/>
              </w:trPr>
              <w:tc>
                <w:tcPr>
                  <w:tcW w:w="682" w:type="dxa"/>
                  <w:vMerge w:val="continue"/>
                  <w:tcBorders>
                    <w:tl2br w:val="nil"/>
                    <w:tr2bl w:val="nil"/>
                  </w:tcBorders>
                  <w:vAlign w:val="center"/>
                </w:tcPr>
                <w:p>
                  <w:pPr>
                    <w:jc w:val="center"/>
                    <w:rPr>
                      <w:rFonts w:ascii="Times New Roman" w:hAnsi="Times New Roman"/>
                      <w:kern w:val="2"/>
                      <w:sz w:val="21"/>
                      <w:szCs w:val="21"/>
                    </w:rPr>
                  </w:pPr>
                </w:p>
              </w:tc>
              <w:tc>
                <w:tcPr>
                  <w:tcW w:w="729" w:type="dxa"/>
                  <w:vMerge w:val="continue"/>
                  <w:tcBorders>
                    <w:tl2br w:val="nil"/>
                    <w:tr2bl w:val="nil"/>
                  </w:tcBorders>
                  <w:vAlign w:val="center"/>
                </w:tcPr>
                <w:p>
                  <w:pPr>
                    <w:jc w:val="center"/>
                    <w:rPr>
                      <w:rFonts w:ascii="Times New Roman" w:hAnsi="Times New Roman"/>
                      <w:sz w:val="21"/>
                      <w:szCs w:val="21"/>
                    </w:rPr>
                  </w:pPr>
                </w:p>
              </w:tc>
              <w:tc>
                <w:tcPr>
                  <w:tcW w:w="1087" w:type="dxa"/>
                  <w:tcBorders>
                    <w:tl2br w:val="nil"/>
                    <w:tr2bl w:val="nil"/>
                  </w:tcBorders>
                </w:tcPr>
                <w:p>
                  <w:pPr>
                    <w:pStyle w:val="22"/>
                    <w:rPr>
                      <w:szCs w:val="21"/>
                    </w:rPr>
                  </w:pPr>
                  <w:r>
                    <w:rPr>
                      <w:szCs w:val="21"/>
                    </w:rPr>
                    <w:t>废</w:t>
                  </w:r>
                  <w:r>
                    <w:rPr>
                      <w:rFonts w:hint="eastAsia"/>
                      <w:szCs w:val="21"/>
                    </w:rPr>
                    <w:t>油墨盒</w:t>
                  </w:r>
                </w:p>
              </w:tc>
              <w:tc>
                <w:tcPr>
                  <w:tcW w:w="2027" w:type="dxa"/>
                  <w:vMerge w:val="continue"/>
                  <w:tcBorders>
                    <w:tl2br w:val="nil"/>
                    <w:tr2bl w:val="nil"/>
                  </w:tcBorders>
                  <w:vAlign w:val="center"/>
                </w:tcPr>
                <w:p>
                  <w:pPr>
                    <w:jc w:val="center"/>
                    <w:rPr>
                      <w:rFonts w:ascii="Times New Roman" w:hAnsi="Times New Roman"/>
                      <w:kern w:val="2"/>
                      <w:sz w:val="21"/>
                      <w:szCs w:val="21"/>
                    </w:rPr>
                  </w:pPr>
                </w:p>
              </w:tc>
              <w:tc>
                <w:tcPr>
                  <w:tcW w:w="3345" w:type="dxa"/>
                  <w:vMerge w:val="continue"/>
                  <w:tcBorders>
                    <w:tl2br w:val="nil"/>
                    <w:tr2bl w:val="nil"/>
                  </w:tcBorders>
                  <w:vAlign w:val="center"/>
                </w:tcPr>
                <w:p>
                  <w:pPr>
                    <w:pStyle w:val="22"/>
                    <w:rPr>
                      <w:kern w:val="2"/>
                      <w:szCs w:val="21"/>
                    </w:rPr>
                  </w:pPr>
                </w:p>
              </w:tc>
              <w:tc>
                <w:tcPr>
                  <w:tcW w:w="542" w:type="dxa"/>
                  <w:vMerge w:val="continue"/>
                  <w:tcBorders>
                    <w:tl2br w:val="nil"/>
                    <w:tr2bl w:val="nil"/>
                  </w:tcBorders>
                  <w:vAlign w:val="center"/>
                </w:tcPr>
                <w:p>
                  <w:pPr>
                    <w:jc w:val="center"/>
                    <w:rPr>
                      <w:rFonts w:ascii="Times New Roman" w:hAnsi="Times New Roman"/>
                      <w:kern w:val="2"/>
                      <w:sz w:val="21"/>
                      <w:szCs w:val="21"/>
                    </w:rPr>
                  </w:pPr>
                </w:p>
              </w:tc>
              <w:tc>
                <w:tcPr>
                  <w:tcW w:w="542" w:type="dxa"/>
                  <w:vMerge w:val="continue"/>
                  <w:tcBorders>
                    <w:tl2br w:val="nil"/>
                    <w:tr2bl w:val="nil"/>
                  </w:tcBorders>
                  <w:vAlign w:val="center"/>
                </w:tcPr>
                <w:p>
                  <w:pPr>
                    <w:jc w:val="center"/>
                    <w:rPr>
                      <w:rFonts w:ascii="Times New Roman" w:hAnsi="Times New Roman"/>
                      <w:kern w:val="2"/>
                      <w:sz w:val="21"/>
                      <w:szCs w:val="21"/>
                    </w:rPr>
                  </w:pPr>
                </w:p>
              </w:tc>
              <w:tc>
                <w:tcPr>
                  <w:tcW w:w="505" w:type="dxa"/>
                  <w:vMerge w:val="continue"/>
                  <w:tcBorders>
                    <w:tl2br w:val="nil"/>
                    <w:tr2bl w:val="nil"/>
                  </w:tcBorders>
                  <w:vAlign w:val="center"/>
                </w:tcPr>
                <w:p>
                  <w:pPr>
                    <w:widowControl/>
                    <w:jc w:val="left"/>
                    <w:rPr>
                      <w:rFonts w:ascii="Times New Roman" w:hAnsi="Times New Roman"/>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48" w:hRule="atLeast"/>
              </w:trPr>
              <w:tc>
                <w:tcPr>
                  <w:tcW w:w="682" w:type="dxa"/>
                  <w:vMerge w:val="continue"/>
                  <w:tcBorders>
                    <w:tl2br w:val="nil"/>
                    <w:tr2bl w:val="nil"/>
                  </w:tcBorders>
                  <w:vAlign w:val="center"/>
                </w:tcPr>
                <w:p>
                  <w:pPr>
                    <w:jc w:val="center"/>
                    <w:rPr>
                      <w:rFonts w:ascii="Times New Roman" w:hAnsi="Times New Roman"/>
                      <w:kern w:val="2"/>
                      <w:sz w:val="21"/>
                      <w:szCs w:val="21"/>
                    </w:rPr>
                  </w:pPr>
                </w:p>
              </w:tc>
              <w:tc>
                <w:tcPr>
                  <w:tcW w:w="729" w:type="dxa"/>
                  <w:vMerge w:val="continue"/>
                  <w:tcBorders>
                    <w:tl2br w:val="nil"/>
                    <w:tr2bl w:val="nil"/>
                  </w:tcBorders>
                  <w:vAlign w:val="center"/>
                </w:tcPr>
                <w:p>
                  <w:pPr>
                    <w:jc w:val="center"/>
                    <w:rPr>
                      <w:rFonts w:ascii="Times New Roman" w:hAnsi="Times New Roman"/>
                      <w:sz w:val="21"/>
                      <w:szCs w:val="21"/>
                    </w:rPr>
                  </w:pPr>
                </w:p>
              </w:tc>
              <w:tc>
                <w:tcPr>
                  <w:tcW w:w="1087" w:type="dxa"/>
                  <w:tcBorders>
                    <w:tl2br w:val="nil"/>
                    <w:tr2bl w:val="nil"/>
                  </w:tcBorders>
                </w:tcPr>
                <w:p>
                  <w:pPr>
                    <w:pStyle w:val="22"/>
                    <w:rPr>
                      <w:szCs w:val="21"/>
                    </w:rPr>
                  </w:pPr>
                  <w:r>
                    <w:rPr>
                      <w:rFonts w:hint="eastAsia"/>
                      <w:szCs w:val="21"/>
                    </w:rPr>
                    <w:t>废抹布</w:t>
                  </w:r>
                </w:p>
              </w:tc>
              <w:tc>
                <w:tcPr>
                  <w:tcW w:w="2027" w:type="dxa"/>
                  <w:tcBorders>
                    <w:tl2br w:val="nil"/>
                    <w:tr2bl w:val="nil"/>
                  </w:tcBorders>
                  <w:vAlign w:val="center"/>
                </w:tcPr>
                <w:p>
                  <w:pPr>
                    <w:jc w:val="center"/>
                    <w:rPr>
                      <w:rFonts w:ascii="Times New Roman" w:hAnsi="Times New Roman"/>
                      <w:kern w:val="2"/>
                      <w:sz w:val="21"/>
                      <w:szCs w:val="21"/>
                    </w:rPr>
                  </w:pPr>
                  <w:r>
                    <w:rPr>
                      <w:rFonts w:hint="eastAsia" w:ascii="Times New Roman" w:hAnsi="Times New Roman"/>
                      <w:sz w:val="21"/>
                      <w:szCs w:val="21"/>
                    </w:rPr>
                    <w:t>随生活垃圾一同收集，由环卫部门清运处理</w:t>
                  </w:r>
                </w:p>
              </w:tc>
              <w:tc>
                <w:tcPr>
                  <w:tcW w:w="3345" w:type="dxa"/>
                  <w:vMerge w:val="continue"/>
                  <w:tcBorders>
                    <w:tl2br w:val="nil"/>
                    <w:tr2bl w:val="nil"/>
                  </w:tcBorders>
                  <w:vAlign w:val="center"/>
                </w:tcPr>
                <w:p>
                  <w:pPr>
                    <w:pStyle w:val="22"/>
                    <w:rPr>
                      <w:kern w:val="2"/>
                      <w:szCs w:val="21"/>
                    </w:rPr>
                  </w:pPr>
                </w:p>
              </w:tc>
              <w:tc>
                <w:tcPr>
                  <w:tcW w:w="542" w:type="dxa"/>
                  <w:vMerge w:val="continue"/>
                  <w:tcBorders>
                    <w:tl2br w:val="nil"/>
                    <w:tr2bl w:val="nil"/>
                  </w:tcBorders>
                  <w:vAlign w:val="center"/>
                </w:tcPr>
                <w:p>
                  <w:pPr>
                    <w:jc w:val="center"/>
                    <w:rPr>
                      <w:rFonts w:ascii="Times New Roman" w:hAnsi="Times New Roman"/>
                      <w:kern w:val="2"/>
                      <w:sz w:val="21"/>
                      <w:szCs w:val="21"/>
                    </w:rPr>
                  </w:pPr>
                </w:p>
              </w:tc>
              <w:tc>
                <w:tcPr>
                  <w:tcW w:w="542" w:type="dxa"/>
                  <w:vMerge w:val="continue"/>
                  <w:tcBorders>
                    <w:tl2br w:val="nil"/>
                    <w:tr2bl w:val="nil"/>
                  </w:tcBorders>
                  <w:vAlign w:val="center"/>
                </w:tcPr>
                <w:p>
                  <w:pPr>
                    <w:jc w:val="center"/>
                    <w:rPr>
                      <w:rFonts w:ascii="Times New Roman" w:hAnsi="Times New Roman"/>
                      <w:kern w:val="2"/>
                      <w:sz w:val="21"/>
                      <w:szCs w:val="21"/>
                    </w:rPr>
                  </w:pPr>
                </w:p>
              </w:tc>
              <w:tc>
                <w:tcPr>
                  <w:tcW w:w="505" w:type="dxa"/>
                  <w:vMerge w:val="continue"/>
                  <w:tcBorders>
                    <w:tl2br w:val="nil"/>
                    <w:tr2bl w:val="nil"/>
                  </w:tcBorders>
                  <w:vAlign w:val="center"/>
                </w:tcPr>
                <w:p>
                  <w:pPr>
                    <w:widowControl/>
                    <w:jc w:val="left"/>
                    <w:rPr>
                      <w:rFonts w:ascii="Times New Roman" w:hAnsi="Times New Roman"/>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trPr>
              <w:tc>
                <w:tcPr>
                  <w:tcW w:w="682" w:type="dxa"/>
                  <w:tcBorders>
                    <w:tl2br w:val="nil"/>
                    <w:tr2bl w:val="nil"/>
                  </w:tcBorders>
                  <w:vAlign w:val="center"/>
                </w:tcPr>
                <w:p>
                  <w:pPr>
                    <w:jc w:val="center"/>
                    <w:rPr>
                      <w:rFonts w:ascii="Times New Roman" w:hAnsi="Times New Roman"/>
                      <w:kern w:val="2"/>
                      <w:sz w:val="21"/>
                      <w:szCs w:val="21"/>
                    </w:rPr>
                  </w:pPr>
                  <w:r>
                    <w:rPr>
                      <w:rFonts w:ascii="Times New Roman" w:hAnsi="Times New Roman"/>
                      <w:kern w:val="2"/>
                      <w:sz w:val="21"/>
                      <w:szCs w:val="21"/>
                    </w:rPr>
                    <w:t>噪</w:t>
                  </w:r>
                </w:p>
                <w:p>
                  <w:pPr>
                    <w:jc w:val="center"/>
                    <w:rPr>
                      <w:rFonts w:ascii="Times New Roman" w:hAnsi="Times New Roman"/>
                      <w:kern w:val="2"/>
                      <w:sz w:val="21"/>
                      <w:szCs w:val="21"/>
                    </w:rPr>
                  </w:pPr>
                  <w:r>
                    <w:rPr>
                      <w:rFonts w:ascii="Times New Roman" w:hAnsi="Times New Roman"/>
                      <w:kern w:val="2"/>
                      <w:sz w:val="21"/>
                      <w:szCs w:val="21"/>
                    </w:rPr>
                    <w:t>声</w:t>
                  </w:r>
                </w:p>
              </w:tc>
              <w:tc>
                <w:tcPr>
                  <w:tcW w:w="729" w:type="dxa"/>
                  <w:tcBorders>
                    <w:tl2br w:val="nil"/>
                    <w:tr2bl w:val="nil"/>
                  </w:tcBorders>
                  <w:vAlign w:val="center"/>
                </w:tcPr>
                <w:p>
                  <w:pPr>
                    <w:jc w:val="center"/>
                    <w:rPr>
                      <w:rFonts w:ascii="Times New Roman" w:hAnsi="Times New Roman"/>
                      <w:kern w:val="2"/>
                      <w:sz w:val="21"/>
                      <w:szCs w:val="21"/>
                    </w:rPr>
                  </w:pPr>
                  <w:r>
                    <w:rPr>
                      <w:rFonts w:ascii="Times New Roman" w:hAnsi="Times New Roman"/>
                      <w:kern w:val="2"/>
                      <w:sz w:val="21"/>
                      <w:szCs w:val="21"/>
                    </w:rPr>
                    <w:t>设备</w:t>
                  </w:r>
                </w:p>
              </w:tc>
              <w:tc>
                <w:tcPr>
                  <w:tcW w:w="1087" w:type="dxa"/>
                  <w:tcBorders>
                    <w:tl2br w:val="nil"/>
                    <w:tr2bl w:val="nil"/>
                  </w:tcBorders>
                  <w:vAlign w:val="center"/>
                </w:tcPr>
                <w:p>
                  <w:pPr>
                    <w:autoSpaceDE w:val="0"/>
                    <w:autoSpaceDN w:val="0"/>
                    <w:adjustRightInd w:val="0"/>
                    <w:jc w:val="center"/>
                    <w:rPr>
                      <w:rFonts w:ascii="Times New Roman" w:hAnsi="Times New Roman"/>
                      <w:kern w:val="2"/>
                      <w:sz w:val="21"/>
                      <w:szCs w:val="21"/>
                    </w:rPr>
                  </w:pPr>
                  <w:r>
                    <w:rPr>
                      <w:rFonts w:ascii="Times New Roman" w:hAnsi="Times New Roman"/>
                      <w:kern w:val="2"/>
                      <w:sz w:val="21"/>
                      <w:szCs w:val="21"/>
                    </w:rPr>
                    <w:t>—</w:t>
                  </w:r>
                </w:p>
              </w:tc>
              <w:tc>
                <w:tcPr>
                  <w:tcW w:w="2027" w:type="dxa"/>
                  <w:tcBorders>
                    <w:tl2br w:val="nil"/>
                    <w:tr2bl w:val="nil"/>
                  </w:tcBorders>
                  <w:vAlign w:val="center"/>
                </w:tcPr>
                <w:p>
                  <w:pPr>
                    <w:jc w:val="center"/>
                    <w:rPr>
                      <w:rFonts w:ascii="Times New Roman" w:hAnsi="Times New Roman"/>
                      <w:kern w:val="2"/>
                      <w:sz w:val="21"/>
                      <w:szCs w:val="21"/>
                    </w:rPr>
                  </w:pPr>
                  <w:r>
                    <w:rPr>
                      <w:rFonts w:ascii="Times New Roman" w:hAnsi="Times New Roman"/>
                      <w:kern w:val="2"/>
                      <w:sz w:val="21"/>
                      <w:szCs w:val="21"/>
                    </w:rPr>
                    <w:t>隔声、消声</w:t>
                  </w:r>
                </w:p>
              </w:tc>
              <w:tc>
                <w:tcPr>
                  <w:tcW w:w="3345" w:type="dxa"/>
                  <w:tcBorders>
                    <w:tl2br w:val="nil"/>
                    <w:tr2bl w:val="nil"/>
                  </w:tcBorders>
                  <w:vAlign w:val="center"/>
                </w:tcPr>
                <w:p>
                  <w:pPr>
                    <w:autoSpaceDE w:val="0"/>
                    <w:autoSpaceDN w:val="0"/>
                    <w:adjustRightInd w:val="0"/>
                    <w:rPr>
                      <w:rFonts w:ascii="Times New Roman" w:hAnsi="Times New Roman"/>
                      <w:kern w:val="2"/>
                      <w:sz w:val="21"/>
                      <w:szCs w:val="21"/>
                    </w:rPr>
                  </w:pPr>
                  <w:r>
                    <w:rPr>
                      <w:rFonts w:ascii="Times New Roman" w:hAnsi="Times New Roman"/>
                      <w:kern w:val="2"/>
                      <w:sz w:val="21"/>
                      <w:szCs w:val="21"/>
                    </w:rPr>
                    <w:t>《工业企业厂界环境噪声排放标准》（GB12348-2008）3类标准</w:t>
                  </w:r>
                </w:p>
              </w:tc>
              <w:tc>
                <w:tcPr>
                  <w:tcW w:w="542" w:type="dxa"/>
                  <w:tcBorders>
                    <w:tl2br w:val="nil"/>
                    <w:tr2bl w:val="nil"/>
                  </w:tcBorders>
                  <w:vAlign w:val="center"/>
                </w:tcPr>
                <w:p>
                  <w:pPr>
                    <w:jc w:val="center"/>
                    <w:rPr>
                      <w:rFonts w:ascii="Times New Roman" w:hAnsi="Times New Roman"/>
                      <w:kern w:val="2"/>
                      <w:sz w:val="21"/>
                      <w:szCs w:val="21"/>
                    </w:rPr>
                  </w:pPr>
                  <w:r>
                    <w:rPr>
                      <w:rFonts w:hint="eastAsia" w:ascii="Times New Roman" w:hAnsi="Times New Roman"/>
                      <w:kern w:val="2"/>
                      <w:sz w:val="21"/>
                      <w:szCs w:val="21"/>
                    </w:rPr>
                    <w:t>1.5</w:t>
                  </w:r>
                </w:p>
              </w:tc>
              <w:tc>
                <w:tcPr>
                  <w:tcW w:w="542" w:type="dxa"/>
                  <w:tcBorders>
                    <w:tl2br w:val="nil"/>
                    <w:tr2bl w:val="nil"/>
                  </w:tcBorders>
                  <w:vAlign w:val="center"/>
                </w:tcPr>
                <w:p>
                  <w:pPr>
                    <w:jc w:val="center"/>
                    <w:rPr>
                      <w:rFonts w:ascii="Times New Roman" w:hAnsi="Times New Roman"/>
                      <w:kern w:val="2"/>
                      <w:sz w:val="21"/>
                      <w:szCs w:val="21"/>
                    </w:rPr>
                  </w:pPr>
                  <w:r>
                    <w:rPr>
                      <w:rFonts w:ascii="Times New Roman" w:hAnsi="Times New Roman"/>
                      <w:kern w:val="2"/>
                      <w:sz w:val="21"/>
                      <w:szCs w:val="21"/>
                    </w:rPr>
                    <w:t>厂界达标</w:t>
                  </w:r>
                </w:p>
              </w:tc>
              <w:tc>
                <w:tcPr>
                  <w:tcW w:w="505" w:type="dxa"/>
                  <w:vMerge w:val="continue"/>
                  <w:tcBorders>
                    <w:tl2br w:val="nil"/>
                    <w:tr2bl w:val="nil"/>
                  </w:tcBorders>
                  <w:vAlign w:val="center"/>
                </w:tcPr>
                <w:p>
                  <w:pPr>
                    <w:widowControl/>
                    <w:jc w:val="left"/>
                    <w:rPr>
                      <w:rFonts w:ascii="Times New Roman" w:hAnsi="Times New Roman"/>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5" w:hRule="atLeast"/>
              </w:trPr>
              <w:tc>
                <w:tcPr>
                  <w:tcW w:w="1411" w:type="dxa"/>
                  <w:gridSpan w:val="2"/>
                  <w:tcBorders>
                    <w:tl2br w:val="nil"/>
                    <w:tr2bl w:val="nil"/>
                  </w:tcBorders>
                  <w:vAlign w:val="center"/>
                </w:tcPr>
                <w:p>
                  <w:pPr>
                    <w:jc w:val="center"/>
                    <w:rPr>
                      <w:rFonts w:ascii="Times New Roman" w:hAnsi="Times New Roman"/>
                      <w:kern w:val="2"/>
                      <w:sz w:val="21"/>
                      <w:szCs w:val="21"/>
                    </w:rPr>
                  </w:pPr>
                  <w:r>
                    <w:rPr>
                      <w:rFonts w:ascii="Times New Roman" w:hAnsi="Times New Roman"/>
                      <w:kern w:val="2"/>
                      <w:sz w:val="21"/>
                      <w:szCs w:val="21"/>
                    </w:rPr>
                    <w:t>环境管理</w:t>
                  </w:r>
                </w:p>
              </w:tc>
              <w:tc>
                <w:tcPr>
                  <w:tcW w:w="7543" w:type="dxa"/>
                  <w:gridSpan w:val="5"/>
                  <w:tcBorders>
                    <w:tl2br w:val="nil"/>
                    <w:tr2bl w:val="nil"/>
                  </w:tcBorders>
                  <w:vAlign w:val="center"/>
                </w:tcPr>
                <w:p>
                  <w:pPr>
                    <w:jc w:val="center"/>
                    <w:rPr>
                      <w:rFonts w:ascii="Times New Roman" w:hAnsi="Times New Roman"/>
                      <w:kern w:val="2"/>
                      <w:sz w:val="21"/>
                      <w:szCs w:val="21"/>
                    </w:rPr>
                  </w:pPr>
                  <w:r>
                    <w:rPr>
                      <w:rFonts w:ascii="Times New Roman" w:hAnsi="Times New Roman"/>
                      <w:kern w:val="2"/>
                      <w:sz w:val="21"/>
                      <w:szCs w:val="21"/>
                    </w:rPr>
                    <w:t>—</w:t>
                  </w:r>
                </w:p>
              </w:tc>
              <w:tc>
                <w:tcPr>
                  <w:tcW w:w="505" w:type="dxa"/>
                  <w:vMerge w:val="continue"/>
                  <w:tcBorders>
                    <w:tl2br w:val="nil"/>
                    <w:tr2bl w:val="nil"/>
                  </w:tcBorders>
                  <w:vAlign w:val="center"/>
                </w:tcPr>
                <w:p>
                  <w:pPr>
                    <w:widowControl/>
                    <w:jc w:val="left"/>
                    <w:rPr>
                      <w:rFonts w:ascii="Times New Roman" w:hAnsi="Times New Roman"/>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trPr>
              <w:tc>
                <w:tcPr>
                  <w:tcW w:w="1411" w:type="dxa"/>
                  <w:gridSpan w:val="2"/>
                  <w:tcBorders>
                    <w:tl2br w:val="nil"/>
                    <w:tr2bl w:val="nil"/>
                  </w:tcBorders>
                  <w:vAlign w:val="center"/>
                </w:tcPr>
                <w:p>
                  <w:pPr>
                    <w:jc w:val="center"/>
                    <w:rPr>
                      <w:rFonts w:ascii="Times New Roman" w:hAnsi="Times New Roman"/>
                      <w:kern w:val="2"/>
                      <w:sz w:val="21"/>
                      <w:szCs w:val="21"/>
                    </w:rPr>
                  </w:pPr>
                  <w:r>
                    <w:rPr>
                      <w:rFonts w:ascii="Times New Roman" w:hAnsi="Times New Roman"/>
                      <w:kern w:val="2"/>
                      <w:sz w:val="21"/>
                      <w:szCs w:val="21"/>
                    </w:rPr>
                    <w:t>总量平衡方案</w:t>
                  </w:r>
                </w:p>
              </w:tc>
              <w:tc>
                <w:tcPr>
                  <w:tcW w:w="7543" w:type="dxa"/>
                  <w:gridSpan w:val="5"/>
                  <w:tcBorders>
                    <w:tl2br w:val="nil"/>
                    <w:tr2bl w:val="nil"/>
                  </w:tcBorders>
                  <w:vAlign w:val="center"/>
                </w:tcPr>
                <w:p>
                  <w:pPr>
                    <w:jc w:val="center"/>
                    <w:rPr>
                      <w:rFonts w:ascii="Times New Roman" w:hAnsi="Times New Roman"/>
                      <w:kern w:val="2"/>
                      <w:sz w:val="21"/>
                      <w:szCs w:val="21"/>
                    </w:rPr>
                  </w:pPr>
                  <w:r>
                    <w:rPr>
                      <w:rFonts w:ascii="Times New Roman" w:hAnsi="Times New Roman"/>
                      <w:kern w:val="2"/>
                      <w:sz w:val="21"/>
                      <w:szCs w:val="21"/>
                    </w:rPr>
                    <w:t>废水总量纳入威海水务集团有限公司</w:t>
                  </w:r>
                  <w:r>
                    <w:rPr>
                      <w:rFonts w:hint="eastAsia" w:ascii="Times New Roman" w:hAnsi="Times New Roman"/>
                      <w:kern w:val="2"/>
                      <w:sz w:val="21"/>
                      <w:szCs w:val="21"/>
                    </w:rPr>
                    <w:t>崮山污水处理厂</w:t>
                  </w:r>
                  <w:r>
                    <w:rPr>
                      <w:rFonts w:ascii="Times New Roman" w:hAnsi="Times New Roman"/>
                      <w:kern w:val="2"/>
                      <w:sz w:val="21"/>
                      <w:szCs w:val="21"/>
                    </w:rPr>
                    <w:t>总量控制指标</w:t>
                  </w:r>
                </w:p>
              </w:tc>
              <w:tc>
                <w:tcPr>
                  <w:tcW w:w="505" w:type="dxa"/>
                  <w:vMerge w:val="continue"/>
                  <w:tcBorders>
                    <w:tl2br w:val="nil"/>
                    <w:tr2bl w:val="nil"/>
                  </w:tcBorders>
                  <w:vAlign w:val="center"/>
                </w:tcPr>
                <w:p>
                  <w:pPr>
                    <w:widowControl/>
                    <w:jc w:val="left"/>
                    <w:rPr>
                      <w:rFonts w:ascii="Times New Roman" w:hAnsi="Times New Roman"/>
                      <w:kern w:val="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trPr>
              <w:tc>
                <w:tcPr>
                  <w:tcW w:w="1411" w:type="dxa"/>
                  <w:gridSpan w:val="2"/>
                  <w:tcBorders>
                    <w:tl2br w:val="nil"/>
                    <w:tr2bl w:val="nil"/>
                  </w:tcBorders>
                  <w:vAlign w:val="center"/>
                </w:tcPr>
                <w:p>
                  <w:pPr>
                    <w:jc w:val="center"/>
                    <w:rPr>
                      <w:rFonts w:ascii="Times New Roman" w:hAnsi="Times New Roman"/>
                      <w:kern w:val="2"/>
                      <w:sz w:val="21"/>
                      <w:szCs w:val="21"/>
                    </w:rPr>
                  </w:pPr>
                  <w:r>
                    <w:rPr>
                      <w:rFonts w:ascii="Times New Roman" w:hAnsi="Times New Roman"/>
                      <w:kern w:val="2"/>
                      <w:sz w:val="21"/>
                      <w:szCs w:val="21"/>
                    </w:rPr>
                    <w:t>环保投资</w:t>
                  </w:r>
                </w:p>
              </w:tc>
              <w:tc>
                <w:tcPr>
                  <w:tcW w:w="7543" w:type="dxa"/>
                  <w:gridSpan w:val="5"/>
                  <w:tcBorders>
                    <w:tl2br w:val="nil"/>
                    <w:tr2bl w:val="nil"/>
                  </w:tcBorders>
                  <w:vAlign w:val="center"/>
                </w:tcPr>
                <w:p>
                  <w:pPr>
                    <w:jc w:val="center"/>
                    <w:rPr>
                      <w:rFonts w:ascii="Times New Roman" w:hAnsi="Times New Roman"/>
                      <w:kern w:val="2"/>
                      <w:sz w:val="21"/>
                      <w:szCs w:val="21"/>
                    </w:rPr>
                  </w:pPr>
                  <w:r>
                    <w:rPr>
                      <w:rFonts w:ascii="Times New Roman" w:hAnsi="Times New Roman"/>
                      <w:kern w:val="2"/>
                      <w:sz w:val="21"/>
                      <w:szCs w:val="21"/>
                    </w:rPr>
                    <w:t>共</w:t>
                  </w:r>
                  <w:r>
                    <w:rPr>
                      <w:rFonts w:hint="eastAsia" w:ascii="Times New Roman" w:hAnsi="Times New Roman"/>
                      <w:kern w:val="2"/>
                      <w:sz w:val="21"/>
                      <w:szCs w:val="21"/>
                    </w:rPr>
                    <w:t>20</w:t>
                  </w:r>
                  <w:r>
                    <w:rPr>
                      <w:rFonts w:ascii="Times New Roman" w:hAnsi="Times New Roman"/>
                      <w:kern w:val="2"/>
                      <w:sz w:val="21"/>
                      <w:szCs w:val="21"/>
                    </w:rPr>
                    <w:t>万元，占总投资比例</w:t>
                  </w:r>
                  <w:r>
                    <w:rPr>
                      <w:rFonts w:hint="eastAsia" w:ascii="Times New Roman" w:hAnsi="Times New Roman"/>
                      <w:kern w:val="2"/>
                      <w:sz w:val="21"/>
                      <w:szCs w:val="21"/>
                    </w:rPr>
                    <w:t>4</w:t>
                  </w:r>
                  <w:r>
                    <w:rPr>
                      <w:rFonts w:ascii="Times New Roman" w:hAnsi="Times New Roman"/>
                      <w:kern w:val="2"/>
                      <w:sz w:val="21"/>
                      <w:szCs w:val="21"/>
                    </w:rPr>
                    <w:t>0%</w:t>
                  </w:r>
                </w:p>
              </w:tc>
              <w:tc>
                <w:tcPr>
                  <w:tcW w:w="505" w:type="dxa"/>
                  <w:vMerge w:val="continue"/>
                  <w:tcBorders>
                    <w:tl2br w:val="nil"/>
                    <w:tr2bl w:val="nil"/>
                  </w:tcBorders>
                  <w:vAlign w:val="center"/>
                </w:tcPr>
                <w:p>
                  <w:pPr>
                    <w:widowControl/>
                    <w:jc w:val="left"/>
                    <w:rPr>
                      <w:rFonts w:ascii="Times New Roman" w:hAnsi="Times New Roman"/>
                      <w:kern w:val="2"/>
                      <w:sz w:val="21"/>
                      <w:szCs w:val="21"/>
                    </w:rPr>
                  </w:pPr>
                </w:p>
              </w:tc>
            </w:tr>
          </w:tbl>
          <w:p>
            <w:pPr>
              <w:spacing w:line="360" w:lineRule="auto"/>
              <w:ind w:firstLine="480" w:firstLineChars="200"/>
              <w:rPr>
                <w:rFonts w:ascii="黑体" w:hAnsi="黑体" w:eastAsia="黑体" w:cs="黑体"/>
                <w:kern w:val="0"/>
              </w:rPr>
            </w:pPr>
            <w:r>
              <w:rPr>
                <w:rFonts w:hint="eastAsia" w:ascii="黑体" w:hAnsi="黑体" w:eastAsia="黑体" w:cs="黑体"/>
              </w:rPr>
              <w:t>六、</w:t>
            </w:r>
            <w:r>
              <w:rPr>
                <w:rFonts w:hint="eastAsia" w:ascii="黑体" w:hAnsi="黑体" w:eastAsia="黑体" w:cs="黑体"/>
                <w:kern w:val="0"/>
              </w:rPr>
              <w:t>环境管理与监测计划</w:t>
            </w:r>
          </w:p>
          <w:p>
            <w:pPr>
              <w:snapToGrid w:val="0"/>
              <w:spacing w:line="360" w:lineRule="auto"/>
              <w:ind w:firstLine="480" w:firstLineChars="200"/>
              <w:rPr>
                <w:rFonts w:ascii="Times New Roman" w:hAnsi="Times New Roman"/>
              </w:rPr>
            </w:pPr>
            <w:r>
              <w:rPr>
                <w:rFonts w:ascii="Times New Roman" w:hAnsi="Times New Roman"/>
              </w:rPr>
              <w:t>为加强项目的环境管理，有效地保护区域环境，落实建设项目环境影响评价和“三同时”制度，实现建设项目的经济效益、社会效益和环境效益的统一，更好地监控工程环保设施的运行，及时掌握污染治理措施的效果，必须设置相应的环保机构，制定全厂环境管理和环境监测计划。</w:t>
            </w:r>
          </w:p>
          <w:p>
            <w:pPr>
              <w:snapToGrid w:val="0"/>
              <w:spacing w:line="360" w:lineRule="auto"/>
              <w:ind w:firstLine="480" w:firstLineChars="200"/>
              <w:rPr>
                <w:rFonts w:ascii="Times New Roman" w:hAnsi="Times New Roman"/>
              </w:rPr>
            </w:pPr>
            <w:r>
              <w:rPr>
                <w:rFonts w:ascii="Times New Roman" w:hAnsi="Times New Roman"/>
              </w:rPr>
              <w:t>1、组织机构</w:t>
            </w:r>
          </w:p>
          <w:p>
            <w:pPr>
              <w:snapToGrid w:val="0"/>
              <w:spacing w:line="360" w:lineRule="auto"/>
              <w:ind w:firstLine="480" w:firstLineChars="200"/>
              <w:rPr>
                <w:rFonts w:ascii="Times New Roman" w:hAnsi="Times New Roman"/>
              </w:rPr>
            </w:pPr>
            <w:r>
              <w:rPr>
                <w:rFonts w:ascii="Times New Roman" w:hAnsi="Times New Roman"/>
              </w:rPr>
              <w:t>工程应设置专门或兼职的环保管理部门，管理人员至少1人，负责环境管理工作。</w:t>
            </w:r>
          </w:p>
          <w:p>
            <w:pPr>
              <w:snapToGrid w:val="0"/>
              <w:spacing w:line="360" w:lineRule="auto"/>
              <w:ind w:firstLine="480" w:firstLineChars="200"/>
              <w:rPr>
                <w:rFonts w:ascii="Times New Roman" w:hAnsi="Times New Roman"/>
              </w:rPr>
            </w:pPr>
            <w:r>
              <w:rPr>
                <w:rFonts w:ascii="Times New Roman" w:hAnsi="Times New Roman"/>
              </w:rPr>
              <w:t>2、职责</w:t>
            </w:r>
          </w:p>
          <w:p>
            <w:pPr>
              <w:snapToGrid w:val="0"/>
              <w:spacing w:line="360" w:lineRule="auto"/>
              <w:ind w:firstLine="480" w:firstLineChars="200"/>
              <w:rPr>
                <w:rFonts w:ascii="Times New Roman" w:hAnsi="Times New Roman"/>
              </w:rPr>
            </w:pPr>
            <w:r>
              <w:rPr>
                <w:rFonts w:ascii="Times New Roman" w:hAnsi="Times New Roman"/>
              </w:rPr>
              <w:t>贯彻执行环境保护法规和标准；</w:t>
            </w:r>
          </w:p>
          <w:p>
            <w:pPr>
              <w:snapToGrid w:val="0"/>
              <w:spacing w:line="360" w:lineRule="auto"/>
              <w:ind w:firstLine="480" w:firstLineChars="200"/>
              <w:rPr>
                <w:rFonts w:ascii="Times New Roman" w:hAnsi="Times New Roman"/>
              </w:rPr>
            </w:pPr>
            <w:r>
              <w:rPr>
                <w:rFonts w:ascii="Times New Roman" w:hAnsi="Times New Roman"/>
              </w:rPr>
              <w:t>组织制定和修改本项目环境保护管理规章制度，监督各班组执行情况；</w:t>
            </w:r>
          </w:p>
          <w:p>
            <w:pPr>
              <w:snapToGrid w:val="0"/>
              <w:spacing w:line="360" w:lineRule="auto"/>
              <w:ind w:firstLine="480" w:firstLineChars="200"/>
              <w:rPr>
                <w:rFonts w:ascii="Times New Roman" w:hAnsi="Times New Roman"/>
              </w:rPr>
            </w:pPr>
            <w:r>
              <w:rPr>
                <w:rFonts w:ascii="Times New Roman" w:hAnsi="Times New Roman"/>
              </w:rPr>
              <w:t>编制并组织实施环境保护规划和计划；</w:t>
            </w:r>
          </w:p>
          <w:p>
            <w:pPr>
              <w:snapToGrid w:val="0"/>
              <w:spacing w:line="360" w:lineRule="auto"/>
              <w:ind w:firstLine="480" w:firstLineChars="200"/>
              <w:rPr>
                <w:rFonts w:ascii="Times New Roman" w:hAnsi="Times New Roman"/>
              </w:rPr>
            </w:pPr>
            <w:r>
              <w:rPr>
                <w:rFonts w:ascii="Times New Roman" w:hAnsi="Times New Roman"/>
              </w:rPr>
              <w:t>定期检查项目环境保护设施，保证设备正常运行；</w:t>
            </w:r>
          </w:p>
          <w:p>
            <w:pPr>
              <w:spacing w:line="360" w:lineRule="auto"/>
              <w:ind w:firstLine="480" w:firstLineChars="200"/>
              <w:rPr>
                <w:rFonts w:ascii="Times New Roman" w:hAnsi="Times New Roman"/>
              </w:rPr>
            </w:pPr>
            <w:r>
              <w:rPr>
                <w:rFonts w:ascii="Times New Roman" w:hAnsi="Times New Roman"/>
              </w:rPr>
              <w:t>组织开展本企业的环境保护专业技术培训，搞好环境保护教育和宣传，提高职工的环境保护意识。</w:t>
            </w:r>
          </w:p>
          <w:p>
            <w:pPr>
              <w:spacing w:line="360" w:lineRule="auto"/>
              <w:ind w:firstLine="480" w:firstLineChars="200"/>
              <w:rPr>
                <w:rFonts w:ascii="Times New Roman" w:hAnsi="Times New Roman"/>
              </w:rPr>
            </w:pPr>
            <w:r>
              <w:rPr>
                <w:rFonts w:ascii="Times New Roman" w:hAnsi="Times New Roman"/>
              </w:rPr>
              <w:t>3、环境监测</w:t>
            </w:r>
          </w:p>
          <w:p>
            <w:pPr>
              <w:snapToGrid w:val="0"/>
              <w:spacing w:line="360" w:lineRule="auto"/>
              <w:ind w:firstLine="480" w:firstLineChars="200"/>
              <w:rPr>
                <w:rFonts w:ascii="Times New Roman" w:hAnsi="Times New Roman"/>
              </w:rPr>
            </w:pPr>
            <w:r>
              <w:rPr>
                <w:rFonts w:ascii="Times New Roman" w:hAnsi="Times New Roman"/>
              </w:rPr>
              <w:t>公司没有环境监测实验室及专门工作人员，有监测需求时，委托有资质的环境监测单位对厂区污染源进行监测，把握公司生产过程中环境质量状况。</w:t>
            </w:r>
          </w:p>
          <w:p>
            <w:pPr>
              <w:spacing w:line="360" w:lineRule="auto"/>
              <w:ind w:firstLine="480" w:firstLineChars="200"/>
              <w:rPr>
                <w:rFonts w:ascii="Times New Roman" w:hAnsi="Times New Roman"/>
              </w:rPr>
            </w:pPr>
            <w:r>
              <w:rPr>
                <w:rFonts w:ascii="Times New Roman" w:hAnsi="Times New Roman"/>
              </w:rPr>
              <w:t>根据本企业的排污特点及《环境监测工作的实施细则》，确定监测内容、监测项目及监测频率。监测计划见下表。</w:t>
            </w:r>
          </w:p>
          <w:p>
            <w:pPr>
              <w:pStyle w:val="69"/>
              <w:spacing w:line="360" w:lineRule="auto"/>
              <w:ind w:firstLine="0" w:firstLineChars="0"/>
              <w:jc w:val="center"/>
              <w:rPr>
                <w:rFonts w:ascii="Times New Roman" w:hAnsi="Times New Roman" w:eastAsia="黑体" w:cs="Times New Roman"/>
                <w:bCs/>
                <w:kern w:val="0"/>
                <w:szCs w:val="24"/>
              </w:rPr>
            </w:pPr>
            <w:r>
              <w:rPr>
                <w:rFonts w:ascii="Times New Roman" w:hAnsi="Times New Roman" w:eastAsia="黑体" w:cs="Times New Roman"/>
                <w:bCs/>
                <w:kern w:val="0"/>
                <w:szCs w:val="24"/>
              </w:rPr>
              <w:t>表41 监测计划一览表</w:t>
            </w:r>
          </w:p>
          <w:tbl>
            <w:tblPr>
              <w:tblStyle w:val="30"/>
              <w:tblW w:w="945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19"/>
              <w:gridCol w:w="2455"/>
              <w:gridCol w:w="3032"/>
              <w:gridCol w:w="28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1119" w:type="dxa"/>
                  <w:vAlign w:val="center"/>
                </w:tcPr>
                <w:p>
                  <w:pPr>
                    <w:jc w:val="center"/>
                    <w:rPr>
                      <w:rFonts w:ascii="Times New Roman" w:hAnsi="Times New Roman"/>
                      <w:bCs/>
                      <w:sz w:val="21"/>
                      <w:szCs w:val="21"/>
                    </w:rPr>
                  </w:pPr>
                  <w:r>
                    <w:rPr>
                      <w:rFonts w:ascii="Times New Roman" w:hAnsi="Times New Roman"/>
                      <w:bCs/>
                      <w:sz w:val="21"/>
                      <w:szCs w:val="21"/>
                    </w:rPr>
                    <w:t>环境</w:t>
                  </w:r>
                </w:p>
                <w:p>
                  <w:pPr>
                    <w:jc w:val="center"/>
                    <w:rPr>
                      <w:rFonts w:ascii="Times New Roman" w:hAnsi="Times New Roman"/>
                      <w:bCs/>
                      <w:sz w:val="21"/>
                      <w:szCs w:val="21"/>
                    </w:rPr>
                  </w:pPr>
                  <w:r>
                    <w:rPr>
                      <w:rFonts w:ascii="Times New Roman" w:hAnsi="Times New Roman"/>
                      <w:bCs/>
                      <w:sz w:val="21"/>
                      <w:szCs w:val="21"/>
                    </w:rPr>
                    <w:t>要素</w:t>
                  </w:r>
                </w:p>
              </w:tc>
              <w:tc>
                <w:tcPr>
                  <w:tcW w:w="2455" w:type="dxa"/>
                  <w:vAlign w:val="center"/>
                </w:tcPr>
                <w:p>
                  <w:pPr>
                    <w:jc w:val="center"/>
                    <w:rPr>
                      <w:rFonts w:ascii="Times New Roman" w:hAnsi="Times New Roman"/>
                      <w:bCs/>
                      <w:sz w:val="21"/>
                      <w:szCs w:val="21"/>
                    </w:rPr>
                  </w:pPr>
                  <w:r>
                    <w:rPr>
                      <w:rFonts w:ascii="Times New Roman" w:hAnsi="Times New Roman"/>
                      <w:bCs/>
                      <w:sz w:val="21"/>
                      <w:szCs w:val="21"/>
                    </w:rPr>
                    <w:t>监测位置</w:t>
                  </w:r>
                </w:p>
              </w:tc>
              <w:tc>
                <w:tcPr>
                  <w:tcW w:w="3032" w:type="dxa"/>
                  <w:vAlign w:val="center"/>
                </w:tcPr>
                <w:p>
                  <w:pPr>
                    <w:jc w:val="center"/>
                    <w:rPr>
                      <w:rFonts w:ascii="Times New Roman" w:hAnsi="Times New Roman"/>
                      <w:bCs/>
                      <w:sz w:val="21"/>
                      <w:szCs w:val="21"/>
                    </w:rPr>
                  </w:pPr>
                  <w:r>
                    <w:rPr>
                      <w:rFonts w:ascii="Times New Roman" w:hAnsi="Times New Roman"/>
                      <w:bCs/>
                      <w:sz w:val="21"/>
                      <w:szCs w:val="21"/>
                    </w:rPr>
                    <w:t>监测项目</w:t>
                  </w:r>
                </w:p>
              </w:tc>
              <w:tc>
                <w:tcPr>
                  <w:tcW w:w="2853" w:type="dxa"/>
                  <w:vAlign w:val="center"/>
                </w:tcPr>
                <w:p>
                  <w:pPr>
                    <w:jc w:val="center"/>
                    <w:rPr>
                      <w:rFonts w:ascii="Times New Roman" w:hAnsi="Times New Roman"/>
                      <w:bCs/>
                      <w:sz w:val="21"/>
                      <w:szCs w:val="21"/>
                    </w:rPr>
                  </w:pPr>
                  <w:r>
                    <w:rPr>
                      <w:rFonts w:ascii="Times New Roman" w:hAnsi="Times New Roman"/>
                      <w:bCs/>
                      <w:sz w:val="21"/>
                      <w:szCs w:val="21"/>
                    </w:rPr>
                    <w:t>监测频次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8" w:hRule="atLeast"/>
              </w:trPr>
              <w:tc>
                <w:tcPr>
                  <w:tcW w:w="1119" w:type="dxa"/>
                  <w:vMerge w:val="restart"/>
                  <w:vAlign w:val="center"/>
                </w:tcPr>
                <w:p>
                  <w:pPr>
                    <w:jc w:val="center"/>
                    <w:rPr>
                      <w:rFonts w:ascii="Times New Roman" w:hAnsi="Times New Roman"/>
                      <w:bCs/>
                      <w:sz w:val="21"/>
                      <w:szCs w:val="21"/>
                    </w:rPr>
                  </w:pPr>
                  <w:r>
                    <w:rPr>
                      <w:rFonts w:ascii="Times New Roman" w:hAnsi="Times New Roman"/>
                      <w:bCs/>
                      <w:sz w:val="21"/>
                      <w:szCs w:val="21"/>
                    </w:rPr>
                    <w:t>废气</w:t>
                  </w:r>
                </w:p>
              </w:tc>
              <w:tc>
                <w:tcPr>
                  <w:tcW w:w="2455" w:type="dxa"/>
                  <w:vAlign w:val="center"/>
                </w:tcPr>
                <w:p>
                  <w:pPr>
                    <w:jc w:val="center"/>
                    <w:rPr>
                      <w:rFonts w:ascii="Times New Roman" w:hAnsi="Times New Roman"/>
                      <w:bCs/>
                      <w:sz w:val="21"/>
                      <w:szCs w:val="21"/>
                    </w:rPr>
                  </w:pPr>
                  <w:r>
                    <w:rPr>
                      <w:rFonts w:ascii="Times New Roman" w:hAnsi="Times New Roman"/>
                      <w:bCs/>
                      <w:sz w:val="21"/>
                      <w:szCs w:val="21"/>
                    </w:rPr>
                    <w:t>排气筒</w:t>
                  </w:r>
                </w:p>
              </w:tc>
              <w:tc>
                <w:tcPr>
                  <w:tcW w:w="3032" w:type="dxa"/>
                  <w:vAlign w:val="center"/>
                </w:tcPr>
                <w:p>
                  <w:pPr>
                    <w:jc w:val="center"/>
                    <w:rPr>
                      <w:rFonts w:ascii="Times New Roman" w:hAnsi="Times New Roman"/>
                      <w:bCs/>
                      <w:sz w:val="21"/>
                      <w:szCs w:val="21"/>
                    </w:rPr>
                  </w:pPr>
                  <w:r>
                    <w:rPr>
                      <w:rFonts w:ascii="Times New Roman" w:hAnsi="Times New Roman"/>
                      <w:bCs/>
                      <w:sz w:val="21"/>
                      <w:szCs w:val="21"/>
                    </w:rPr>
                    <w:t>VOCs</w:t>
                  </w:r>
                </w:p>
              </w:tc>
              <w:tc>
                <w:tcPr>
                  <w:tcW w:w="2853" w:type="dxa"/>
                  <w:vAlign w:val="center"/>
                </w:tcPr>
                <w:p>
                  <w:pPr>
                    <w:jc w:val="center"/>
                    <w:rPr>
                      <w:rFonts w:ascii="Times New Roman" w:hAnsi="Times New Roman"/>
                      <w:bCs/>
                      <w:sz w:val="21"/>
                      <w:szCs w:val="21"/>
                    </w:rPr>
                  </w:pPr>
                  <w:r>
                    <w:rPr>
                      <w:rFonts w:ascii="Times New Roman" w:hAnsi="Times New Roman"/>
                      <w:bCs/>
                      <w:sz w:val="21"/>
                      <w:szCs w:val="21"/>
                    </w:rPr>
                    <w:t>每年监测一次，每次两天，每天监测4次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0" w:hRule="atLeast"/>
              </w:trPr>
              <w:tc>
                <w:tcPr>
                  <w:tcW w:w="1119" w:type="dxa"/>
                  <w:vMerge w:val="continue"/>
                  <w:vAlign w:val="center"/>
                </w:tcPr>
                <w:p>
                  <w:pPr>
                    <w:jc w:val="center"/>
                    <w:rPr>
                      <w:rFonts w:ascii="Times New Roman" w:hAnsi="Times New Roman"/>
                      <w:bCs/>
                      <w:sz w:val="21"/>
                      <w:szCs w:val="21"/>
                    </w:rPr>
                  </w:pPr>
                </w:p>
              </w:tc>
              <w:tc>
                <w:tcPr>
                  <w:tcW w:w="2455" w:type="dxa"/>
                  <w:vAlign w:val="center"/>
                </w:tcPr>
                <w:p>
                  <w:pPr>
                    <w:jc w:val="center"/>
                    <w:rPr>
                      <w:rFonts w:ascii="Times New Roman" w:hAnsi="Times New Roman"/>
                      <w:bCs/>
                      <w:sz w:val="21"/>
                      <w:szCs w:val="21"/>
                    </w:rPr>
                  </w:pPr>
                  <w:r>
                    <w:rPr>
                      <w:rFonts w:ascii="Times New Roman" w:hAnsi="Times New Roman"/>
                      <w:bCs/>
                      <w:sz w:val="21"/>
                      <w:szCs w:val="21"/>
                    </w:rPr>
                    <w:t>厂界</w:t>
                  </w:r>
                </w:p>
              </w:tc>
              <w:tc>
                <w:tcPr>
                  <w:tcW w:w="3032" w:type="dxa"/>
                  <w:vAlign w:val="center"/>
                </w:tcPr>
                <w:p>
                  <w:pPr>
                    <w:jc w:val="center"/>
                    <w:rPr>
                      <w:rFonts w:ascii="Times New Roman" w:hAnsi="Times New Roman"/>
                      <w:bCs/>
                      <w:sz w:val="21"/>
                      <w:szCs w:val="21"/>
                    </w:rPr>
                  </w:pPr>
                  <w:r>
                    <w:rPr>
                      <w:rFonts w:ascii="Times New Roman" w:hAnsi="Times New Roman"/>
                      <w:bCs/>
                      <w:sz w:val="21"/>
                      <w:szCs w:val="21"/>
                    </w:rPr>
                    <w:t>VOCs</w:t>
                  </w:r>
                </w:p>
              </w:tc>
              <w:tc>
                <w:tcPr>
                  <w:tcW w:w="2853" w:type="dxa"/>
                  <w:vAlign w:val="center"/>
                </w:tcPr>
                <w:p>
                  <w:pPr>
                    <w:jc w:val="center"/>
                    <w:rPr>
                      <w:rFonts w:ascii="Times New Roman" w:hAnsi="Times New Roman"/>
                      <w:bCs/>
                      <w:sz w:val="21"/>
                      <w:szCs w:val="21"/>
                    </w:rPr>
                  </w:pPr>
                  <w:r>
                    <w:rPr>
                      <w:rFonts w:ascii="Times New Roman" w:hAnsi="Times New Roman"/>
                      <w:bCs/>
                      <w:sz w:val="21"/>
                      <w:szCs w:val="21"/>
                    </w:rPr>
                    <w:t>每年监测一次，每次两天，每天监测4次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2" w:hRule="atLeast"/>
              </w:trPr>
              <w:tc>
                <w:tcPr>
                  <w:tcW w:w="1119" w:type="dxa"/>
                  <w:vAlign w:val="center"/>
                </w:tcPr>
                <w:p>
                  <w:pPr>
                    <w:jc w:val="center"/>
                    <w:rPr>
                      <w:rFonts w:ascii="Times New Roman" w:hAnsi="Times New Roman"/>
                      <w:bCs/>
                      <w:sz w:val="21"/>
                      <w:szCs w:val="21"/>
                    </w:rPr>
                  </w:pPr>
                  <w:r>
                    <w:rPr>
                      <w:rFonts w:ascii="Times New Roman" w:hAnsi="Times New Roman"/>
                      <w:bCs/>
                      <w:sz w:val="21"/>
                      <w:szCs w:val="21"/>
                    </w:rPr>
                    <w:t>废水</w:t>
                  </w:r>
                </w:p>
              </w:tc>
              <w:tc>
                <w:tcPr>
                  <w:tcW w:w="2455" w:type="dxa"/>
                  <w:vAlign w:val="center"/>
                </w:tcPr>
                <w:p>
                  <w:pPr>
                    <w:jc w:val="center"/>
                    <w:rPr>
                      <w:rFonts w:ascii="Times New Roman" w:hAnsi="Times New Roman"/>
                      <w:bCs/>
                      <w:sz w:val="21"/>
                      <w:szCs w:val="21"/>
                    </w:rPr>
                  </w:pPr>
                  <w:r>
                    <w:rPr>
                      <w:rFonts w:ascii="Times New Roman" w:hAnsi="Times New Roman"/>
                      <w:bCs/>
                      <w:sz w:val="21"/>
                      <w:szCs w:val="21"/>
                    </w:rPr>
                    <w:t>厂区排污口</w:t>
                  </w:r>
                </w:p>
              </w:tc>
              <w:tc>
                <w:tcPr>
                  <w:tcW w:w="3032" w:type="dxa"/>
                  <w:vAlign w:val="center"/>
                </w:tcPr>
                <w:p>
                  <w:pPr>
                    <w:jc w:val="center"/>
                    <w:rPr>
                      <w:rFonts w:ascii="Times New Roman" w:hAnsi="Times New Roman"/>
                      <w:bCs/>
                      <w:sz w:val="21"/>
                      <w:szCs w:val="21"/>
                    </w:rPr>
                  </w:pPr>
                  <w:r>
                    <w:rPr>
                      <w:rFonts w:ascii="Times New Roman" w:hAnsi="Times New Roman"/>
                      <w:bCs/>
                      <w:sz w:val="21"/>
                      <w:szCs w:val="21"/>
                    </w:rPr>
                    <w:t>COD、氨氮</w:t>
                  </w:r>
                </w:p>
              </w:tc>
              <w:tc>
                <w:tcPr>
                  <w:tcW w:w="2853" w:type="dxa"/>
                  <w:vAlign w:val="center"/>
                </w:tcPr>
                <w:p>
                  <w:pPr>
                    <w:jc w:val="center"/>
                    <w:rPr>
                      <w:rFonts w:ascii="Times New Roman" w:hAnsi="Times New Roman"/>
                      <w:bCs/>
                      <w:sz w:val="21"/>
                      <w:szCs w:val="21"/>
                    </w:rPr>
                  </w:pPr>
                  <w:r>
                    <w:rPr>
                      <w:rFonts w:ascii="Times New Roman" w:hAnsi="Times New Roman"/>
                      <w:bCs/>
                      <w:sz w:val="21"/>
                      <w:szCs w:val="21"/>
                    </w:rPr>
                    <w:t>每年监测一次，每次两天，每天监测一次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8" w:hRule="atLeast"/>
              </w:trPr>
              <w:tc>
                <w:tcPr>
                  <w:tcW w:w="1119" w:type="dxa"/>
                  <w:vAlign w:val="center"/>
                </w:tcPr>
                <w:p>
                  <w:pPr>
                    <w:jc w:val="center"/>
                    <w:rPr>
                      <w:rFonts w:ascii="Times New Roman" w:hAnsi="Times New Roman"/>
                      <w:bCs/>
                      <w:sz w:val="21"/>
                      <w:szCs w:val="21"/>
                    </w:rPr>
                  </w:pPr>
                  <w:r>
                    <w:rPr>
                      <w:rFonts w:ascii="Times New Roman" w:hAnsi="Times New Roman"/>
                      <w:bCs/>
                      <w:sz w:val="21"/>
                      <w:szCs w:val="21"/>
                    </w:rPr>
                    <w:t>噪声</w:t>
                  </w:r>
                </w:p>
              </w:tc>
              <w:tc>
                <w:tcPr>
                  <w:tcW w:w="2455" w:type="dxa"/>
                  <w:vAlign w:val="center"/>
                </w:tcPr>
                <w:p>
                  <w:pPr>
                    <w:jc w:val="center"/>
                    <w:rPr>
                      <w:rFonts w:ascii="Times New Roman" w:hAnsi="Times New Roman"/>
                      <w:bCs/>
                      <w:sz w:val="21"/>
                      <w:szCs w:val="21"/>
                    </w:rPr>
                  </w:pPr>
                  <w:r>
                    <w:rPr>
                      <w:rFonts w:ascii="Times New Roman" w:hAnsi="Times New Roman"/>
                      <w:bCs/>
                      <w:sz w:val="21"/>
                      <w:szCs w:val="21"/>
                    </w:rPr>
                    <w:t>厂界</w:t>
                  </w:r>
                </w:p>
              </w:tc>
              <w:tc>
                <w:tcPr>
                  <w:tcW w:w="3032" w:type="dxa"/>
                  <w:vAlign w:val="center"/>
                </w:tcPr>
                <w:p>
                  <w:pPr>
                    <w:jc w:val="center"/>
                    <w:rPr>
                      <w:rFonts w:ascii="Times New Roman" w:hAnsi="Times New Roman"/>
                      <w:bCs/>
                      <w:sz w:val="21"/>
                      <w:szCs w:val="21"/>
                    </w:rPr>
                  </w:pPr>
                  <w:r>
                    <w:rPr>
                      <w:rFonts w:ascii="Times New Roman" w:hAnsi="Times New Roman"/>
                      <w:bCs/>
                      <w:sz w:val="21"/>
                      <w:szCs w:val="21"/>
                    </w:rPr>
                    <w:t>LAeq</w:t>
                  </w:r>
                </w:p>
              </w:tc>
              <w:tc>
                <w:tcPr>
                  <w:tcW w:w="2853" w:type="dxa"/>
                  <w:vAlign w:val="center"/>
                </w:tcPr>
                <w:p>
                  <w:pPr>
                    <w:jc w:val="center"/>
                    <w:rPr>
                      <w:rFonts w:ascii="Times New Roman" w:hAnsi="Times New Roman"/>
                      <w:bCs/>
                      <w:sz w:val="21"/>
                      <w:szCs w:val="21"/>
                    </w:rPr>
                  </w:pPr>
                  <w:r>
                    <w:rPr>
                      <w:rFonts w:ascii="Times New Roman" w:hAnsi="Times New Roman"/>
                      <w:bCs/>
                      <w:sz w:val="21"/>
                      <w:szCs w:val="21"/>
                    </w:rPr>
                    <w:t>每季一次，每次两天，昼夜各监测1次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0" w:hRule="atLeast"/>
              </w:trPr>
              <w:tc>
                <w:tcPr>
                  <w:tcW w:w="1119" w:type="dxa"/>
                  <w:vAlign w:val="center"/>
                </w:tcPr>
                <w:p>
                  <w:pPr>
                    <w:jc w:val="center"/>
                    <w:rPr>
                      <w:rFonts w:ascii="Times New Roman" w:hAnsi="Times New Roman"/>
                      <w:bCs/>
                      <w:sz w:val="21"/>
                      <w:szCs w:val="21"/>
                    </w:rPr>
                  </w:pPr>
                  <w:r>
                    <w:rPr>
                      <w:rFonts w:ascii="Times New Roman" w:hAnsi="Times New Roman"/>
                      <w:bCs/>
                      <w:sz w:val="21"/>
                      <w:szCs w:val="21"/>
                    </w:rPr>
                    <w:t>固废</w:t>
                  </w:r>
                </w:p>
              </w:tc>
              <w:tc>
                <w:tcPr>
                  <w:tcW w:w="2455" w:type="dxa"/>
                  <w:vAlign w:val="center"/>
                </w:tcPr>
                <w:p>
                  <w:pPr>
                    <w:jc w:val="center"/>
                    <w:rPr>
                      <w:rFonts w:ascii="Times New Roman" w:hAnsi="Times New Roman"/>
                      <w:bCs/>
                      <w:sz w:val="21"/>
                      <w:szCs w:val="21"/>
                    </w:rPr>
                  </w:pPr>
                  <w:r>
                    <w:rPr>
                      <w:rFonts w:ascii="Times New Roman" w:hAnsi="Times New Roman"/>
                      <w:bCs/>
                      <w:sz w:val="21"/>
                      <w:szCs w:val="21"/>
                    </w:rPr>
                    <w:t>统计各类固废量</w:t>
                  </w:r>
                </w:p>
              </w:tc>
              <w:tc>
                <w:tcPr>
                  <w:tcW w:w="3032" w:type="dxa"/>
                  <w:vAlign w:val="center"/>
                </w:tcPr>
                <w:p>
                  <w:pPr>
                    <w:jc w:val="center"/>
                    <w:rPr>
                      <w:rFonts w:ascii="Times New Roman" w:hAnsi="Times New Roman"/>
                      <w:bCs/>
                      <w:sz w:val="21"/>
                      <w:szCs w:val="21"/>
                    </w:rPr>
                  </w:pPr>
                  <w:r>
                    <w:rPr>
                      <w:rFonts w:ascii="Times New Roman" w:hAnsi="Times New Roman"/>
                      <w:bCs/>
                      <w:sz w:val="21"/>
                      <w:szCs w:val="21"/>
                    </w:rPr>
                    <w:t>产生量、贮存状况、处置去向</w:t>
                  </w:r>
                </w:p>
              </w:tc>
              <w:tc>
                <w:tcPr>
                  <w:tcW w:w="2853" w:type="dxa"/>
                  <w:vAlign w:val="center"/>
                </w:tcPr>
                <w:p>
                  <w:pPr>
                    <w:jc w:val="center"/>
                    <w:rPr>
                      <w:rFonts w:ascii="Times New Roman" w:hAnsi="Times New Roman"/>
                      <w:bCs/>
                      <w:sz w:val="21"/>
                      <w:szCs w:val="21"/>
                    </w:rPr>
                  </w:pPr>
                  <w:r>
                    <w:rPr>
                      <w:rFonts w:ascii="Times New Roman" w:hAnsi="Times New Roman"/>
                      <w:bCs/>
                      <w:sz w:val="21"/>
                      <w:szCs w:val="21"/>
                    </w:rPr>
                    <w:t>每月统计一次</w:t>
                  </w:r>
                </w:p>
              </w:tc>
            </w:tr>
          </w:tbl>
          <w:p>
            <w:pPr>
              <w:rPr>
                <w:rFonts w:ascii="Times New Roman" w:hAnsi="Times New Roman"/>
              </w:rPr>
            </w:pPr>
          </w:p>
        </w:tc>
      </w:tr>
      <w:bookmarkEnd w:id="17"/>
    </w:tbl>
    <w:p>
      <w:pPr>
        <w:spacing w:line="540" w:lineRule="exact"/>
        <w:jc w:val="center"/>
        <w:rPr>
          <w:rFonts w:ascii="Times New Roman" w:hAnsi="Times New Roman"/>
          <w:spacing w:val="20"/>
        </w:rPr>
        <w:sectPr>
          <w:pgSz w:w="11906" w:h="16838"/>
          <w:pgMar w:top="1440" w:right="964" w:bottom="1440" w:left="964" w:header="851" w:footer="992" w:gutter="397"/>
          <w:cols w:space="720" w:num="1"/>
          <w:docGrid w:linePitch="312" w:charSpace="0"/>
        </w:sectPr>
      </w:pPr>
    </w:p>
    <w:p>
      <w:pPr>
        <w:pStyle w:val="3"/>
        <w:spacing w:before="0" w:after="0" w:line="360" w:lineRule="auto"/>
        <w:rPr>
          <w:rFonts w:ascii="Times New Roman" w:hAnsi="Times New Roman" w:eastAsia="黑体"/>
          <w:b w:val="0"/>
          <w:sz w:val="28"/>
          <w:szCs w:val="28"/>
        </w:rPr>
      </w:pPr>
      <w:r>
        <w:rPr>
          <w:rFonts w:ascii="Times New Roman" w:hAnsi="Times New Roman" w:eastAsia="黑体"/>
          <w:b w:val="0"/>
          <w:sz w:val="28"/>
          <w:szCs w:val="28"/>
        </w:rPr>
        <w:t>建设项目拟采取的防治措施及预期治理效果</w:t>
      </w:r>
    </w:p>
    <w:tbl>
      <w:tblPr>
        <w:tblStyle w:val="30"/>
        <w:tblW w:w="9437"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418"/>
        <w:gridCol w:w="652"/>
        <w:gridCol w:w="652"/>
        <w:gridCol w:w="2035"/>
        <w:gridCol w:w="2785"/>
        <w:gridCol w:w="18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c>
          <w:tcPr>
            <w:tcW w:w="1418" w:type="dxa"/>
            <w:tcBorders>
              <w:tl2br w:val="single" w:color="auto" w:sz="4" w:space="0"/>
            </w:tcBorders>
          </w:tcPr>
          <w:p>
            <w:pPr>
              <w:spacing w:line="360" w:lineRule="auto"/>
              <w:rPr>
                <w:rFonts w:ascii="Times New Roman" w:hAnsi="Times New Roman"/>
                <w:spacing w:val="20"/>
                <w:sz w:val="28"/>
              </w:rPr>
            </w:pPr>
            <w:r>
              <w:rPr>
                <w:rFonts w:ascii="Times New Roman" w:hAnsi="Times New Roman"/>
                <w:spacing w:val="20"/>
                <w:sz w:val="28"/>
              </w:rPr>
              <w:t xml:space="preserve">   内容</w:t>
            </w:r>
          </w:p>
          <w:p>
            <w:pPr>
              <w:spacing w:line="360" w:lineRule="auto"/>
              <w:rPr>
                <w:rFonts w:ascii="Times New Roman" w:hAnsi="Times New Roman"/>
                <w:spacing w:val="20"/>
                <w:sz w:val="28"/>
              </w:rPr>
            </w:pPr>
            <w:r>
              <w:rPr>
                <w:rFonts w:ascii="Times New Roman" w:hAnsi="Times New Roman"/>
                <w:spacing w:val="20"/>
                <w:sz w:val="28"/>
              </w:rPr>
              <w:t>类型</w:t>
            </w:r>
          </w:p>
        </w:tc>
        <w:tc>
          <w:tcPr>
            <w:tcW w:w="1304" w:type="dxa"/>
            <w:gridSpan w:val="2"/>
            <w:vAlign w:val="center"/>
          </w:tcPr>
          <w:p>
            <w:pPr>
              <w:spacing w:line="360" w:lineRule="auto"/>
              <w:jc w:val="center"/>
              <w:rPr>
                <w:rFonts w:ascii="Times New Roman" w:hAnsi="Times New Roman"/>
                <w:spacing w:val="20"/>
                <w:sz w:val="28"/>
              </w:rPr>
            </w:pPr>
            <w:r>
              <w:rPr>
                <w:rFonts w:ascii="Times New Roman" w:hAnsi="Times New Roman"/>
                <w:spacing w:val="20"/>
                <w:sz w:val="28"/>
              </w:rPr>
              <w:t>排放源</w:t>
            </w:r>
          </w:p>
          <w:p>
            <w:pPr>
              <w:spacing w:line="360" w:lineRule="auto"/>
              <w:jc w:val="center"/>
              <w:rPr>
                <w:rFonts w:ascii="Times New Roman" w:hAnsi="Times New Roman"/>
                <w:spacing w:val="20"/>
                <w:sz w:val="28"/>
              </w:rPr>
            </w:pPr>
            <w:r>
              <w:rPr>
                <w:rFonts w:ascii="Times New Roman" w:hAnsi="Times New Roman"/>
                <w:spacing w:val="20"/>
                <w:sz w:val="28"/>
              </w:rPr>
              <w:t>（编号）</w:t>
            </w:r>
          </w:p>
        </w:tc>
        <w:tc>
          <w:tcPr>
            <w:tcW w:w="2035" w:type="dxa"/>
            <w:vAlign w:val="center"/>
          </w:tcPr>
          <w:p>
            <w:pPr>
              <w:spacing w:line="360" w:lineRule="auto"/>
              <w:jc w:val="center"/>
              <w:rPr>
                <w:rFonts w:ascii="Times New Roman" w:hAnsi="Times New Roman"/>
                <w:sz w:val="28"/>
              </w:rPr>
            </w:pPr>
            <w:r>
              <w:rPr>
                <w:rFonts w:ascii="Times New Roman" w:hAnsi="Times New Roman"/>
                <w:sz w:val="28"/>
              </w:rPr>
              <w:t xml:space="preserve">污染物名称      </w:t>
            </w:r>
          </w:p>
        </w:tc>
        <w:tc>
          <w:tcPr>
            <w:tcW w:w="2785" w:type="dxa"/>
            <w:vAlign w:val="center"/>
          </w:tcPr>
          <w:p>
            <w:pPr>
              <w:spacing w:line="360" w:lineRule="auto"/>
              <w:jc w:val="center"/>
              <w:rPr>
                <w:rFonts w:ascii="Times New Roman" w:hAnsi="Times New Roman"/>
                <w:sz w:val="28"/>
              </w:rPr>
            </w:pPr>
            <w:r>
              <w:rPr>
                <w:rFonts w:ascii="Times New Roman" w:hAnsi="Times New Roman"/>
                <w:sz w:val="28"/>
              </w:rPr>
              <w:t xml:space="preserve">防治措施          </w:t>
            </w:r>
          </w:p>
        </w:tc>
        <w:tc>
          <w:tcPr>
            <w:tcW w:w="1895" w:type="dxa"/>
            <w:vAlign w:val="center"/>
          </w:tcPr>
          <w:p>
            <w:pPr>
              <w:spacing w:line="360" w:lineRule="auto"/>
              <w:jc w:val="center"/>
              <w:rPr>
                <w:rFonts w:ascii="Times New Roman" w:hAnsi="Times New Roman"/>
                <w:spacing w:val="-2"/>
                <w:sz w:val="28"/>
              </w:rPr>
            </w:pPr>
            <w:r>
              <w:rPr>
                <w:rFonts w:ascii="Times New Roman" w:hAnsi="Times New Roman"/>
                <w:spacing w:val="-2"/>
                <w:sz w:val="28"/>
              </w:rPr>
              <w:t>预期治理效果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957" w:hRule="atLeast"/>
        </w:trPr>
        <w:tc>
          <w:tcPr>
            <w:tcW w:w="1418" w:type="dxa"/>
            <w:vAlign w:val="center"/>
          </w:tcPr>
          <w:p>
            <w:pPr>
              <w:spacing w:line="400" w:lineRule="exact"/>
              <w:jc w:val="center"/>
              <w:rPr>
                <w:rFonts w:ascii="Times New Roman" w:hAnsi="Times New Roman"/>
                <w:spacing w:val="20"/>
                <w:sz w:val="28"/>
              </w:rPr>
            </w:pPr>
            <w:r>
              <w:rPr>
                <w:rFonts w:ascii="Times New Roman" w:hAnsi="Times New Roman"/>
                <w:spacing w:val="20"/>
                <w:sz w:val="28"/>
              </w:rPr>
              <w:t>大</w:t>
            </w:r>
          </w:p>
          <w:p>
            <w:pPr>
              <w:spacing w:line="400" w:lineRule="exact"/>
              <w:jc w:val="center"/>
              <w:rPr>
                <w:rFonts w:ascii="Times New Roman" w:hAnsi="Times New Roman"/>
                <w:spacing w:val="20"/>
                <w:sz w:val="28"/>
              </w:rPr>
            </w:pPr>
            <w:r>
              <w:rPr>
                <w:rFonts w:ascii="Times New Roman" w:hAnsi="Times New Roman"/>
                <w:spacing w:val="20"/>
                <w:sz w:val="28"/>
              </w:rPr>
              <w:t>气</w:t>
            </w:r>
          </w:p>
          <w:p>
            <w:pPr>
              <w:spacing w:line="400" w:lineRule="exact"/>
              <w:jc w:val="center"/>
              <w:rPr>
                <w:rFonts w:ascii="Times New Roman" w:hAnsi="Times New Roman"/>
                <w:spacing w:val="20"/>
                <w:sz w:val="28"/>
              </w:rPr>
            </w:pPr>
            <w:r>
              <w:rPr>
                <w:rFonts w:ascii="Times New Roman" w:hAnsi="Times New Roman"/>
                <w:spacing w:val="20"/>
                <w:sz w:val="28"/>
              </w:rPr>
              <w:t>污</w:t>
            </w:r>
          </w:p>
          <w:p>
            <w:pPr>
              <w:spacing w:line="400" w:lineRule="exact"/>
              <w:jc w:val="center"/>
              <w:rPr>
                <w:rFonts w:ascii="Times New Roman" w:hAnsi="Times New Roman"/>
                <w:spacing w:val="20"/>
                <w:sz w:val="28"/>
              </w:rPr>
            </w:pPr>
            <w:r>
              <w:rPr>
                <w:rFonts w:ascii="Times New Roman" w:hAnsi="Times New Roman"/>
                <w:spacing w:val="20"/>
                <w:sz w:val="28"/>
              </w:rPr>
              <w:t>染</w:t>
            </w:r>
          </w:p>
          <w:p>
            <w:pPr>
              <w:spacing w:line="400" w:lineRule="exact"/>
              <w:jc w:val="center"/>
              <w:rPr>
                <w:rFonts w:ascii="Times New Roman" w:hAnsi="Times New Roman"/>
                <w:spacing w:val="20"/>
                <w:sz w:val="28"/>
              </w:rPr>
            </w:pPr>
            <w:r>
              <w:rPr>
                <w:rFonts w:ascii="Times New Roman" w:hAnsi="Times New Roman"/>
                <w:spacing w:val="20"/>
                <w:sz w:val="28"/>
              </w:rPr>
              <w:t>物</w:t>
            </w:r>
          </w:p>
        </w:tc>
        <w:tc>
          <w:tcPr>
            <w:tcW w:w="1304" w:type="dxa"/>
            <w:gridSpan w:val="2"/>
            <w:vAlign w:val="center"/>
          </w:tcPr>
          <w:p>
            <w:pPr>
              <w:spacing w:line="400" w:lineRule="exact"/>
              <w:jc w:val="center"/>
              <w:rPr>
                <w:rFonts w:ascii="Times New Roman" w:hAnsi="Times New Roman"/>
                <w:spacing w:val="-10"/>
              </w:rPr>
            </w:pPr>
            <w:r>
              <w:rPr>
                <w:rFonts w:hint="eastAsia" w:ascii="Times New Roman" w:hAnsi="Times New Roman"/>
                <w:kern w:val="2"/>
                <w:szCs w:val="24"/>
              </w:rPr>
              <w:t>印刷</w:t>
            </w:r>
          </w:p>
        </w:tc>
        <w:tc>
          <w:tcPr>
            <w:tcW w:w="2035" w:type="dxa"/>
            <w:vAlign w:val="center"/>
          </w:tcPr>
          <w:p>
            <w:pPr>
              <w:spacing w:line="400" w:lineRule="exact"/>
              <w:jc w:val="center"/>
              <w:rPr>
                <w:rFonts w:ascii="Times New Roman" w:hAnsi="Times New Roman"/>
                <w:spacing w:val="-10"/>
              </w:rPr>
            </w:pPr>
            <w:r>
              <w:rPr>
                <w:rFonts w:ascii="Times New Roman" w:hAnsi="Times New Roman"/>
                <w:spacing w:val="-10"/>
              </w:rPr>
              <w:t>VOCs</w:t>
            </w:r>
          </w:p>
        </w:tc>
        <w:tc>
          <w:tcPr>
            <w:tcW w:w="2785" w:type="dxa"/>
            <w:vAlign w:val="center"/>
          </w:tcPr>
          <w:p>
            <w:pPr>
              <w:spacing w:line="400" w:lineRule="exact"/>
              <w:jc w:val="center"/>
              <w:rPr>
                <w:rFonts w:ascii="Times New Roman" w:hAnsi="Times New Roman"/>
                <w:spacing w:val="-10"/>
              </w:rPr>
            </w:pPr>
            <w:r>
              <w:rPr>
                <w:rFonts w:ascii="Times New Roman" w:hAnsi="Times New Roman"/>
                <w:spacing w:val="-10"/>
              </w:rPr>
              <w:t>经集气装置收集，</w:t>
            </w:r>
            <w:r>
              <w:rPr>
                <w:rFonts w:hint="eastAsia" w:ascii="Times New Roman" w:hAnsi="Times New Roman"/>
                <w:spacing w:val="-10"/>
              </w:rPr>
              <w:t>活性炭吸附+催化燃烧装</w:t>
            </w:r>
            <w:r>
              <w:rPr>
                <w:rFonts w:ascii="Times New Roman" w:hAnsi="Times New Roman"/>
                <w:spacing w:val="-10"/>
              </w:rPr>
              <w:t>置处理后通过</w:t>
            </w:r>
            <w:r>
              <w:rPr>
                <w:rFonts w:hint="eastAsia" w:ascii="Times New Roman" w:hAnsi="Times New Roman"/>
                <w:spacing w:val="-10"/>
              </w:rPr>
              <w:t>15m高排气筒</w:t>
            </w:r>
            <w:r>
              <w:rPr>
                <w:rFonts w:ascii="Times New Roman" w:hAnsi="Times New Roman"/>
                <w:spacing w:val="-10"/>
              </w:rPr>
              <w:t>排放</w:t>
            </w:r>
            <w:r>
              <w:rPr>
                <w:rFonts w:hint="eastAsia" w:ascii="Times New Roman" w:hAnsi="Times New Roman"/>
                <w:spacing w:val="-10"/>
              </w:rPr>
              <w:t>。</w:t>
            </w:r>
          </w:p>
        </w:tc>
        <w:tc>
          <w:tcPr>
            <w:tcW w:w="1895" w:type="dxa"/>
            <w:vAlign w:val="center"/>
          </w:tcPr>
          <w:p>
            <w:pPr>
              <w:spacing w:line="400" w:lineRule="exact"/>
              <w:jc w:val="center"/>
              <w:rPr>
                <w:rFonts w:ascii="Times New Roman" w:hAnsi="Times New Roman"/>
                <w:spacing w:val="-10"/>
              </w:rPr>
            </w:pPr>
            <w:r>
              <w:rPr>
                <w:rFonts w:ascii="Times New Roman" w:hAnsi="Times New Roman"/>
                <w:spacing w:val="-10"/>
              </w:rPr>
              <w:t>达标排放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946" w:hRule="atLeast"/>
        </w:trPr>
        <w:tc>
          <w:tcPr>
            <w:tcW w:w="1418" w:type="dxa"/>
            <w:vAlign w:val="center"/>
          </w:tcPr>
          <w:p>
            <w:pPr>
              <w:spacing w:line="400" w:lineRule="exact"/>
              <w:jc w:val="center"/>
              <w:rPr>
                <w:rFonts w:ascii="Times New Roman" w:hAnsi="Times New Roman"/>
                <w:spacing w:val="20"/>
                <w:sz w:val="28"/>
              </w:rPr>
            </w:pPr>
            <w:r>
              <w:rPr>
                <w:rFonts w:ascii="Times New Roman" w:hAnsi="Times New Roman"/>
                <w:spacing w:val="20"/>
                <w:sz w:val="28"/>
              </w:rPr>
              <w:t>水</w:t>
            </w:r>
          </w:p>
          <w:p>
            <w:pPr>
              <w:spacing w:line="400" w:lineRule="exact"/>
              <w:jc w:val="center"/>
              <w:rPr>
                <w:rFonts w:ascii="Times New Roman" w:hAnsi="Times New Roman"/>
                <w:spacing w:val="20"/>
                <w:sz w:val="28"/>
              </w:rPr>
            </w:pPr>
            <w:r>
              <w:rPr>
                <w:rFonts w:ascii="Times New Roman" w:hAnsi="Times New Roman"/>
                <w:spacing w:val="20"/>
                <w:sz w:val="28"/>
              </w:rPr>
              <w:t>污</w:t>
            </w:r>
          </w:p>
          <w:p>
            <w:pPr>
              <w:spacing w:line="400" w:lineRule="exact"/>
              <w:jc w:val="center"/>
              <w:rPr>
                <w:rFonts w:ascii="Times New Roman" w:hAnsi="Times New Roman"/>
                <w:spacing w:val="20"/>
                <w:sz w:val="28"/>
              </w:rPr>
            </w:pPr>
            <w:r>
              <w:rPr>
                <w:rFonts w:ascii="Times New Roman" w:hAnsi="Times New Roman"/>
                <w:spacing w:val="20"/>
                <w:sz w:val="28"/>
              </w:rPr>
              <w:t>染</w:t>
            </w:r>
          </w:p>
          <w:p>
            <w:pPr>
              <w:spacing w:line="400" w:lineRule="exact"/>
              <w:jc w:val="center"/>
              <w:rPr>
                <w:rFonts w:ascii="Times New Roman" w:hAnsi="Times New Roman"/>
                <w:spacing w:val="20"/>
                <w:sz w:val="28"/>
              </w:rPr>
            </w:pPr>
            <w:r>
              <w:rPr>
                <w:rFonts w:ascii="Times New Roman" w:hAnsi="Times New Roman"/>
                <w:spacing w:val="20"/>
                <w:sz w:val="28"/>
              </w:rPr>
              <w:t>物</w:t>
            </w:r>
          </w:p>
        </w:tc>
        <w:tc>
          <w:tcPr>
            <w:tcW w:w="1304" w:type="dxa"/>
            <w:gridSpan w:val="2"/>
            <w:vAlign w:val="center"/>
          </w:tcPr>
          <w:p>
            <w:pPr>
              <w:spacing w:line="400" w:lineRule="exact"/>
              <w:jc w:val="center"/>
              <w:rPr>
                <w:rFonts w:ascii="Times New Roman" w:hAnsi="Times New Roman"/>
                <w:spacing w:val="-10"/>
              </w:rPr>
            </w:pPr>
            <w:r>
              <w:rPr>
                <w:rFonts w:ascii="Times New Roman" w:hAnsi="Times New Roman"/>
                <w:spacing w:val="-10"/>
              </w:rPr>
              <w:t>生活污水</w:t>
            </w:r>
          </w:p>
        </w:tc>
        <w:tc>
          <w:tcPr>
            <w:tcW w:w="2035" w:type="dxa"/>
            <w:vAlign w:val="center"/>
          </w:tcPr>
          <w:p>
            <w:pPr>
              <w:spacing w:line="400" w:lineRule="exact"/>
              <w:jc w:val="center"/>
              <w:rPr>
                <w:rFonts w:ascii="Times New Roman" w:hAnsi="Times New Roman"/>
                <w:szCs w:val="24"/>
              </w:rPr>
            </w:pPr>
            <w:r>
              <w:rPr>
                <w:rFonts w:ascii="Times New Roman" w:hAnsi="Times New Roman"/>
                <w:szCs w:val="24"/>
              </w:rPr>
              <w:t>COD</w:t>
            </w:r>
          </w:p>
          <w:p>
            <w:pPr>
              <w:spacing w:line="400" w:lineRule="exact"/>
              <w:jc w:val="center"/>
              <w:rPr>
                <w:rFonts w:ascii="Times New Roman" w:hAnsi="Times New Roman"/>
                <w:szCs w:val="24"/>
              </w:rPr>
            </w:pPr>
            <w:r>
              <w:rPr>
                <w:rFonts w:ascii="Times New Roman" w:hAnsi="Times New Roman"/>
                <w:szCs w:val="24"/>
              </w:rPr>
              <w:t>NH</w:t>
            </w:r>
            <w:r>
              <w:rPr>
                <w:rFonts w:ascii="Times New Roman" w:hAnsi="Times New Roman"/>
                <w:szCs w:val="24"/>
                <w:vertAlign w:val="subscript"/>
              </w:rPr>
              <w:t>3</w:t>
            </w:r>
            <w:r>
              <w:rPr>
                <w:rFonts w:ascii="Times New Roman" w:hAnsi="Times New Roman"/>
                <w:szCs w:val="24"/>
              </w:rPr>
              <w:t>-N</w:t>
            </w:r>
          </w:p>
        </w:tc>
        <w:tc>
          <w:tcPr>
            <w:tcW w:w="2785" w:type="dxa"/>
            <w:vAlign w:val="center"/>
          </w:tcPr>
          <w:p>
            <w:pPr>
              <w:spacing w:line="400" w:lineRule="exact"/>
              <w:jc w:val="center"/>
              <w:rPr>
                <w:rFonts w:ascii="Times New Roman" w:hAnsi="Times New Roman"/>
                <w:spacing w:val="-10"/>
                <w:szCs w:val="24"/>
              </w:rPr>
            </w:pPr>
            <w:r>
              <w:rPr>
                <w:rFonts w:hint="eastAsia" w:ascii="Times New Roman" w:hAnsi="Times New Roman"/>
                <w:szCs w:val="24"/>
              </w:rPr>
              <w:t>生活污水</w:t>
            </w:r>
            <w:r>
              <w:rPr>
                <w:rFonts w:ascii="Times New Roman" w:hAnsi="Times New Roman"/>
                <w:szCs w:val="24"/>
              </w:rPr>
              <w:t>经化粪池处理后排入</w:t>
            </w:r>
            <w:r>
              <w:rPr>
                <w:rFonts w:hint="eastAsia" w:ascii="Times New Roman" w:hAnsi="Times New Roman"/>
                <w:szCs w:val="24"/>
              </w:rPr>
              <w:t>威海水务集团有限公司崮山污水处理厂</w:t>
            </w:r>
            <w:r>
              <w:rPr>
                <w:rFonts w:ascii="Times New Roman" w:hAnsi="Times New Roman"/>
                <w:szCs w:val="24"/>
              </w:rPr>
              <w:t>，处理达标后排放</w:t>
            </w:r>
          </w:p>
        </w:tc>
        <w:tc>
          <w:tcPr>
            <w:tcW w:w="1895" w:type="dxa"/>
            <w:vAlign w:val="center"/>
          </w:tcPr>
          <w:p>
            <w:pPr>
              <w:spacing w:line="400" w:lineRule="exact"/>
              <w:jc w:val="center"/>
              <w:rPr>
                <w:rFonts w:ascii="Times New Roman" w:hAnsi="Times New Roman"/>
                <w:spacing w:val="-10"/>
              </w:rPr>
            </w:pPr>
            <w:r>
              <w:rPr>
                <w:rFonts w:ascii="Times New Roman" w:hAnsi="Times New Roman"/>
                <w:spacing w:val="-10"/>
              </w:rPr>
              <w:t>达标排放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c>
          <w:tcPr>
            <w:tcW w:w="1418" w:type="dxa"/>
            <w:vMerge w:val="restart"/>
            <w:vAlign w:val="center"/>
          </w:tcPr>
          <w:p>
            <w:pPr>
              <w:spacing w:line="400" w:lineRule="exact"/>
              <w:jc w:val="center"/>
              <w:rPr>
                <w:rFonts w:ascii="Times New Roman" w:hAnsi="Times New Roman"/>
                <w:spacing w:val="20"/>
                <w:sz w:val="28"/>
              </w:rPr>
            </w:pPr>
            <w:r>
              <w:rPr>
                <w:rFonts w:ascii="Times New Roman" w:hAnsi="Times New Roman"/>
                <w:spacing w:val="20"/>
                <w:sz w:val="28"/>
              </w:rPr>
              <w:t>固</w:t>
            </w:r>
          </w:p>
          <w:p>
            <w:pPr>
              <w:spacing w:line="400" w:lineRule="exact"/>
              <w:jc w:val="center"/>
              <w:rPr>
                <w:rFonts w:ascii="Times New Roman" w:hAnsi="Times New Roman"/>
                <w:spacing w:val="20"/>
                <w:sz w:val="28"/>
              </w:rPr>
            </w:pPr>
            <w:r>
              <w:rPr>
                <w:rFonts w:ascii="Times New Roman" w:hAnsi="Times New Roman"/>
                <w:spacing w:val="20"/>
                <w:sz w:val="28"/>
              </w:rPr>
              <w:t>体</w:t>
            </w:r>
          </w:p>
          <w:p>
            <w:pPr>
              <w:spacing w:line="400" w:lineRule="exact"/>
              <w:jc w:val="center"/>
              <w:rPr>
                <w:rFonts w:ascii="Times New Roman" w:hAnsi="Times New Roman"/>
                <w:spacing w:val="20"/>
                <w:sz w:val="28"/>
              </w:rPr>
            </w:pPr>
            <w:r>
              <w:rPr>
                <w:rFonts w:ascii="Times New Roman" w:hAnsi="Times New Roman"/>
                <w:spacing w:val="20"/>
                <w:sz w:val="28"/>
              </w:rPr>
              <w:t>废</w:t>
            </w:r>
          </w:p>
          <w:p>
            <w:pPr>
              <w:spacing w:line="400" w:lineRule="exact"/>
              <w:jc w:val="center"/>
              <w:rPr>
                <w:rFonts w:ascii="Times New Roman" w:hAnsi="Times New Roman"/>
                <w:spacing w:val="20"/>
              </w:rPr>
            </w:pPr>
            <w:r>
              <w:rPr>
                <w:rFonts w:ascii="Times New Roman" w:hAnsi="Times New Roman"/>
                <w:spacing w:val="20"/>
                <w:sz w:val="28"/>
              </w:rPr>
              <w:t>物</w:t>
            </w:r>
          </w:p>
        </w:tc>
        <w:tc>
          <w:tcPr>
            <w:tcW w:w="1304" w:type="dxa"/>
            <w:gridSpan w:val="2"/>
            <w:vAlign w:val="center"/>
          </w:tcPr>
          <w:p>
            <w:pPr>
              <w:spacing w:line="400" w:lineRule="exact"/>
              <w:jc w:val="center"/>
              <w:rPr>
                <w:rFonts w:ascii="Times New Roman" w:hAnsi="Times New Roman"/>
                <w:spacing w:val="-10"/>
                <w:szCs w:val="24"/>
              </w:rPr>
            </w:pPr>
            <w:r>
              <w:rPr>
                <w:rFonts w:ascii="Times New Roman" w:hAnsi="Times New Roman"/>
                <w:spacing w:val="-10"/>
                <w:szCs w:val="24"/>
              </w:rPr>
              <w:t>生活</w:t>
            </w:r>
          </w:p>
        </w:tc>
        <w:tc>
          <w:tcPr>
            <w:tcW w:w="2035" w:type="dxa"/>
            <w:vAlign w:val="center"/>
          </w:tcPr>
          <w:p>
            <w:pPr>
              <w:pStyle w:val="22"/>
              <w:spacing w:line="400" w:lineRule="exact"/>
              <w:rPr>
                <w:sz w:val="24"/>
                <w:szCs w:val="24"/>
              </w:rPr>
            </w:pPr>
            <w:r>
              <w:rPr>
                <w:sz w:val="24"/>
                <w:szCs w:val="24"/>
              </w:rPr>
              <w:t>生活垃圾</w:t>
            </w:r>
          </w:p>
        </w:tc>
        <w:tc>
          <w:tcPr>
            <w:tcW w:w="2785" w:type="dxa"/>
            <w:vAlign w:val="center"/>
          </w:tcPr>
          <w:p>
            <w:pPr>
              <w:snapToGrid w:val="0"/>
              <w:spacing w:line="400" w:lineRule="exact"/>
              <w:jc w:val="center"/>
              <w:rPr>
                <w:rFonts w:ascii="Times New Roman" w:hAnsi="Times New Roman"/>
                <w:szCs w:val="24"/>
              </w:rPr>
            </w:pPr>
            <w:r>
              <w:rPr>
                <w:rFonts w:ascii="Times New Roman" w:hAnsi="Times New Roman"/>
                <w:szCs w:val="24"/>
              </w:rPr>
              <w:t>由环卫部门统一清运</w:t>
            </w:r>
          </w:p>
        </w:tc>
        <w:tc>
          <w:tcPr>
            <w:tcW w:w="1895" w:type="dxa"/>
            <w:vMerge w:val="restart"/>
            <w:vAlign w:val="center"/>
          </w:tcPr>
          <w:p>
            <w:pPr>
              <w:spacing w:line="400" w:lineRule="exact"/>
              <w:jc w:val="center"/>
              <w:rPr>
                <w:rFonts w:ascii="Times New Roman" w:hAnsi="Times New Roman"/>
                <w:spacing w:val="-10"/>
              </w:rPr>
            </w:pPr>
            <w:r>
              <w:rPr>
                <w:rFonts w:ascii="Times New Roman" w:hAnsi="Times New Roman"/>
              </w:rPr>
              <w:t>零排放，对周围环境无不利影响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891" w:hRule="atLeast"/>
        </w:trPr>
        <w:tc>
          <w:tcPr>
            <w:tcW w:w="1418" w:type="dxa"/>
            <w:vMerge w:val="continue"/>
            <w:vAlign w:val="center"/>
          </w:tcPr>
          <w:p>
            <w:pPr>
              <w:spacing w:line="400" w:lineRule="exact"/>
              <w:jc w:val="center"/>
              <w:rPr>
                <w:rFonts w:ascii="Times New Roman" w:hAnsi="Times New Roman"/>
                <w:spacing w:val="20"/>
                <w:sz w:val="28"/>
              </w:rPr>
            </w:pPr>
          </w:p>
        </w:tc>
        <w:tc>
          <w:tcPr>
            <w:tcW w:w="652" w:type="dxa"/>
            <w:vMerge w:val="restart"/>
            <w:vAlign w:val="center"/>
          </w:tcPr>
          <w:p>
            <w:pPr>
              <w:spacing w:line="400" w:lineRule="exact"/>
              <w:jc w:val="center"/>
              <w:rPr>
                <w:rFonts w:ascii="Times New Roman" w:hAnsi="Times New Roman"/>
                <w:spacing w:val="-10"/>
                <w:szCs w:val="24"/>
              </w:rPr>
            </w:pPr>
            <w:r>
              <w:rPr>
                <w:rFonts w:ascii="Times New Roman" w:hAnsi="Times New Roman"/>
                <w:spacing w:val="-10"/>
                <w:szCs w:val="24"/>
              </w:rPr>
              <w:t>生产</w:t>
            </w:r>
          </w:p>
        </w:tc>
        <w:tc>
          <w:tcPr>
            <w:tcW w:w="652" w:type="dxa"/>
            <w:vAlign w:val="center"/>
          </w:tcPr>
          <w:p>
            <w:pPr>
              <w:spacing w:line="400" w:lineRule="exact"/>
              <w:jc w:val="center"/>
              <w:rPr>
                <w:rFonts w:ascii="Times New Roman" w:hAnsi="Times New Roman"/>
                <w:spacing w:val="-10"/>
                <w:szCs w:val="24"/>
              </w:rPr>
            </w:pPr>
            <w:r>
              <w:rPr>
                <w:rFonts w:hint="eastAsia" w:ascii="Times New Roman" w:hAnsi="Times New Roman"/>
                <w:spacing w:val="-10"/>
                <w:szCs w:val="24"/>
              </w:rPr>
              <w:t>一般固废</w:t>
            </w:r>
          </w:p>
        </w:tc>
        <w:tc>
          <w:tcPr>
            <w:tcW w:w="2035" w:type="dxa"/>
            <w:vAlign w:val="center"/>
          </w:tcPr>
          <w:p>
            <w:pPr>
              <w:pStyle w:val="22"/>
              <w:spacing w:line="400" w:lineRule="exact"/>
              <w:rPr>
                <w:bCs w:val="0"/>
                <w:spacing w:val="-10"/>
                <w:kern w:val="36"/>
                <w:sz w:val="24"/>
                <w:szCs w:val="24"/>
              </w:rPr>
            </w:pPr>
            <w:r>
              <w:rPr>
                <w:rFonts w:hint="eastAsia"/>
                <w:bCs w:val="0"/>
                <w:spacing w:val="-10"/>
                <w:kern w:val="36"/>
                <w:sz w:val="24"/>
                <w:szCs w:val="24"/>
              </w:rPr>
              <w:t>下脚料</w:t>
            </w:r>
          </w:p>
        </w:tc>
        <w:tc>
          <w:tcPr>
            <w:tcW w:w="2785" w:type="dxa"/>
            <w:vAlign w:val="center"/>
          </w:tcPr>
          <w:p>
            <w:pPr>
              <w:snapToGrid w:val="0"/>
              <w:spacing w:line="400" w:lineRule="exact"/>
              <w:jc w:val="center"/>
              <w:rPr>
                <w:rFonts w:ascii="Times New Roman" w:hAnsi="Times New Roman"/>
                <w:spacing w:val="-10"/>
                <w:szCs w:val="24"/>
              </w:rPr>
            </w:pPr>
            <w:r>
              <w:rPr>
                <w:rFonts w:ascii="Times New Roman" w:hAnsi="Times New Roman"/>
                <w:spacing w:val="-10"/>
                <w:szCs w:val="24"/>
              </w:rPr>
              <w:t>外售废品回收单位</w:t>
            </w:r>
          </w:p>
        </w:tc>
        <w:tc>
          <w:tcPr>
            <w:tcW w:w="1895" w:type="dxa"/>
            <w:vMerge w:val="continue"/>
            <w:vAlign w:val="center"/>
          </w:tcPr>
          <w:p>
            <w:pPr>
              <w:spacing w:line="400" w:lineRule="exact"/>
              <w:jc w:val="center"/>
              <w:rPr>
                <w:rFonts w:ascii="Times New Roman" w:hAnsi="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27" w:hRule="atLeast"/>
        </w:trPr>
        <w:tc>
          <w:tcPr>
            <w:tcW w:w="1418" w:type="dxa"/>
            <w:vMerge w:val="continue"/>
            <w:vAlign w:val="center"/>
          </w:tcPr>
          <w:p>
            <w:pPr>
              <w:spacing w:line="400" w:lineRule="exact"/>
              <w:jc w:val="center"/>
              <w:rPr>
                <w:rFonts w:ascii="Times New Roman" w:hAnsi="Times New Roman"/>
                <w:spacing w:val="20"/>
                <w:sz w:val="28"/>
              </w:rPr>
            </w:pPr>
          </w:p>
        </w:tc>
        <w:tc>
          <w:tcPr>
            <w:tcW w:w="652" w:type="dxa"/>
            <w:vMerge w:val="continue"/>
            <w:vAlign w:val="center"/>
          </w:tcPr>
          <w:p>
            <w:pPr>
              <w:spacing w:line="400" w:lineRule="exact"/>
              <w:jc w:val="center"/>
              <w:rPr>
                <w:rFonts w:ascii="Times New Roman" w:hAnsi="Times New Roman"/>
                <w:spacing w:val="-10"/>
                <w:szCs w:val="24"/>
              </w:rPr>
            </w:pPr>
          </w:p>
        </w:tc>
        <w:tc>
          <w:tcPr>
            <w:tcW w:w="652" w:type="dxa"/>
            <w:vMerge w:val="restart"/>
            <w:vAlign w:val="center"/>
          </w:tcPr>
          <w:p>
            <w:pPr>
              <w:spacing w:line="400" w:lineRule="exact"/>
              <w:jc w:val="center"/>
              <w:rPr>
                <w:rFonts w:ascii="Times New Roman" w:hAnsi="Times New Roman"/>
                <w:spacing w:val="-10"/>
                <w:szCs w:val="24"/>
              </w:rPr>
            </w:pPr>
            <w:r>
              <w:rPr>
                <w:rFonts w:hint="eastAsia" w:ascii="Times New Roman" w:hAnsi="Times New Roman"/>
                <w:spacing w:val="-10"/>
                <w:szCs w:val="24"/>
              </w:rPr>
              <w:t>危险废物</w:t>
            </w:r>
          </w:p>
        </w:tc>
        <w:tc>
          <w:tcPr>
            <w:tcW w:w="2035" w:type="dxa"/>
          </w:tcPr>
          <w:p>
            <w:pPr>
              <w:pStyle w:val="22"/>
              <w:spacing w:line="400" w:lineRule="exact"/>
              <w:rPr>
                <w:bCs w:val="0"/>
                <w:spacing w:val="-10"/>
                <w:kern w:val="36"/>
                <w:sz w:val="24"/>
                <w:szCs w:val="24"/>
              </w:rPr>
            </w:pPr>
            <w:r>
              <w:rPr>
                <w:bCs w:val="0"/>
                <w:spacing w:val="-10"/>
                <w:kern w:val="36"/>
                <w:sz w:val="24"/>
                <w:szCs w:val="24"/>
              </w:rPr>
              <w:t>废活性炭</w:t>
            </w:r>
          </w:p>
        </w:tc>
        <w:tc>
          <w:tcPr>
            <w:tcW w:w="2785" w:type="dxa"/>
            <w:vMerge w:val="restart"/>
            <w:vAlign w:val="center"/>
          </w:tcPr>
          <w:p>
            <w:pPr>
              <w:snapToGrid w:val="0"/>
              <w:spacing w:line="400" w:lineRule="exact"/>
              <w:jc w:val="center"/>
              <w:rPr>
                <w:rFonts w:ascii="Times New Roman" w:hAnsi="Times New Roman"/>
                <w:spacing w:val="-10"/>
                <w:szCs w:val="24"/>
              </w:rPr>
            </w:pPr>
            <w:r>
              <w:rPr>
                <w:rFonts w:ascii="Times New Roman" w:hAnsi="Times New Roman"/>
                <w:szCs w:val="24"/>
              </w:rPr>
              <w:t>由具有危险废物处理资质的单位</w:t>
            </w:r>
            <w:r>
              <w:rPr>
                <w:rFonts w:hint="eastAsia" w:ascii="Times New Roman" w:hAnsi="Times New Roman"/>
                <w:szCs w:val="24"/>
              </w:rPr>
              <w:t>协议</w:t>
            </w:r>
            <w:r>
              <w:rPr>
                <w:rFonts w:ascii="Times New Roman" w:hAnsi="Times New Roman"/>
                <w:szCs w:val="24"/>
              </w:rPr>
              <w:t>处理</w:t>
            </w:r>
          </w:p>
        </w:tc>
        <w:tc>
          <w:tcPr>
            <w:tcW w:w="1895" w:type="dxa"/>
            <w:vMerge w:val="continue"/>
            <w:vAlign w:val="center"/>
          </w:tcPr>
          <w:p>
            <w:pPr>
              <w:spacing w:line="400" w:lineRule="exact"/>
              <w:jc w:val="center"/>
              <w:rPr>
                <w:rFonts w:ascii="Times New Roman" w:hAnsi="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70" w:hRule="atLeast"/>
        </w:trPr>
        <w:tc>
          <w:tcPr>
            <w:tcW w:w="1418" w:type="dxa"/>
            <w:vMerge w:val="continue"/>
            <w:vAlign w:val="center"/>
          </w:tcPr>
          <w:p>
            <w:pPr>
              <w:spacing w:line="400" w:lineRule="exact"/>
              <w:jc w:val="center"/>
              <w:rPr>
                <w:rFonts w:ascii="Times New Roman" w:hAnsi="Times New Roman"/>
                <w:spacing w:val="20"/>
                <w:sz w:val="28"/>
              </w:rPr>
            </w:pPr>
          </w:p>
        </w:tc>
        <w:tc>
          <w:tcPr>
            <w:tcW w:w="652" w:type="dxa"/>
            <w:vMerge w:val="continue"/>
            <w:vAlign w:val="center"/>
          </w:tcPr>
          <w:p>
            <w:pPr>
              <w:spacing w:line="400" w:lineRule="exact"/>
              <w:jc w:val="center"/>
              <w:rPr>
                <w:rFonts w:ascii="Times New Roman" w:hAnsi="Times New Roman"/>
                <w:spacing w:val="-10"/>
                <w:szCs w:val="24"/>
              </w:rPr>
            </w:pPr>
          </w:p>
        </w:tc>
        <w:tc>
          <w:tcPr>
            <w:tcW w:w="652" w:type="dxa"/>
            <w:vMerge w:val="continue"/>
            <w:vAlign w:val="center"/>
          </w:tcPr>
          <w:p>
            <w:pPr>
              <w:spacing w:line="400" w:lineRule="exact"/>
              <w:jc w:val="center"/>
              <w:rPr>
                <w:rFonts w:ascii="Times New Roman" w:hAnsi="Times New Roman"/>
                <w:spacing w:val="-10"/>
                <w:szCs w:val="24"/>
              </w:rPr>
            </w:pPr>
          </w:p>
        </w:tc>
        <w:tc>
          <w:tcPr>
            <w:tcW w:w="2035" w:type="dxa"/>
          </w:tcPr>
          <w:p>
            <w:pPr>
              <w:pStyle w:val="22"/>
              <w:spacing w:line="400" w:lineRule="exact"/>
              <w:rPr>
                <w:bCs w:val="0"/>
                <w:spacing w:val="-10"/>
                <w:kern w:val="36"/>
                <w:sz w:val="24"/>
                <w:szCs w:val="24"/>
              </w:rPr>
            </w:pPr>
            <w:r>
              <w:rPr>
                <w:rFonts w:hint="eastAsia"/>
                <w:bCs w:val="0"/>
                <w:spacing w:val="-10"/>
                <w:kern w:val="36"/>
                <w:sz w:val="24"/>
                <w:szCs w:val="24"/>
              </w:rPr>
              <w:t>废催化剂</w:t>
            </w:r>
          </w:p>
        </w:tc>
        <w:tc>
          <w:tcPr>
            <w:tcW w:w="2785" w:type="dxa"/>
            <w:vMerge w:val="continue"/>
            <w:vAlign w:val="center"/>
          </w:tcPr>
          <w:p>
            <w:pPr>
              <w:snapToGrid w:val="0"/>
              <w:spacing w:line="400" w:lineRule="exact"/>
              <w:jc w:val="center"/>
              <w:rPr>
                <w:rFonts w:ascii="Times New Roman" w:hAnsi="Times New Roman"/>
                <w:spacing w:val="-10"/>
                <w:szCs w:val="24"/>
              </w:rPr>
            </w:pPr>
          </w:p>
        </w:tc>
        <w:tc>
          <w:tcPr>
            <w:tcW w:w="1895" w:type="dxa"/>
            <w:vMerge w:val="continue"/>
            <w:vAlign w:val="center"/>
          </w:tcPr>
          <w:p>
            <w:pPr>
              <w:spacing w:line="400" w:lineRule="exact"/>
              <w:jc w:val="center"/>
              <w:rPr>
                <w:rFonts w:ascii="Times New Roman" w:hAnsi="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70" w:hRule="atLeast"/>
        </w:trPr>
        <w:tc>
          <w:tcPr>
            <w:tcW w:w="1418" w:type="dxa"/>
            <w:vMerge w:val="continue"/>
            <w:vAlign w:val="center"/>
          </w:tcPr>
          <w:p>
            <w:pPr>
              <w:spacing w:line="400" w:lineRule="exact"/>
              <w:jc w:val="center"/>
              <w:rPr>
                <w:rFonts w:ascii="Times New Roman" w:hAnsi="Times New Roman"/>
                <w:spacing w:val="20"/>
                <w:sz w:val="28"/>
              </w:rPr>
            </w:pPr>
          </w:p>
        </w:tc>
        <w:tc>
          <w:tcPr>
            <w:tcW w:w="652" w:type="dxa"/>
            <w:vMerge w:val="continue"/>
            <w:vAlign w:val="center"/>
          </w:tcPr>
          <w:p>
            <w:pPr>
              <w:spacing w:line="400" w:lineRule="exact"/>
              <w:jc w:val="center"/>
              <w:rPr>
                <w:rFonts w:ascii="Times New Roman" w:hAnsi="Times New Roman"/>
                <w:spacing w:val="-10"/>
                <w:szCs w:val="24"/>
              </w:rPr>
            </w:pPr>
          </w:p>
        </w:tc>
        <w:tc>
          <w:tcPr>
            <w:tcW w:w="652" w:type="dxa"/>
            <w:vMerge w:val="continue"/>
            <w:vAlign w:val="center"/>
          </w:tcPr>
          <w:p>
            <w:pPr>
              <w:spacing w:line="400" w:lineRule="exact"/>
              <w:jc w:val="center"/>
              <w:rPr>
                <w:rFonts w:ascii="Times New Roman" w:hAnsi="Times New Roman"/>
                <w:spacing w:val="-10"/>
                <w:szCs w:val="24"/>
              </w:rPr>
            </w:pPr>
          </w:p>
        </w:tc>
        <w:tc>
          <w:tcPr>
            <w:tcW w:w="2035" w:type="dxa"/>
          </w:tcPr>
          <w:p>
            <w:pPr>
              <w:pStyle w:val="22"/>
              <w:spacing w:line="400" w:lineRule="exact"/>
              <w:rPr>
                <w:bCs w:val="0"/>
                <w:spacing w:val="-10"/>
                <w:kern w:val="36"/>
                <w:sz w:val="24"/>
                <w:szCs w:val="24"/>
              </w:rPr>
            </w:pPr>
            <w:r>
              <w:rPr>
                <w:bCs w:val="0"/>
                <w:spacing w:val="-10"/>
                <w:kern w:val="36"/>
                <w:sz w:val="24"/>
                <w:szCs w:val="24"/>
              </w:rPr>
              <w:t>废</w:t>
            </w:r>
            <w:r>
              <w:rPr>
                <w:rFonts w:hint="eastAsia"/>
                <w:bCs w:val="0"/>
                <w:spacing w:val="-10"/>
                <w:kern w:val="36"/>
                <w:sz w:val="24"/>
                <w:szCs w:val="24"/>
              </w:rPr>
              <w:t>油墨盒</w:t>
            </w:r>
          </w:p>
        </w:tc>
        <w:tc>
          <w:tcPr>
            <w:tcW w:w="2785" w:type="dxa"/>
            <w:vMerge w:val="continue"/>
            <w:vAlign w:val="center"/>
          </w:tcPr>
          <w:p>
            <w:pPr>
              <w:snapToGrid w:val="0"/>
              <w:spacing w:line="400" w:lineRule="exact"/>
              <w:jc w:val="center"/>
              <w:rPr>
                <w:rFonts w:ascii="Times New Roman" w:hAnsi="Times New Roman"/>
                <w:spacing w:val="-10"/>
                <w:szCs w:val="24"/>
              </w:rPr>
            </w:pPr>
          </w:p>
        </w:tc>
        <w:tc>
          <w:tcPr>
            <w:tcW w:w="1895" w:type="dxa"/>
            <w:vMerge w:val="continue"/>
            <w:vAlign w:val="center"/>
          </w:tcPr>
          <w:p>
            <w:pPr>
              <w:spacing w:line="400" w:lineRule="exact"/>
              <w:jc w:val="center"/>
              <w:rPr>
                <w:rFonts w:ascii="Times New Roman" w:hAnsi="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27" w:hRule="atLeast"/>
        </w:trPr>
        <w:tc>
          <w:tcPr>
            <w:tcW w:w="1418" w:type="dxa"/>
            <w:vMerge w:val="continue"/>
            <w:vAlign w:val="center"/>
          </w:tcPr>
          <w:p>
            <w:pPr>
              <w:spacing w:line="400" w:lineRule="exact"/>
              <w:jc w:val="center"/>
              <w:rPr>
                <w:rFonts w:ascii="Times New Roman" w:hAnsi="Times New Roman"/>
                <w:spacing w:val="20"/>
                <w:sz w:val="28"/>
              </w:rPr>
            </w:pPr>
          </w:p>
        </w:tc>
        <w:tc>
          <w:tcPr>
            <w:tcW w:w="652" w:type="dxa"/>
            <w:vMerge w:val="continue"/>
            <w:vAlign w:val="center"/>
          </w:tcPr>
          <w:p>
            <w:pPr>
              <w:spacing w:line="400" w:lineRule="exact"/>
              <w:jc w:val="center"/>
              <w:rPr>
                <w:rFonts w:ascii="Times New Roman" w:hAnsi="Times New Roman"/>
                <w:spacing w:val="-10"/>
                <w:szCs w:val="24"/>
              </w:rPr>
            </w:pPr>
          </w:p>
        </w:tc>
        <w:tc>
          <w:tcPr>
            <w:tcW w:w="652" w:type="dxa"/>
            <w:vMerge w:val="continue"/>
            <w:vAlign w:val="center"/>
          </w:tcPr>
          <w:p>
            <w:pPr>
              <w:spacing w:line="400" w:lineRule="exact"/>
              <w:jc w:val="center"/>
              <w:rPr>
                <w:rFonts w:ascii="Times New Roman" w:hAnsi="Times New Roman"/>
                <w:spacing w:val="-10"/>
                <w:szCs w:val="24"/>
              </w:rPr>
            </w:pPr>
          </w:p>
        </w:tc>
        <w:tc>
          <w:tcPr>
            <w:tcW w:w="2035" w:type="dxa"/>
          </w:tcPr>
          <w:p>
            <w:pPr>
              <w:pStyle w:val="22"/>
              <w:spacing w:line="400" w:lineRule="exact"/>
              <w:rPr>
                <w:bCs w:val="0"/>
                <w:spacing w:val="-10"/>
                <w:kern w:val="36"/>
                <w:sz w:val="24"/>
                <w:szCs w:val="24"/>
              </w:rPr>
            </w:pPr>
            <w:r>
              <w:rPr>
                <w:rFonts w:hint="eastAsia"/>
                <w:bCs w:val="0"/>
                <w:spacing w:val="-10"/>
                <w:kern w:val="36"/>
                <w:sz w:val="24"/>
                <w:szCs w:val="24"/>
              </w:rPr>
              <w:t>废抹布</w:t>
            </w:r>
          </w:p>
        </w:tc>
        <w:tc>
          <w:tcPr>
            <w:tcW w:w="2785" w:type="dxa"/>
            <w:vAlign w:val="center"/>
          </w:tcPr>
          <w:p>
            <w:pPr>
              <w:snapToGrid w:val="0"/>
              <w:spacing w:line="400" w:lineRule="exact"/>
              <w:jc w:val="center"/>
              <w:rPr>
                <w:rFonts w:ascii="Times New Roman" w:hAnsi="Times New Roman"/>
                <w:spacing w:val="-10"/>
                <w:szCs w:val="24"/>
              </w:rPr>
            </w:pPr>
            <w:r>
              <w:rPr>
                <w:rFonts w:hint="eastAsia" w:ascii="Times New Roman" w:hAnsi="Times New Roman"/>
                <w:szCs w:val="24"/>
              </w:rPr>
              <w:t>随生活垃圾一同收集，由环卫部门清运处理</w:t>
            </w:r>
          </w:p>
        </w:tc>
        <w:tc>
          <w:tcPr>
            <w:tcW w:w="1895" w:type="dxa"/>
            <w:vMerge w:val="continue"/>
            <w:vAlign w:val="center"/>
          </w:tcPr>
          <w:p>
            <w:pPr>
              <w:spacing w:line="400" w:lineRule="exact"/>
              <w:jc w:val="center"/>
              <w:rPr>
                <w:rFonts w:ascii="Times New Roman" w:hAnsi="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419" w:hRule="atLeast"/>
        </w:trPr>
        <w:tc>
          <w:tcPr>
            <w:tcW w:w="1418" w:type="dxa"/>
            <w:vAlign w:val="center"/>
          </w:tcPr>
          <w:p>
            <w:pPr>
              <w:spacing w:line="400" w:lineRule="exact"/>
              <w:jc w:val="center"/>
              <w:rPr>
                <w:rFonts w:ascii="Times New Roman" w:hAnsi="Times New Roman"/>
                <w:spacing w:val="20"/>
                <w:sz w:val="28"/>
              </w:rPr>
            </w:pPr>
            <w:r>
              <w:rPr>
                <w:rFonts w:ascii="Times New Roman" w:hAnsi="Times New Roman"/>
                <w:spacing w:val="20"/>
                <w:sz w:val="28"/>
              </w:rPr>
              <w:t>噪</w:t>
            </w:r>
          </w:p>
          <w:p>
            <w:pPr>
              <w:spacing w:line="400" w:lineRule="exact"/>
              <w:jc w:val="center"/>
              <w:rPr>
                <w:rFonts w:ascii="Times New Roman" w:hAnsi="Times New Roman"/>
                <w:spacing w:val="20"/>
                <w:sz w:val="28"/>
              </w:rPr>
            </w:pPr>
            <w:r>
              <w:rPr>
                <w:rFonts w:ascii="Times New Roman" w:hAnsi="Times New Roman"/>
                <w:spacing w:val="20"/>
                <w:sz w:val="28"/>
              </w:rPr>
              <w:t>声</w:t>
            </w:r>
          </w:p>
        </w:tc>
        <w:tc>
          <w:tcPr>
            <w:tcW w:w="8019" w:type="dxa"/>
            <w:gridSpan w:val="5"/>
            <w:vAlign w:val="center"/>
          </w:tcPr>
          <w:p>
            <w:pPr>
              <w:spacing w:line="400" w:lineRule="exact"/>
              <w:ind w:firstLine="480" w:firstLineChars="200"/>
              <w:rPr>
                <w:rFonts w:ascii="Times New Roman" w:hAnsi="Times New Roman"/>
              </w:rPr>
            </w:pPr>
            <w:r>
              <w:rPr>
                <w:rFonts w:ascii="Times New Roman" w:hAnsi="Times New Roman"/>
              </w:rPr>
              <w:t>本项目主要噪声源为</w:t>
            </w:r>
            <w:r>
              <w:rPr>
                <w:rFonts w:hint="eastAsia" w:ascii="Times New Roman" w:hAnsi="Times New Roman"/>
              </w:rPr>
              <w:t>印刷机及风机等设备噪声</w:t>
            </w:r>
            <w:r>
              <w:rPr>
                <w:rFonts w:ascii="Times New Roman" w:hAnsi="Times New Roman"/>
              </w:rPr>
              <w:t>，其源强约在65</w:t>
            </w:r>
            <w:r>
              <w:rPr>
                <w:rFonts w:hint="eastAsia" w:ascii="Times New Roman" w:hAnsi="Times New Roman"/>
              </w:rPr>
              <w:t>～</w:t>
            </w:r>
            <w:r>
              <w:rPr>
                <w:rFonts w:ascii="Times New Roman" w:hAnsi="Times New Roman"/>
              </w:rPr>
              <w:t>85dB(A)之间。在合理布局的基础上进行基础减震，再经墙壁阻隔、吸声和距离衰减后，厂界噪声能够达到《工业企业厂界环境噪声排放标准》(GB12348-2008)中3类标准的要求（昼间：65dB（A）、夜间55dB（A））。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16" w:hRule="atLeast"/>
        </w:trPr>
        <w:tc>
          <w:tcPr>
            <w:tcW w:w="1418" w:type="dxa"/>
            <w:vAlign w:val="center"/>
          </w:tcPr>
          <w:p>
            <w:pPr>
              <w:spacing w:line="400" w:lineRule="exact"/>
              <w:jc w:val="center"/>
              <w:rPr>
                <w:rFonts w:ascii="Times New Roman" w:hAnsi="Times New Roman"/>
                <w:spacing w:val="20"/>
                <w:sz w:val="28"/>
              </w:rPr>
            </w:pPr>
            <w:r>
              <w:rPr>
                <w:rFonts w:ascii="Times New Roman" w:hAnsi="Times New Roman"/>
                <w:spacing w:val="20"/>
                <w:sz w:val="28"/>
              </w:rPr>
              <w:t>其</w:t>
            </w:r>
          </w:p>
          <w:p>
            <w:pPr>
              <w:spacing w:line="400" w:lineRule="exact"/>
              <w:jc w:val="center"/>
              <w:rPr>
                <w:rFonts w:ascii="Times New Roman" w:hAnsi="Times New Roman"/>
                <w:spacing w:val="20"/>
                <w:sz w:val="28"/>
              </w:rPr>
            </w:pPr>
            <w:r>
              <w:rPr>
                <w:rFonts w:ascii="Times New Roman" w:hAnsi="Times New Roman"/>
                <w:spacing w:val="20"/>
                <w:sz w:val="28"/>
              </w:rPr>
              <w:t>他</w:t>
            </w:r>
          </w:p>
        </w:tc>
        <w:tc>
          <w:tcPr>
            <w:tcW w:w="8019" w:type="dxa"/>
            <w:gridSpan w:val="5"/>
            <w:vAlign w:val="center"/>
          </w:tcPr>
          <w:p>
            <w:pPr>
              <w:spacing w:line="400" w:lineRule="exact"/>
              <w:ind w:firstLine="560" w:firstLineChars="200"/>
              <w:rPr>
                <w:rFonts w:ascii="Times New Roman" w:hAnsi="Times New Roman"/>
                <w:spacing w:val="20"/>
              </w:rPr>
            </w:pPr>
            <w:r>
              <w:rPr>
                <w:rFonts w:ascii="Times New Roman" w:hAnsi="Times New Roman"/>
                <w:spacing w:val="20"/>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854" w:hRule="atLeast"/>
        </w:trPr>
        <w:tc>
          <w:tcPr>
            <w:tcW w:w="9437" w:type="dxa"/>
            <w:gridSpan w:val="6"/>
          </w:tcPr>
          <w:p>
            <w:pPr>
              <w:spacing w:beforeLines="50" w:line="400" w:lineRule="exact"/>
              <w:rPr>
                <w:rFonts w:ascii="Times New Roman" w:hAnsi="Times New Roman" w:eastAsia="黑体"/>
                <w:spacing w:val="20"/>
                <w:sz w:val="28"/>
              </w:rPr>
            </w:pPr>
            <w:r>
              <w:rPr>
                <w:rFonts w:ascii="Times New Roman" w:hAnsi="Times New Roman" w:eastAsia="黑体"/>
                <w:spacing w:val="20"/>
                <w:sz w:val="28"/>
              </w:rPr>
              <w:t>生态保护措施及预期效果:</w:t>
            </w:r>
          </w:p>
          <w:p>
            <w:pPr>
              <w:spacing w:line="400" w:lineRule="exact"/>
              <w:ind w:firstLine="480"/>
              <w:rPr>
                <w:rFonts w:ascii="Times New Roman" w:hAnsi="Times New Roman" w:eastAsiaTheme="minorEastAsia"/>
                <w:spacing w:val="20"/>
                <w:szCs w:val="24"/>
              </w:rPr>
            </w:pPr>
            <w:r>
              <w:rPr>
                <w:rFonts w:ascii="Times New Roman" w:hAnsi="Times New Roman"/>
              </w:rPr>
              <w:t>项目营运过程中主要污染物为废水、废气、噪声、固体废物，项目生产过程中采取合理有效的措施后，确保污染物达标排放，对生态环境影响很小</w:t>
            </w:r>
            <w:r>
              <w:rPr>
                <w:rFonts w:ascii="Times New Roman" w:hAnsi="Times New Roman" w:eastAsiaTheme="minorEastAsia"/>
                <w:spacing w:val="20"/>
                <w:szCs w:val="24"/>
              </w:rPr>
              <w:t>。</w:t>
            </w:r>
          </w:p>
        </w:tc>
      </w:tr>
    </w:tbl>
    <w:p>
      <w:pPr>
        <w:spacing w:line="360" w:lineRule="auto"/>
        <w:jc w:val="center"/>
        <w:rPr>
          <w:rFonts w:ascii="Times New Roman" w:hAnsi="Times New Roman"/>
          <w:spacing w:val="20"/>
        </w:rPr>
        <w:sectPr>
          <w:pgSz w:w="11906" w:h="16838"/>
          <w:pgMar w:top="1440" w:right="964" w:bottom="1440" w:left="964" w:header="851" w:footer="992" w:gutter="397"/>
          <w:cols w:space="720" w:num="1"/>
          <w:docGrid w:linePitch="312" w:charSpace="0"/>
        </w:sectPr>
      </w:pPr>
    </w:p>
    <w:p>
      <w:pPr>
        <w:pStyle w:val="3"/>
        <w:spacing w:before="0" w:after="0" w:line="360" w:lineRule="auto"/>
        <w:rPr>
          <w:rFonts w:ascii="Times New Roman" w:hAnsi="Times New Roman" w:eastAsia="黑体"/>
          <w:b w:val="0"/>
          <w:sz w:val="28"/>
          <w:szCs w:val="28"/>
        </w:rPr>
      </w:pPr>
      <w:r>
        <w:rPr>
          <w:rFonts w:ascii="Times New Roman" w:hAnsi="Times New Roman" w:eastAsia="黑体"/>
          <w:b w:val="0"/>
          <w:sz w:val="28"/>
          <w:szCs w:val="28"/>
        </w:rPr>
        <w:t>结论与建议</w:t>
      </w:r>
    </w:p>
    <w:tbl>
      <w:tblPr>
        <w:tblStyle w:val="30"/>
        <w:tblW w:w="954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71" w:hRule="atLeast"/>
        </w:trPr>
        <w:tc>
          <w:tcPr>
            <w:tcW w:w="9540" w:type="dxa"/>
          </w:tcPr>
          <w:p>
            <w:pPr>
              <w:spacing w:line="360" w:lineRule="auto"/>
              <w:ind w:firstLine="480" w:firstLineChars="200"/>
              <w:rPr>
                <w:rFonts w:ascii="Times New Roman" w:hAnsi="Times New Roman" w:eastAsia="黑体"/>
              </w:rPr>
            </w:pPr>
            <w:r>
              <w:rPr>
                <w:rFonts w:ascii="Times New Roman" w:hAnsi="Times New Roman" w:eastAsia="黑体"/>
              </w:rPr>
              <w:t>一、结论</w:t>
            </w:r>
          </w:p>
          <w:p>
            <w:pPr>
              <w:numPr>
                <w:ilvl w:val="0"/>
                <w:numId w:val="4"/>
              </w:numPr>
              <w:spacing w:line="360" w:lineRule="auto"/>
              <w:rPr>
                <w:b/>
              </w:rPr>
            </w:pPr>
            <w:r>
              <w:rPr>
                <w:b/>
              </w:rPr>
              <w:t>项目概况</w:t>
            </w:r>
          </w:p>
          <w:p>
            <w:pPr>
              <w:spacing w:line="360" w:lineRule="auto"/>
              <w:ind w:firstLine="360" w:firstLineChars="150"/>
            </w:pPr>
            <w:r>
              <w:rPr>
                <w:rFonts w:hint="eastAsia"/>
              </w:rPr>
              <w:t>威海步特户外用品有限公司位于山东省威海市环翠区桥头镇旺桥路8号</w:t>
            </w:r>
            <w:r>
              <w:t>，项目占地面积约</w:t>
            </w:r>
            <w:r>
              <w:rPr>
                <w:rFonts w:hint="eastAsia"/>
              </w:rPr>
              <w:t>160</w:t>
            </w:r>
            <w:r>
              <w:t>0m</w:t>
            </w:r>
            <w:r>
              <w:rPr>
                <w:vertAlign w:val="superscript"/>
              </w:rPr>
              <w:t>2</w:t>
            </w:r>
            <w:r>
              <w:t>，建筑面积约</w:t>
            </w:r>
            <w:r>
              <w:rPr>
                <w:rFonts w:hint="eastAsia"/>
              </w:rPr>
              <w:t>160</w:t>
            </w:r>
            <w:r>
              <w:t>0m</w:t>
            </w:r>
            <w:r>
              <w:rPr>
                <w:vertAlign w:val="superscript"/>
              </w:rPr>
              <w:t>2</w:t>
            </w:r>
            <w:r>
              <w:t>，年生产</w:t>
            </w:r>
            <w:r>
              <w:rPr>
                <w:rFonts w:hint="eastAsia"/>
              </w:rPr>
              <w:t>充气桨板标签20万个/a</w:t>
            </w:r>
            <w:r>
              <w:t>，建设内容主要包括</w:t>
            </w:r>
            <w:r>
              <w:rPr>
                <w:rFonts w:hint="eastAsia" w:ascii="Times New Roman" w:hAnsi="Times New Roman"/>
                <w:kern w:val="2"/>
                <w:szCs w:val="24"/>
              </w:rPr>
              <w:t>印刷车间、制版间</w:t>
            </w:r>
            <w:r>
              <w:t>等</w:t>
            </w:r>
            <w:r>
              <w:rPr>
                <w:rFonts w:hint="eastAsia"/>
              </w:rPr>
              <w:t>，项目劳动定员</w:t>
            </w:r>
            <w:r>
              <w:t>10</w:t>
            </w:r>
            <w:r>
              <w:rPr>
                <w:rFonts w:hint="eastAsia"/>
              </w:rPr>
              <w:t>人</w:t>
            </w:r>
            <w:r>
              <w:t>,</w:t>
            </w:r>
            <w:r>
              <w:rPr>
                <w:rFonts w:hint="eastAsia"/>
              </w:rPr>
              <w:t>年工作</w:t>
            </w:r>
            <w:r>
              <w:t>300d</w:t>
            </w:r>
            <w:r>
              <w:rPr>
                <w:rFonts w:hint="eastAsia"/>
              </w:rPr>
              <w:t>，每天工作8小时。</w:t>
            </w:r>
          </w:p>
          <w:p>
            <w:pPr>
              <w:spacing w:line="360" w:lineRule="auto"/>
              <w:ind w:firstLine="361" w:firstLineChars="150"/>
              <w:rPr>
                <w:b/>
              </w:rPr>
            </w:pPr>
            <w:r>
              <w:rPr>
                <w:rFonts w:hint="eastAsia"/>
                <w:b/>
              </w:rPr>
              <w:t>2、环境</w:t>
            </w:r>
            <w:r>
              <w:rPr>
                <w:b/>
              </w:rPr>
              <w:t>质量现状评价结论</w:t>
            </w:r>
          </w:p>
          <w:p>
            <w:pPr>
              <w:spacing w:line="360" w:lineRule="auto"/>
              <w:ind w:firstLine="240" w:firstLineChars="100"/>
            </w:pPr>
            <w:r>
              <w:rPr>
                <w:rFonts w:hint="eastAsia"/>
              </w:rPr>
              <w:t>（1）项目所在区域环境空气满足</w:t>
            </w:r>
            <w:r>
              <w:t>《环境空气质量标准》（GB3095-2012）</w:t>
            </w:r>
            <w:r>
              <w:rPr>
                <w:rFonts w:hint="eastAsia"/>
              </w:rPr>
              <w:t>及其修改单中的二级标准。</w:t>
            </w:r>
          </w:p>
          <w:p>
            <w:pPr>
              <w:spacing w:line="360" w:lineRule="auto"/>
              <w:ind w:firstLine="240" w:firstLineChars="100"/>
            </w:pPr>
            <w:r>
              <w:rPr>
                <w:rFonts w:hint="eastAsia"/>
              </w:rPr>
              <w:t>（2）项目所在区域声环境符合《声环境质量标准》(</w:t>
            </w:r>
            <w:r>
              <w:t>GB</w:t>
            </w:r>
            <w:r>
              <w:rPr>
                <w:rFonts w:hint="eastAsia"/>
              </w:rPr>
              <w:t>3096</w:t>
            </w:r>
            <w:r>
              <w:t>-2008</w:t>
            </w:r>
            <w:r>
              <w:rPr>
                <w:rFonts w:hint="eastAsia"/>
              </w:rPr>
              <w:t>)中</w:t>
            </w:r>
            <w:r>
              <w:t>3</w:t>
            </w:r>
            <w:r>
              <w:rPr>
                <w:rFonts w:hint="eastAsia"/>
              </w:rPr>
              <w:t>类</w:t>
            </w:r>
            <w:r>
              <w:t>标</w:t>
            </w:r>
            <w:r>
              <w:rPr>
                <w:rFonts w:hint="eastAsia"/>
              </w:rPr>
              <w:t>准的要求。</w:t>
            </w:r>
          </w:p>
          <w:p>
            <w:pPr>
              <w:widowControl/>
              <w:spacing w:line="360" w:lineRule="auto"/>
              <w:ind w:firstLine="240" w:firstLineChars="100"/>
            </w:pPr>
            <w:r>
              <w:rPr>
                <w:rFonts w:hint="eastAsia"/>
              </w:rPr>
              <w:t>（</w:t>
            </w:r>
            <w:r>
              <w:t>3</w:t>
            </w:r>
            <w:r>
              <w:rPr>
                <w:rFonts w:hint="eastAsia"/>
              </w:rPr>
              <w:t>）项目所在区域地表水环境各项指标符合《地表水环境质量标准》(GB3838-2002)中的</w:t>
            </w:r>
            <w:r>
              <w:rPr>
                <w:rFonts w:ascii="Times New Roman" w:hAnsi="Times New Roman"/>
              </w:rPr>
              <w:t>Ⅲ</w:t>
            </w:r>
            <w:r>
              <w:rPr>
                <w:rFonts w:hint="eastAsia"/>
              </w:rPr>
              <w:t>类标准。</w:t>
            </w:r>
          </w:p>
          <w:p>
            <w:pPr>
              <w:widowControl/>
              <w:spacing w:line="360" w:lineRule="auto"/>
              <w:ind w:firstLine="240" w:firstLineChars="100"/>
            </w:pPr>
            <w:r>
              <w:rPr>
                <w:rFonts w:hint="eastAsia"/>
              </w:rPr>
              <w:t>（4）项目所在</w:t>
            </w:r>
            <w:r>
              <w:t>区域</w:t>
            </w:r>
            <w:r>
              <w:rPr>
                <w:rFonts w:hint="eastAsia"/>
              </w:rPr>
              <w:t>地下水</w:t>
            </w:r>
            <w:r>
              <w:t>水质</w:t>
            </w:r>
            <w:r>
              <w:rPr>
                <w:rFonts w:hint="eastAsia"/>
              </w:rPr>
              <w:t>符合</w:t>
            </w:r>
            <w:r>
              <w:t>《地下水质量标准》(GB/T14848-2017)</w:t>
            </w:r>
            <w:r>
              <w:rPr>
                <w:rFonts w:hint="eastAsia" w:cs="宋体"/>
              </w:rPr>
              <w:t>Ⅲ</w:t>
            </w:r>
            <w:r>
              <w:rPr>
                <w:rFonts w:hint="eastAsia"/>
              </w:rPr>
              <w:t>类</w:t>
            </w:r>
            <w:r>
              <w:t>标准</w:t>
            </w:r>
            <w:r>
              <w:rPr>
                <w:rFonts w:hint="eastAsia"/>
              </w:rPr>
              <w:t>。</w:t>
            </w:r>
          </w:p>
          <w:p>
            <w:pPr>
              <w:widowControl/>
              <w:spacing w:line="360" w:lineRule="auto"/>
              <w:ind w:firstLine="240" w:firstLineChars="100"/>
            </w:pPr>
            <w:r>
              <w:rPr>
                <w:rFonts w:hint="eastAsia"/>
              </w:rPr>
              <w:t>（5）项目所在区域海水</w:t>
            </w:r>
            <w:r>
              <w:t>各项指标符合</w:t>
            </w:r>
            <w:r>
              <w:rPr>
                <w:rFonts w:hint="eastAsia"/>
              </w:rPr>
              <w:t>《海水水质标准》（GB3097-1997）二类标准。</w:t>
            </w:r>
          </w:p>
          <w:p>
            <w:pPr>
              <w:spacing w:line="360" w:lineRule="auto"/>
              <w:ind w:firstLine="482" w:firstLineChars="200"/>
              <w:rPr>
                <w:b/>
              </w:rPr>
            </w:pPr>
            <w:r>
              <w:rPr>
                <w:rFonts w:hint="eastAsia"/>
                <w:b/>
              </w:rPr>
              <w:t>3、</w:t>
            </w:r>
            <w:r>
              <w:rPr>
                <w:b/>
              </w:rPr>
              <w:t>环境影响分析结论</w:t>
            </w:r>
          </w:p>
          <w:p>
            <w:pPr>
              <w:pStyle w:val="32"/>
              <w:ind w:firstLine="480"/>
            </w:pPr>
            <w:r>
              <w:rPr>
                <w:rFonts w:hint="eastAsia"/>
              </w:rPr>
              <w:t>（1）</w:t>
            </w:r>
            <w:r>
              <w:t>项目废气主要是印刷工序产生的有机废气</w:t>
            </w:r>
            <w:r>
              <w:rPr>
                <w:rFonts w:hint="eastAsia"/>
              </w:rPr>
              <w:t>，生产期间废气聚集于车间内部被集气装置收集</w:t>
            </w:r>
            <w:r>
              <w:t>。</w:t>
            </w:r>
            <w:r>
              <w:rPr>
                <w:rFonts w:hint="eastAsia"/>
                <w:color w:val="auto"/>
              </w:rPr>
              <w:t>经</w:t>
            </w:r>
            <w:r>
              <w:rPr>
                <w:color w:val="auto"/>
              </w:rPr>
              <w:t>“</w:t>
            </w:r>
            <w:r>
              <w:rPr>
                <w:rFonts w:hint="eastAsia"/>
                <w:color w:val="auto"/>
              </w:rPr>
              <w:t>活性炭浓缩+催化燃烧</w:t>
            </w:r>
            <w:r>
              <w:rPr>
                <w:color w:val="auto"/>
              </w:rPr>
              <w:t>”装置处理后通过</w:t>
            </w:r>
            <w:r>
              <w:rPr>
                <w:rFonts w:hint="eastAsia"/>
                <w:color w:val="auto"/>
              </w:rPr>
              <w:t>15m高排气筒</w:t>
            </w:r>
            <w:r>
              <w:rPr>
                <w:color w:val="auto"/>
              </w:rPr>
              <w:t>排放，配套风机风量约为</w:t>
            </w:r>
            <w:r>
              <w:rPr>
                <w:rFonts w:hint="eastAsia"/>
                <w:color w:val="auto"/>
              </w:rPr>
              <w:t>20000</w:t>
            </w:r>
            <w:r>
              <w:rPr>
                <w:color w:val="auto"/>
              </w:rPr>
              <w:t xml:space="preserve"> m</w:t>
            </w:r>
            <w:r>
              <w:rPr>
                <w:color w:val="auto"/>
                <w:vertAlign w:val="superscript"/>
              </w:rPr>
              <w:t>3</w:t>
            </w:r>
            <w:r>
              <w:rPr>
                <w:color w:val="auto"/>
              </w:rPr>
              <w:t>/h。</w:t>
            </w:r>
          </w:p>
          <w:p>
            <w:pPr>
              <w:spacing w:line="360" w:lineRule="auto"/>
              <w:ind w:firstLine="480" w:firstLineChars="200"/>
              <w:rPr>
                <w:rFonts w:ascii="Times New Roman" w:hAnsi="Times New Roman"/>
                <w:color w:val="000000"/>
                <w:kern w:val="0"/>
                <w:szCs w:val="24"/>
              </w:rPr>
            </w:pPr>
            <w:r>
              <w:rPr>
                <w:rFonts w:ascii="Times New Roman" w:hAnsi="Times New Roman"/>
                <w:color w:val="000000"/>
                <w:kern w:val="0"/>
                <w:szCs w:val="24"/>
              </w:rPr>
              <w:t>项目</w:t>
            </w:r>
            <w:r>
              <w:rPr>
                <w:rFonts w:ascii="Times New Roman" w:hAnsi="Times New Roman"/>
                <w:color w:val="000000"/>
                <w:kern w:val="2"/>
                <w:szCs w:val="21"/>
              </w:rPr>
              <w:t>印刷</w:t>
            </w:r>
            <w:r>
              <w:rPr>
                <w:rFonts w:ascii="Times New Roman" w:hAnsi="Times New Roman"/>
                <w:color w:val="000000"/>
                <w:kern w:val="0"/>
                <w:szCs w:val="24"/>
              </w:rPr>
              <w:t>工序相关设备与</w:t>
            </w:r>
            <w:r>
              <w:rPr>
                <w:rFonts w:hint="eastAsia" w:ascii="Times New Roman" w:hAnsi="Times New Roman"/>
                <w:color w:val="000000"/>
                <w:kern w:val="0"/>
                <w:szCs w:val="24"/>
              </w:rPr>
              <w:t>催化燃烧装置</w:t>
            </w:r>
            <w:r>
              <w:rPr>
                <w:rFonts w:ascii="Times New Roman" w:hAnsi="Times New Roman"/>
                <w:color w:val="000000"/>
                <w:kern w:val="0"/>
                <w:szCs w:val="24"/>
              </w:rPr>
              <w:t>设置</w:t>
            </w:r>
            <w:r>
              <w:rPr>
                <w:rFonts w:hint="eastAsia" w:ascii="Times New Roman" w:hAnsi="Times New Roman"/>
                <w:color w:val="000000"/>
                <w:kern w:val="0"/>
                <w:szCs w:val="24"/>
              </w:rPr>
              <w:t>自动同步启动</w:t>
            </w:r>
            <w:r>
              <w:rPr>
                <w:rFonts w:ascii="Times New Roman" w:hAnsi="Times New Roman"/>
                <w:color w:val="000000"/>
                <w:kern w:val="0"/>
                <w:szCs w:val="24"/>
              </w:rPr>
              <w:t>装置，上述任一工序运行过程中，</w:t>
            </w:r>
            <w:r>
              <w:rPr>
                <w:rFonts w:hint="eastAsia" w:ascii="Times New Roman" w:hAnsi="Times New Roman"/>
                <w:color w:val="000000"/>
                <w:kern w:val="0"/>
                <w:szCs w:val="24"/>
              </w:rPr>
              <w:t>催化燃烧装置</w:t>
            </w:r>
            <w:r>
              <w:rPr>
                <w:rFonts w:ascii="Times New Roman" w:hAnsi="Times New Roman"/>
                <w:color w:val="000000"/>
                <w:kern w:val="0"/>
                <w:szCs w:val="24"/>
              </w:rPr>
              <w:t>需处于正常运行状态中，保证项目废气的正常收集和处理。</w:t>
            </w:r>
            <w:r>
              <w:rPr>
                <w:rFonts w:hint="eastAsia" w:ascii="Times New Roman" w:hAnsi="Times New Roman"/>
                <w:color w:val="000000"/>
                <w:kern w:val="0"/>
                <w:szCs w:val="24"/>
              </w:rPr>
              <w:t>企业将配套电量智能管控系统，采集全厂及废气收集处理设施用电情况，并与市生态环境局联网，便于环保部门监管</w:t>
            </w:r>
            <w:r>
              <w:rPr>
                <w:rFonts w:ascii="Times New Roman" w:hAnsi="Times New Roman"/>
                <w:color w:val="000000"/>
                <w:kern w:val="0"/>
                <w:szCs w:val="24"/>
              </w:rPr>
              <w:t>。</w:t>
            </w:r>
            <w:r>
              <w:rPr>
                <w:rFonts w:ascii="Times New Roman" w:hAnsi="Times New Roman"/>
                <w:color w:val="000000"/>
                <w:kern w:val="2"/>
                <w:szCs w:val="22"/>
              </w:rPr>
              <w:t>项目采用的活性炭吸附装置采用PLC全自动化控制方式，利用压力差实时监测系统及活性炭饱和自动报警装置可自动记录活性炭更换记录，特设电脑触摸屏实时监控、记录，系统设有自动监视记录读取系统，用电脑、连接线、手机APP都可随时得到设备运行状况</w:t>
            </w:r>
            <w:r>
              <w:rPr>
                <w:rFonts w:hint="eastAsia" w:ascii="Times New Roman" w:hAnsi="Times New Roman"/>
                <w:color w:val="000000"/>
                <w:kern w:val="0"/>
                <w:szCs w:val="24"/>
              </w:rPr>
              <w:t>。</w:t>
            </w:r>
          </w:p>
          <w:p>
            <w:pPr>
              <w:pStyle w:val="32"/>
              <w:numPr>
                <w:ilvl w:val="0"/>
                <w:numId w:val="5"/>
              </w:numPr>
              <w:ind w:firstLineChars="0"/>
            </w:pPr>
            <w:r>
              <w:t>有组织废气</w:t>
            </w:r>
          </w:p>
          <w:p>
            <w:pPr>
              <w:autoSpaceDE w:val="0"/>
              <w:autoSpaceDN w:val="0"/>
              <w:spacing w:line="360" w:lineRule="auto"/>
              <w:ind w:firstLine="480" w:firstLineChars="200"/>
              <w:rPr>
                <w:rFonts w:ascii="Times New Roman" w:hAnsi="Times New Roman"/>
                <w:kern w:val="2"/>
                <w:szCs w:val="24"/>
              </w:rPr>
            </w:pPr>
            <w:r>
              <w:rPr>
                <w:rFonts w:hint="eastAsia"/>
              </w:rPr>
              <w:t>生产有组织废气主要为印刷工序产生的废气，主要污染物为挥发性有机物（</w:t>
            </w:r>
            <w:r>
              <w:t>VOCs）。</w:t>
            </w:r>
            <w:r>
              <w:rPr>
                <w:rFonts w:ascii="Times New Roman" w:hAnsi="Times New Roman"/>
                <w:kern w:val="2"/>
                <w:szCs w:val="24"/>
              </w:rPr>
              <w:t>在印刷工序上方设置集气装置，经集气罩收集（收集效率约为90%），约0.90t/a，被收集后经</w:t>
            </w:r>
            <w:r>
              <w:rPr>
                <w:rFonts w:hint="eastAsia" w:ascii="Times New Roman" w:hAnsi="Times New Roman"/>
                <w:kern w:val="2"/>
                <w:szCs w:val="22"/>
              </w:rPr>
              <w:t>活性炭吸附+催化燃烧设备</w:t>
            </w:r>
            <w:r>
              <w:rPr>
                <w:rFonts w:ascii="Times New Roman" w:hAnsi="Times New Roman"/>
                <w:kern w:val="2"/>
                <w:szCs w:val="24"/>
              </w:rPr>
              <w:t>处理，年工作时间1800h（每天工作时间6h</w:t>
            </w:r>
            <w:r>
              <w:rPr>
                <w:rFonts w:hint="eastAsia" w:ascii="Times New Roman" w:hAnsi="Times New Roman"/>
                <w:kern w:val="2"/>
                <w:szCs w:val="24"/>
              </w:rPr>
              <w:t>，年工作</w:t>
            </w:r>
            <w:r>
              <w:rPr>
                <w:rFonts w:ascii="Times New Roman" w:hAnsi="Times New Roman"/>
                <w:kern w:val="2"/>
                <w:szCs w:val="24"/>
              </w:rPr>
              <w:t>300d）</w:t>
            </w:r>
            <w:r>
              <w:rPr>
                <w:rFonts w:hint="eastAsia" w:ascii="Times New Roman" w:hAnsi="Times New Roman"/>
                <w:kern w:val="2"/>
                <w:szCs w:val="24"/>
              </w:rPr>
              <w:t>风机风量为20000m</w:t>
            </w:r>
            <w:r>
              <w:rPr>
                <w:rFonts w:hint="eastAsia" w:ascii="Times New Roman" w:hAnsi="Times New Roman"/>
                <w:kern w:val="2"/>
                <w:szCs w:val="24"/>
                <w:vertAlign w:val="superscript"/>
              </w:rPr>
              <w:t>3</w:t>
            </w:r>
            <w:r>
              <w:rPr>
                <w:rFonts w:hint="eastAsia" w:ascii="Times New Roman" w:hAnsi="Times New Roman"/>
                <w:kern w:val="2"/>
                <w:szCs w:val="24"/>
              </w:rPr>
              <w:t>/h，</w:t>
            </w:r>
            <w:r>
              <w:rPr>
                <w:rFonts w:ascii="Times New Roman" w:hAnsi="Times New Roman"/>
                <w:kern w:val="2"/>
                <w:szCs w:val="24"/>
              </w:rPr>
              <w:t>由</w:t>
            </w:r>
            <w:r>
              <w:rPr>
                <w:rFonts w:hint="eastAsia" w:ascii="Times New Roman" w:hAnsi="Times New Roman"/>
                <w:kern w:val="2"/>
                <w:szCs w:val="24"/>
              </w:rPr>
              <w:t>15m高高</w:t>
            </w:r>
            <w:r>
              <w:rPr>
                <w:rFonts w:ascii="Times New Roman" w:hAnsi="Times New Roman"/>
                <w:kern w:val="2"/>
                <w:szCs w:val="24"/>
              </w:rPr>
              <w:t>的排气筒有组织排放。</w:t>
            </w:r>
            <w:r>
              <w:rPr>
                <w:rFonts w:ascii="Times New Roman" w:hAnsi="Times New Roman"/>
                <w:kern w:val="2"/>
                <w:szCs w:val="22"/>
              </w:rPr>
              <w:t>经计算，</w:t>
            </w:r>
            <w:r>
              <w:rPr>
                <w:rFonts w:ascii="Times New Roman" w:hAnsi="Times New Roman"/>
              </w:rPr>
              <w:t>VOC</w:t>
            </w:r>
            <w:r>
              <w:rPr>
                <w:rFonts w:ascii="Times New Roman" w:hAnsi="Times New Roman"/>
                <w:vertAlign w:val="subscript"/>
              </w:rPr>
              <w:t>S</w:t>
            </w:r>
            <w:r>
              <w:rPr>
                <w:rFonts w:hint="eastAsia" w:ascii="Times New Roman" w:hAnsi="Times New Roman"/>
              </w:rPr>
              <w:t>有组织排放量约为0.09t/a，</w:t>
            </w:r>
            <w:r>
              <w:rPr>
                <w:rFonts w:ascii="Times New Roman" w:hAnsi="Times New Roman"/>
                <w:szCs w:val="24"/>
              </w:rPr>
              <w:t>排放浓度</w:t>
            </w:r>
            <w:r>
              <w:rPr>
                <w:rFonts w:hint="eastAsia" w:ascii="Times New Roman" w:hAnsi="Times New Roman"/>
                <w:szCs w:val="24"/>
              </w:rPr>
              <w:t>2.50</w:t>
            </w:r>
            <w:r>
              <w:rPr>
                <w:rFonts w:ascii="Times New Roman" w:hAnsi="Times New Roman"/>
                <w:szCs w:val="24"/>
              </w:rPr>
              <w:t>mg/m</w:t>
            </w:r>
            <w:r>
              <w:rPr>
                <w:rFonts w:ascii="Times New Roman" w:hAnsi="Times New Roman"/>
                <w:szCs w:val="24"/>
                <w:vertAlign w:val="superscript"/>
              </w:rPr>
              <w:t>3</w:t>
            </w:r>
            <w:r>
              <w:rPr>
                <w:rFonts w:ascii="Times New Roman" w:hAnsi="Times New Roman"/>
                <w:szCs w:val="24"/>
              </w:rPr>
              <w:t>，排放速率</w:t>
            </w:r>
            <w:r>
              <w:rPr>
                <w:rFonts w:hint="eastAsia" w:ascii="Times New Roman" w:hAnsi="Times New Roman"/>
                <w:szCs w:val="24"/>
              </w:rPr>
              <w:t>0.05kg/h</w:t>
            </w:r>
            <w:r>
              <w:rPr>
                <w:rFonts w:ascii="Times New Roman" w:hAnsi="Times New Roman"/>
                <w:szCs w:val="24"/>
              </w:rPr>
              <w:t>，</w:t>
            </w:r>
            <w:r>
              <w:rPr>
                <w:rFonts w:hint="eastAsia" w:ascii="Times New Roman" w:hAnsi="Times New Roman"/>
                <w:szCs w:val="24"/>
              </w:rPr>
              <w:t>V</w:t>
            </w:r>
            <w:r>
              <w:rPr>
                <w:rFonts w:ascii="Times New Roman" w:hAnsi="Times New Roman"/>
                <w:szCs w:val="24"/>
              </w:rPr>
              <w:t>OCs排放浓度及排放速率均符合</w:t>
            </w:r>
            <w:r>
              <w:rPr>
                <w:rFonts w:hint="eastAsia" w:ascii="Times New Roman" w:hAnsi="Times New Roman"/>
                <w:szCs w:val="24"/>
              </w:rPr>
              <w:t>《挥发性有机物排放标准第</w:t>
            </w:r>
            <w:r>
              <w:rPr>
                <w:rFonts w:ascii="Times New Roman" w:hAnsi="Times New Roman"/>
                <w:szCs w:val="24"/>
              </w:rPr>
              <w:t>4部分：印刷业》(DB37/2801.4-2017)表2标准要求（VOCs排放浓度50mg/m</w:t>
            </w:r>
            <w:r>
              <w:rPr>
                <w:rFonts w:ascii="Times New Roman" w:hAnsi="Times New Roman"/>
                <w:szCs w:val="24"/>
                <w:vertAlign w:val="superscript"/>
              </w:rPr>
              <w:t>3</w:t>
            </w:r>
            <w:r>
              <w:rPr>
                <w:rFonts w:ascii="Times New Roman" w:hAnsi="Times New Roman"/>
                <w:szCs w:val="24"/>
              </w:rPr>
              <w:t>，排放速率1.5kg/h</w:t>
            </w:r>
            <w:r>
              <w:rPr>
                <w:rFonts w:hint="eastAsia" w:ascii="Times New Roman" w:hAnsi="Times New Roman"/>
                <w:szCs w:val="24"/>
              </w:rPr>
              <w:t>）</w:t>
            </w:r>
            <w:r>
              <w:rPr>
                <w:rFonts w:ascii="Times New Roman" w:hAnsi="Times New Roman"/>
                <w:szCs w:val="24"/>
              </w:rPr>
              <w:t>。</w:t>
            </w:r>
          </w:p>
          <w:p>
            <w:pPr>
              <w:pStyle w:val="32"/>
              <w:numPr>
                <w:ilvl w:val="0"/>
                <w:numId w:val="5"/>
              </w:numPr>
              <w:ind w:firstLineChars="0"/>
              <w:rPr>
                <w:kern w:val="2"/>
              </w:rPr>
            </w:pPr>
            <w:r>
              <w:rPr>
                <w:kern w:val="2"/>
              </w:rPr>
              <w:t>无组织废气</w:t>
            </w:r>
          </w:p>
          <w:p>
            <w:pPr>
              <w:wordWrap w:val="0"/>
              <w:spacing w:line="360" w:lineRule="auto"/>
              <w:ind w:firstLine="480" w:firstLineChars="200"/>
              <w:rPr>
                <w:rFonts w:ascii="Times New Roman" w:hAnsi="Times New Roman"/>
                <w:color w:val="000000"/>
                <w:kern w:val="0"/>
                <w:szCs w:val="24"/>
              </w:rPr>
            </w:pPr>
            <w:r>
              <w:rPr>
                <w:rFonts w:hint="eastAsia" w:ascii="Times New Roman" w:hAnsi="Times New Roman"/>
                <w:color w:val="000000"/>
                <w:kern w:val="0"/>
                <w:szCs w:val="24"/>
              </w:rPr>
              <w:t>项目无组织废气主要为印刷工序在开关门物料运输过程中</w:t>
            </w:r>
            <w:r>
              <w:rPr>
                <w:rFonts w:ascii="Times New Roman" w:hAnsi="Times New Roman"/>
                <w:color w:val="000000"/>
                <w:kern w:val="0"/>
                <w:szCs w:val="24"/>
              </w:rPr>
              <w:t>未经收集的VOCs</w:t>
            </w:r>
            <w:r>
              <w:rPr>
                <w:rFonts w:hint="eastAsia" w:ascii="Times New Roman" w:hAnsi="Times New Roman"/>
                <w:color w:val="000000"/>
                <w:kern w:val="0"/>
                <w:szCs w:val="24"/>
              </w:rPr>
              <w:t>，收集效率按9</w:t>
            </w:r>
            <w:r>
              <w:rPr>
                <w:rFonts w:ascii="Times New Roman" w:hAnsi="Times New Roman"/>
                <w:color w:val="000000"/>
                <w:kern w:val="0"/>
                <w:szCs w:val="24"/>
              </w:rPr>
              <w:t>0</w:t>
            </w:r>
            <w:r>
              <w:rPr>
                <w:rFonts w:hint="eastAsia" w:ascii="Times New Roman" w:hAnsi="Times New Roman"/>
                <w:color w:val="000000"/>
                <w:kern w:val="0"/>
                <w:szCs w:val="24"/>
              </w:rPr>
              <w:t>%计算，其中V</w:t>
            </w:r>
            <w:r>
              <w:rPr>
                <w:rFonts w:ascii="Times New Roman" w:hAnsi="Times New Roman"/>
                <w:color w:val="000000"/>
                <w:kern w:val="0"/>
                <w:szCs w:val="24"/>
              </w:rPr>
              <w:t>OCs</w:t>
            </w:r>
            <w:r>
              <w:rPr>
                <w:rFonts w:hint="eastAsia" w:ascii="Times New Roman" w:hAnsi="Times New Roman"/>
                <w:color w:val="000000"/>
                <w:kern w:val="0"/>
                <w:szCs w:val="24"/>
              </w:rPr>
              <w:t>无组织排放量为</w:t>
            </w:r>
            <w:r>
              <w:rPr>
                <w:rFonts w:ascii="Times New Roman" w:hAnsi="Times New Roman"/>
                <w:color w:val="000000"/>
                <w:kern w:val="0"/>
                <w:szCs w:val="24"/>
              </w:rPr>
              <w:t>0.10t/a</w:t>
            </w:r>
            <w:r>
              <w:rPr>
                <w:rFonts w:hint="eastAsia" w:ascii="Times New Roman" w:hAnsi="Times New Roman"/>
                <w:color w:val="000000"/>
                <w:kern w:val="0"/>
                <w:szCs w:val="24"/>
              </w:rPr>
              <w:t>，排放量较少，对周围大气环境影响很小。</w:t>
            </w:r>
          </w:p>
          <w:p>
            <w:pPr>
              <w:wordWrap w:val="0"/>
              <w:spacing w:line="360" w:lineRule="auto"/>
              <w:ind w:firstLine="480" w:firstLineChars="200"/>
              <w:rPr>
                <w:rFonts w:ascii="Times New Roman" w:hAnsi="Times New Roman"/>
                <w:kern w:val="2"/>
                <w:szCs w:val="24"/>
              </w:rPr>
            </w:pPr>
            <w:r>
              <w:rPr>
                <w:rFonts w:ascii="Times New Roman" w:hAnsi="Times New Roman"/>
                <w:kern w:val="2"/>
                <w:szCs w:val="24"/>
              </w:rPr>
              <w:t>使用</w:t>
            </w:r>
            <w:r>
              <w:rPr>
                <w:rFonts w:ascii="Times New Roman" w:hAnsi="Times New Roman"/>
                <w:kern w:val="0"/>
                <w:szCs w:val="24"/>
              </w:rPr>
              <w:t>《环境影响评价技术导则 大气环境》（HJ 2.2—2018）推荐的估算模型Aerscreen对无组织排放的污染物浓度进行估算，项目VOC</w:t>
            </w:r>
            <w:r>
              <w:rPr>
                <w:rFonts w:ascii="Times New Roman" w:hAnsi="Times New Roman"/>
                <w:kern w:val="0"/>
                <w:szCs w:val="24"/>
                <w:vertAlign w:val="subscript"/>
              </w:rPr>
              <w:t>s</w:t>
            </w:r>
            <w:r>
              <w:rPr>
                <w:rFonts w:ascii="Times New Roman" w:hAnsi="Times New Roman"/>
                <w:kern w:val="2"/>
                <w:szCs w:val="24"/>
              </w:rPr>
              <w:t>最大落地浓度约为0.028mg/m</w:t>
            </w:r>
            <w:r>
              <w:rPr>
                <w:rFonts w:ascii="Times New Roman" w:hAnsi="Times New Roman"/>
                <w:kern w:val="2"/>
                <w:szCs w:val="24"/>
                <w:vertAlign w:val="superscript"/>
              </w:rPr>
              <w:t>3</w:t>
            </w:r>
            <w:r>
              <w:rPr>
                <w:rFonts w:ascii="Times New Roman" w:hAnsi="Times New Roman"/>
                <w:kern w:val="2"/>
                <w:szCs w:val="24"/>
              </w:rPr>
              <w:t>，</w:t>
            </w:r>
            <w:r>
              <w:rPr>
                <w:rFonts w:ascii="Times New Roman" w:hAnsi="Times New Roman"/>
                <w:kern w:val="0"/>
                <w:szCs w:val="24"/>
              </w:rPr>
              <w:t>VOC</w:t>
            </w:r>
            <w:r>
              <w:rPr>
                <w:rFonts w:ascii="Times New Roman" w:hAnsi="Times New Roman"/>
                <w:kern w:val="0"/>
                <w:szCs w:val="24"/>
                <w:vertAlign w:val="subscript"/>
              </w:rPr>
              <w:t>s</w:t>
            </w:r>
            <w:r>
              <w:rPr>
                <w:rFonts w:ascii="Times New Roman" w:hAnsi="Times New Roman"/>
                <w:kern w:val="2"/>
                <w:szCs w:val="24"/>
              </w:rPr>
              <w:t>无组织排放</w:t>
            </w:r>
            <w:r>
              <w:rPr>
                <w:rFonts w:ascii="Times New Roman" w:hAnsi="Times New Roman"/>
                <w:kern w:val="0"/>
                <w:szCs w:val="24"/>
              </w:rPr>
              <w:t>满足</w:t>
            </w:r>
            <w:r>
              <w:rPr>
                <w:rFonts w:ascii="Times New Roman" w:hAnsi="Times New Roman"/>
              </w:rPr>
              <w:t>《挥发性有机物排放标准第4部分：印刷业》(DB37/2801.4-2017)表3标准要求（</w:t>
            </w:r>
            <w:r>
              <w:rPr>
                <w:rFonts w:ascii="Times New Roman" w:hAnsi="Times New Roman"/>
                <w:kern w:val="2"/>
                <w:szCs w:val="32"/>
              </w:rPr>
              <w:t>VOC</w:t>
            </w:r>
            <w:r>
              <w:rPr>
                <w:rFonts w:ascii="Times New Roman" w:hAnsi="Times New Roman"/>
                <w:kern w:val="2"/>
                <w:szCs w:val="32"/>
                <w:vertAlign w:val="subscript"/>
              </w:rPr>
              <w:t>s</w:t>
            </w:r>
            <w:r>
              <w:rPr>
                <w:rFonts w:ascii="Times New Roman" w:hAnsi="Times New Roman"/>
                <w:kern w:val="2"/>
                <w:szCs w:val="32"/>
              </w:rPr>
              <w:t>：2.0 mg/m</w:t>
            </w:r>
            <w:r>
              <w:rPr>
                <w:rFonts w:ascii="Times New Roman" w:hAnsi="Times New Roman"/>
                <w:kern w:val="2"/>
                <w:szCs w:val="32"/>
                <w:vertAlign w:val="superscript"/>
              </w:rPr>
              <w:t>3</w:t>
            </w:r>
            <w:r>
              <w:rPr>
                <w:rFonts w:ascii="Times New Roman" w:hAnsi="Times New Roman"/>
                <w:kern w:val="2"/>
                <w:szCs w:val="32"/>
              </w:rPr>
              <w:t>）</w:t>
            </w:r>
            <w:r>
              <w:rPr>
                <w:rFonts w:hint="eastAsia"/>
              </w:rPr>
              <w:t>以及</w:t>
            </w:r>
            <w:r>
              <w:rPr>
                <w:rFonts w:ascii="Times New Roman" w:hAnsi="Times New Roman"/>
                <w:kern w:val="2"/>
                <w:szCs w:val="24"/>
              </w:rPr>
              <w:t>《挥发性有机物无组织排放控制标准》（GB37822-2019）附录A.1排放限值要求。</w:t>
            </w:r>
          </w:p>
          <w:p>
            <w:pPr>
              <w:wordWrap w:val="0"/>
              <w:spacing w:line="360" w:lineRule="auto"/>
              <w:ind w:firstLine="480" w:firstLineChars="200"/>
              <w:rPr>
                <w:rFonts w:ascii="Times New Roman" w:hAnsi="Times New Roman"/>
              </w:rPr>
            </w:pPr>
            <w:r>
              <w:rPr>
                <w:rFonts w:ascii="Times New Roman" w:hAnsi="Times New Roman"/>
              </w:rPr>
              <w:t>（2）</w:t>
            </w:r>
            <w:r>
              <w:rPr>
                <w:rFonts w:hint="eastAsia" w:ascii="Times New Roman" w:hAnsi="Times New Roman"/>
              </w:rPr>
              <w:t>项目无生产废水产排，</w:t>
            </w:r>
            <w:r>
              <w:rPr>
                <w:rFonts w:ascii="Times New Roman" w:hAnsi="Times New Roman"/>
              </w:rPr>
              <w:t>项目产生的废水主要为生活污水。生活污水产生量为120t/a，主要污染物COD和NH</w:t>
            </w:r>
            <w:r>
              <w:rPr>
                <w:rFonts w:ascii="Times New Roman" w:hAnsi="Times New Roman"/>
                <w:vertAlign w:val="subscript"/>
              </w:rPr>
              <w:t>3</w:t>
            </w:r>
            <w:r>
              <w:rPr>
                <w:rFonts w:ascii="Times New Roman" w:hAnsi="Times New Roman"/>
              </w:rPr>
              <w:t>-N经化粪池处理后，COD≤500mg/L，NH</w:t>
            </w:r>
            <w:r>
              <w:rPr>
                <w:rFonts w:ascii="Times New Roman" w:hAnsi="Times New Roman"/>
                <w:vertAlign w:val="subscript"/>
              </w:rPr>
              <w:t>3</w:t>
            </w:r>
            <w:r>
              <w:rPr>
                <w:rFonts w:ascii="Times New Roman" w:hAnsi="Times New Roman"/>
              </w:rPr>
              <w:t>-N≤45mg/L，能够达到《污水排入城镇下水道水质标准》（GB/T31962-2015）B等级标准(COD≤500mg/L、NH</w:t>
            </w:r>
            <w:r>
              <w:rPr>
                <w:rFonts w:ascii="Times New Roman" w:hAnsi="Times New Roman"/>
                <w:vertAlign w:val="subscript"/>
              </w:rPr>
              <w:t>3</w:t>
            </w:r>
            <w:r>
              <w:rPr>
                <w:rFonts w:ascii="Times New Roman" w:hAnsi="Times New Roman"/>
              </w:rPr>
              <w:t>-tN≤45mg/L)要求，COD和NH</w:t>
            </w:r>
            <w:r>
              <w:rPr>
                <w:rFonts w:ascii="Times New Roman" w:hAnsi="Times New Roman"/>
                <w:vertAlign w:val="subscript"/>
              </w:rPr>
              <w:t>3</w:t>
            </w:r>
            <w:r>
              <w:rPr>
                <w:rFonts w:ascii="Times New Roman" w:hAnsi="Times New Roman"/>
              </w:rPr>
              <w:t>-N的产生量分别为0.06t/a，0.005t/a。生活污水排入市政污水管网进入</w:t>
            </w:r>
            <w:r>
              <w:rPr>
                <w:rFonts w:hint="eastAsia" w:ascii="Times New Roman" w:hAnsi="Times New Roman"/>
              </w:rPr>
              <w:t>威海水务集团有限公司崮山污水处理厂</w:t>
            </w:r>
            <w:r>
              <w:rPr>
                <w:rFonts w:ascii="Times New Roman" w:hAnsi="Times New Roman"/>
              </w:rPr>
              <w:t>进一步处理，达标排海。</w:t>
            </w:r>
          </w:p>
          <w:p>
            <w:pPr>
              <w:widowControl/>
              <w:tabs>
                <w:tab w:val="left" w:pos="4250"/>
              </w:tabs>
              <w:wordWrap w:val="0"/>
              <w:topLinePunct/>
              <w:spacing w:line="360" w:lineRule="auto"/>
              <w:ind w:firstLine="480" w:firstLineChars="200"/>
              <w:rPr>
                <w:rFonts w:ascii="Times New Roman" w:hAnsi="Times New Roman"/>
              </w:rPr>
            </w:pPr>
            <w:r>
              <w:rPr>
                <w:rFonts w:hint="eastAsia"/>
              </w:rPr>
              <w:t>（</w:t>
            </w:r>
            <w:r>
              <w:t>3</w:t>
            </w:r>
            <w:r>
              <w:rPr>
                <w:rFonts w:hint="eastAsia"/>
              </w:rPr>
              <w:t>）</w:t>
            </w:r>
            <w:r>
              <w:rPr>
                <w:rFonts w:ascii="Times New Roman" w:hAnsi="Times New Roman"/>
              </w:rPr>
              <w:t>针对项目噪声设备，在合理布局的基础上采取基础减震措施，再经隔声罩阻隔、吸声和距离衰减后，厂界噪声可以达到《工业企业厂界环境噪声排放标准》（GB12348-2008）中的3类标准的要求，对周围声环境影响较小。</w:t>
            </w:r>
          </w:p>
          <w:p>
            <w:pPr>
              <w:pStyle w:val="32"/>
              <w:wordWrap w:val="0"/>
              <w:ind w:firstLine="480"/>
            </w:pPr>
            <w:r>
              <w:rPr>
                <w:rFonts w:hint="eastAsia"/>
              </w:rPr>
              <w:t>（</w:t>
            </w:r>
            <w:r>
              <w:t>4</w:t>
            </w:r>
            <w:r>
              <w:rPr>
                <w:rFonts w:hint="eastAsia"/>
              </w:rPr>
              <w:t>）</w:t>
            </w:r>
            <w:r>
              <w:t>生活垃圾由环卫部门清运到垃圾场进行无害化处理；</w:t>
            </w:r>
            <w:r>
              <w:rPr>
                <w:rFonts w:hint="eastAsia"/>
              </w:rPr>
              <w:t>切边下脚料外售回收单位</w:t>
            </w:r>
            <w:r>
              <w:t>；</w:t>
            </w:r>
            <w:r>
              <w:rPr>
                <w:rFonts w:hint="eastAsia"/>
              </w:rPr>
              <w:t>废活性炭、废催化剂、废油墨盒</w:t>
            </w:r>
            <w:r>
              <w:t>属于危险废物，由具有危险废物收集、运输、贮存、转运资质的专业单位负责转运处置</w:t>
            </w:r>
            <w:r>
              <w:rPr>
                <w:rFonts w:hint="eastAsia"/>
              </w:rPr>
              <w:t>；废抹布随生活垃圾一同收集，由环卫部门清运处理</w:t>
            </w:r>
            <w:r>
              <w:t>。</w:t>
            </w:r>
          </w:p>
          <w:p>
            <w:pPr>
              <w:widowControl/>
              <w:tabs>
                <w:tab w:val="left" w:pos="4250"/>
              </w:tabs>
              <w:wordWrap w:val="0"/>
              <w:spacing w:line="360" w:lineRule="auto"/>
              <w:ind w:firstLine="480" w:firstLineChars="200"/>
              <w:rPr>
                <w:rFonts w:ascii="Times New Roman" w:hAnsi="Times New Roman"/>
              </w:rPr>
            </w:pPr>
            <w:r>
              <w:rPr>
                <w:rFonts w:hint="eastAsia"/>
                <w:szCs w:val="24"/>
              </w:rPr>
              <w:t>（</w:t>
            </w:r>
            <w:r>
              <w:rPr>
                <w:szCs w:val="24"/>
              </w:rPr>
              <w:t>5</w:t>
            </w:r>
            <w:r>
              <w:rPr>
                <w:rFonts w:hint="eastAsia"/>
                <w:szCs w:val="24"/>
              </w:rPr>
              <w:t>）</w:t>
            </w:r>
            <w:r>
              <w:rPr>
                <w:rFonts w:ascii="Times New Roman" w:hAnsi="Times New Roman"/>
                <w:szCs w:val="24"/>
              </w:rPr>
              <w:t>项目不存在重大风险，对周围环</w:t>
            </w:r>
            <w:r>
              <w:rPr>
                <w:rFonts w:ascii="Times New Roman" w:hAnsi="Times New Roman"/>
              </w:rPr>
              <w:t>境的风险影响较小，经采取合理措施后，项目的环境风险在可接受水平。</w:t>
            </w:r>
          </w:p>
          <w:p>
            <w:pPr>
              <w:snapToGrid w:val="0"/>
              <w:spacing w:line="360" w:lineRule="auto"/>
              <w:ind w:left="482"/>
              <w:rPr>
                <w:rFonts w:ascii="Times New Roman" w:hAnsi="Times New Roman" w:eastAsia="黑体"/>
              </w:rPr>
            </w:pPr>
            <w:r>
              <w:rPr>
                <w:rFonts w:ascii="Times New Roman" w:hAnsi="Times New Roman" w:eastAsia="黑体"/>
              </w:rPr>
              <w:t>二、污染治理措施及建议</w:t>
            </w:r>
          </w:p>
          <w:p>
            <w:pPr>
              <w:spacing w:line="360" w:lineRule="auto"/>
              <w:ind w:left="137" w:leftChars="57" w:firstLine="360" w:firstLineChars="150"/>
              <w:rPr>
                <w:rFonts w:ascii="Times New Roman" w:hAnsi="Times New Roman"/>
              </w:rPr>
            </w:pPr>
            <w:r>
              <w:rPr>
                <w:rFonts w:ascii="Times New Roman" w:hAnsi="Times New Roman"/>
              </w:rPr>
              <w:t>根据以上评价结论，结合有关环保法规和标准要求，提出以下污染治理或改进措施：</w:t>
            </w:r>
          </w:p>
          <w:p>
            <w:pPr>
              <w:numPr>
                <w:ilvl w:val="2"/>
                <w:numId w:val="6"/>
              </w:numPr>
              <w:spacing w:line="360" w:lineRule="auto"/>
              <w:ind w:left="0" w:firstLine="482"/>
              <w:rPr>
                <w:rFonts w:ascii="Times New Roman" w:hAnsi="Times New Roman"/>
              </w:rPr>
            </w:pPr>
            <w:r>
              <w:rPr>
                <w:rFonts w:ascii="Times New Roman" w:hAnsi="Times New Roman"/>
                <w:szCs w:val="24"/>
              </w:rPr>
              <w:t>在一些噪声强度大的设备上加装必要的消音、减震、隔声装置，以降低噪声源强。要加强生产设备的维护和保养，使其保持正常运行，将对周围声环境产生的不利影响降至最低限度</w:t>
            </w:r>
            <w:r>
              <w:rPr>
                <w:rFonts w:ascii="Times New Roman" w:hAnsi="Times New Roman"/>
              </w:rPr>
              <w:t>。</w:t>
            </w:r>
          </w:p>
          <w:p>
            <w:pPr>
              <w:numPr>
                <w:ilvl w:val="2"/>
                <w:numId w:val="6"/>
              </w:numPr>
              <w:spacing w:line="360" w:lineRule="auto"/>
              <w:ind w:left="0" w:firstLine="482"/>
              <w:rPr>
                <w:rFonts w:ascii="Times New Roman" w:hAnsi="Times New Roman"/>
              </w:rPr>
            </w:pPr>
            <w:r>
              <w:rPr>
                <w:rFonts w:ascii="Times New Roman" w:hAnsi="Times New Roman"/>
              </w:rPr>
              <w:t>加强废气处理措施管理，在有条件的情况下加大收集处理力度，减少</w:t>
            </w:r>
            <w:r>
              <w:rPr>
                <w:rFonts w:hint="eastAsia" w:ascii="Times New Roman" w:hAnsi="Times New Roman"/>
              </w:rPr>
              <w:t>印刷工序废气</w:t>
            </w:r>
            <w:r>
              <w:rPr>
                <w:rFonts w:ascii="Times New Roman" w:hAnsi="Times New Roman"/>
              </w:rPr>
              <w:t>排放量。项目</w:t>
            </w:r>
            <w:r>
              <w:rPr>
                <w:rFonts w:hint="eastAsia" w:ascii="Times New Roman" w:hAnsi="Times New Roman"/>
              </w:rPr>
              <w:t>印刷</w:t>
            </w:r>
            <w:r>
              <w:rPr>
                <w:rFonts w:ascii="Times New Roman" w:hAnsi="Times New Roman"/>
              </w:rPr>
              <w:t>工序相关设备需与废气处理装置设置自动化联动装置，运行过程中，废气处理装置需处于正常运行状态中，保证项目废气的正常收集和处理。定期检查废气处理设备</w:t>
            </w:r>
            <w:r>
              <w:rPr>
                <w:rFonts w:hint="eastAsia" w:ascii="Times New Roman" w:hAnsi="Times New Roman"/>
              </w:rPr>
              <w:t>供电系统，并记录运行情况，防止因供电故障失火发生火灾，定期委托相关单位对设备进行检修，确保设备安全、正常运转，设备运行出现问题需及时断电，防止废气事故性排放。</w:t>
            </w:r>
          </w:p>
          <w:p>
            <w:pPr>
              <w:numPr>
                <w:ilvl w:val="2"/>
                <w:numId w:val="6"/>
              </w:numPr>
              <w:spacing w:line="360" w:lineRule="auto"/>
              <w:ind w:left="0" w:firstLine="482"/>
              <w:rPr>
                <w:rFonts w:ascii="Times New Roman" w:hAnsi="Times New Roman"/>
              </w:rPr>
            </w:pPr>
            <w:r>
              <w:rPr>
                <w:rFonts w:hint="eastAsia" w:ascii="Times New Roman" w:hAnsi="Times New Roman"/>
              </w:rPr>
              <w:t>项目采用是的活性炭吸附+催化燃烧设备需满足以下要求</w:t>
            </w:r>
            <w:r>
              <w:rPr>
                <w:rFonts w:hint="eastAsia"/>
              </w:rPr>
              <w:t>①</w:t>
            </w:r>
            <w:r>
              <w:rPr>
                <w:rFonts w:hint="eastAsia" w:ascii="Times New Roman" w:hAnsi="Times New Roman"/>
              </w:rPr>
              <w:t>吸附脱附剂装满箱，</w:t>
            </w:r>
            <w:r>
              <w:rPr>
                <w:rFonts w:hint="eastAsia"/>
              </w:rPr>
              <w:t>②</w:t>
            </w:r>
            <w:r>
              <w:rPr>
                <w:rFonts w:hint="eastAsia" w:ascii="Times New Roman" w:hAnsi="Times New Roman"/>
              </w:rPr>
              <w:t>催化剂需达到</w:t>
            </w:r>
            <w:r>
              <w:rPr>
                <w:rFonts w:ascii="Times New Roman" w:hAnsi="Times New Roman"/>
              </w:rPr>
              <w:t>30</w:t>
            </w:r>
            <w:r>
              <w:rPr>
                <w:rFonts w:hint="eastAsia" w:ascii="Times New Roman" w:hAnsi="Times New Roman"/>
              </w:rPr>
              <w:t>c</w:t>
            </w:r>
            <w:r>
              <w:rPr>
                <w:rFonts w:ascii="Times New Roman" w:hAnsi="Times New Roman"/>
              </w:rPr>
              <w:t>m高，</w:t>
            </w:r>
            <w:r>
              <w:rPr>
                <w:rFonts w:hint="eastAsia"/>
              </w:rPr>
              <w:t>③</w:t>
            </w:r>
            <w:r>
              <w:rPr>
                <w:rFonts w:ascii="Times New Roman" w:hAnsi="Times New Roman"/>
              </w:rPr>
              <w:t>加装阻火器，</w:t>
            </w:r>
            <w:r>
              <w:rPr>
                <w:rFonts w:hint="eastAsia"/>
              </w:rPr>
              <w:t>④</w:t>
            </w:r>
            <w:r>
              <w:rPr>
                <w:rFonts w:ascii="Times New Roman" w:hAnsi="Times New Roman"/>
              </w:rPr>
              <w:t>脱附管道</w:t>
            </w:r>
            <w:r>
              <w:rPr>
                <w:rFonts w:hint="eastAsia" w:ascii="Times New Roman" w:hAnsi="Times New Roman"/>
              </w:rPr>
              <w:t>具有</w:t>
            </w:r>
            <w:r>
              <w:rPr>
                <w:rFonts w:ascii="Times New Roman" w:hAnsi="Times New Roman"/>
              </w:rPr>
              <w:t>保温</w:t>
            </w:r>
            <w:r>
              <w:rPr>
                <w:rFonts w:hint="eastAsia" w:ascii="Times New Roman" w:hAnsi="Times New Roman"/>
              </w:rPr>
              <w:t>措施</w:t>
            </w:r>
            <w:r>
              <w:rPr>
                <w:rFonts w:ascii="Times New Roman" w:hAnsi="Times New Roman"/>
              </w:rPr>
              <w:t>，</w:t>
            </w:r>
            <w:r>
              <w:rPr>
                <w:rFonts w:hint="eastAsia"/>
              </w:rPr>
              <w:t>⑤</w:t>
            </w:r>
            <w:r>
              <w:rPr>
                <w:rFonts w:ascii="Times New Roman" w:hAnsi="Times New Roman"/>
              </w:rPr>
              <w:t>安装在线监测设施或智慧电能控制装置</w:t>
            </w:r>
            <w:r>
              <w:rPr>
                <w:rFonts w:hint="eastAsia"/>
              </w:rPr>
              <w:t>，⑥</w:t>
            </w:r>
            <w:r>
              <w:rPr>
                <w:rFonts w:hint="eastAsia" w:ascii="Times New Roman" w:hAnsi="Times New Roman"/>
              </w:rPr>
              <w:t>催化燃烧设备</w:t>
            </w:r>
            <w:r>
              <w:t>进入燃烧室的有机废气浓度应严格控制在混合有机物的爆炸极限下限的25%以下</w:t>
            </w:r>
            <w:r>
              <w:rPr>
                <w:rFonts w:ascii="Times New Roman" w:hAnsi="Times New Roman"/>
              </w:rPr>
              <w:t>。</w:t>
            </w:r>
          </w:p>
          <w:p>
            <w:pPr>
              <w:numPr>
                <w:ilvl w:val="2"/>
                <w:numId w:val="6"/>
              </w:numPr>
              <w:spacing w:line="360" w:lineRule="auto"/>
              <w:ind w:left="0" w:firstLine="482"/>
              <w:rPr>
                <w:rFonts w:ascii="Times New Roman" w:hAnsi="Times New Roman"/>
              </w:rPr>
            </w:pPr>
            <w:r>
              <w:rPr>
                <w:rFonts w:ascii="Times New Roman" w:hAnsi="Times New Roman"/>
                <w:szCs w:val="24"/>
              </w:rPr>
              <w:t>建设单位应该积极与水务部门配合加强污水管道的运行和维护，</w:t>
            </w:r>
            <w:r>
              <w:rPr>
                <w:rFonts w:ascii="Times New Roman" w:hAnsi="Times New Roman"/>
                <w:color w:val="000000"/>
                <w:szCs w:val="24"/>
              </w:rPr>
              <w:t>保证污水管网对接良好，</w:t>
            </w:r>
            <w:r>
              <w:rPr>
                <w:rFonts w:ascii="Times New Roman" w:hAnsi="Times New Roman"/>
                <w:szCs w:val="24"/>
              </w:rPr>
              <w:t>对沿途污水管道做好防止 “跑、冒、滴、漏”工作</w:t>
            </w:r>
            <w:r>
              <w:rPr>
                <w:rFonts w:ascii="Times New Roman" w:hAnsi="Times New Roman"/>
              </w:rPr>
              <w:t>。</w:t>
            </w:r>
          </w:p>
          <w:p>
            <w:pPr>
              <w:numPr>
                <w:ilvl w:val="2"/>
                <w:numId w:val="6"/>
              </w:numPr>
              <w:spacing w:line="360" w:lineRule="auto"/>
              <w:ind w:left="0" w:firstLine="482"/>
              <w:rPr>
                <w:rFonts w:ascii="Times New Roman" w:hAnsi="Times New Roman"/>
              </w:rPr>
            </w:pPr>
            <w:r>
              <w:rPr>
                <w:rFonts w:hint="eastAsia" w:ascii="Times New Roman" w:hAnsi="Times New Roman"/>
              </w:rPr>
              <w:t>建设</w:t>
            </w:r>
            <w:r>
              <w:rPr>
                <w:rFonts w:ascii="Times New Roman" w:hAnsi="Times New Roman"/>
              </w:rPr>
              <w:t>项目通过采取加强管理，制定切实有效的环境风险事故防范措施和环境风险事故应急预案，建立环境风险事故报警体系，并严格按照相关规定要求落实本评价报告中提出的环境风险防范措施，有效减少环境风险事故对环境造成的影响。</w:t>
            </w:r>
          </w:p>
          <w:p>
            <w:pPr>
              <w:numPr>
                <w:ilvl w:val="2"/>
                <w:numId w:val="6"/>
              </w:numPr>
              <w:spacing w:line="360" w:lineRule="auto"/>
              <w:ind w:left="0" w:firstLine="482"/>
              <w:rPr>
                <w:rFonts w:ascii="Times New Roman" w:hAnsi="Times New Roman"/>
              </w:rPr>
            </w:pPr>
            <w:r>
              <w:rPr>
                <w:rFonts w:ascii="Times New Roman" w:hAnsi="Times New Roman"/>
                <w:szCs w:val="24"/>
              </w:rPr>
              <w:t>建设项目的环境影响评价文件经批准后，建设项目的性质、规模、地点、采用的生产工艺或者防治污染、防治生态破坏的措施发生重大变动的，建设单位应当重新报批建设项目的环境影响评价文件</w:t>
            </w:r>
            <w:r>
              <w:rPr>
                <w:rFonts w:ascii="Times New Roman" w:hAnsi="Times New Roman"/>
              </w:rPr>
              <w:t>。</w:t>
            </w:r>
          </w:p>
          <w:p>
            <w:pPr>
              <w:spacing w:line="360" w:lineRule="auto"/>
              <w:ind w:firstLine="480" w:firstLineChars="200"/>
              <w:rPr>
                <w:rFonts w:ascii="Times New Roman" w:hAnsi="Times New Roman" w:eastAsia="黑体"/>
              </w:rPr>
            </w:pPr>
            <w:r>
              <w:rPr>
                <w:rFonts w:ascii="Times New Roman" w:hAnsi="Times New Roman" w:eastAsia="黑体"/>
              </w:rPr>
              <w:t>三、综合结论</w:t>
            </w:r>
          </w:p>
          <w:p>
            <w:pPr>
              <w:spacing w:line="360" w:lineRule="auto"/>
              <w:ind w:firstLine="480" w:firstLineChars="200"/>
              <w:rPr>
                <w:rFonts w:ascii="Times New Roman" w:hAnsi="Times New Roman"/>
                <w:lang w:val="zh-CN"/>
              </w:rPr>
            </w:pPr>
            <w:r>
              <w:rPr>
                <w:rFonts w:ascii="Times New Roman" w:hAnsi="Times New Roman"/>
              </w:rPr>
              <w:t>综上所述，项目建设符合国家产业政策及城市规划相关要求，满足清洁生产的要求，满足三线一单及生态红线要求。项目在采纳本报告表所提出的污染治理措施，并在各种治理措施及本要求落实良好的前提下，从环保角度而论，</w:t>
            </w:r>
            <w:r>
              <w:rPr>
                <w:rFonts w:hint="eastAsia" w:ascii="Times New Roman" w:hAnsi="Times New Roman"/>
              </w:rPr>
              <w:t>威海步特户外用品有限公司威海步特户外用品有限公司充气桨板标签生产项目</w:t>
            </w:r>
            <w:r>
              <w:rPr>
                <w:rFonts w:ascii="Times New Roman" w:hAnsi="Times New Roman"/>
                <w:lang w:val="zh-CN"/>
              </w:rPr>
              <w:t>是可行的。</w:t>
            </w:r>
          </w:p>
          <w:p>
            <w:pPr>
              <w:spacing w:line="360" w:lineRule="auto"/>
              <w:ind w:firstLine="480" w:firstLineChars="200"/>
              <w:rPr>
                <w:rFonts w:ascii="Times New Roman" w:hAnsi="Times New Roman"/>
                <w:lang w:val="zh-CN"/>
              </w:rPr>
            </w:pPr>
          </w:p>
          <w:p>
            <w:pPr>
              <w:spacing w:line="360" w:lineRule="auto"/>
              <w:rPr>
                <w:rFonts w:ascii="Times New Roman" w:hAnsi="Times New Roman"/>
              </w:rPr>
            </w:pPr>
          </w:p>
        </w:tc>
      </w:tr>
    </w:tbl>
    <w:p>
      <w:pPr>
        <w:spacing w:line="540" w:lineRule="exact"/>
        <w:jc w:val="center"/>
        <w:rPr>
          <w:rFonts w:ascii="Times New Roman" w:hAnsi="Times New Roman"/>
          <w:spacing w:val="20"/>
        </w:rPr>
        <w:sectPr>
          <w:pgSz w:w="11906" w:h="16838"/>
          <w:pgMar w:top="1440" w:right="964" w:bottom="1440" w:left="964" w:header="851" w:footer="992" w:gutter="397"/>
          <w:cols w:space="720" w:num="1"/>
          <w:docGrid w:linePitch="312" w:charSpace="0"/>
        </w:sectPr>
      </w:pPr>
    </w:p>
    <w:tbl>
      <w:tblPr>
        <w:tblStyle w:val="30"/>
        <w:tblW w:w="954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540" w:type="dxa"/>
          </w:tcPr>
          <w:p>
            <w:pPr>
              <w:spacing w:line="540" w:lineRule="exact"/>
              <w:rPr>
                <w:rFonts w:ascii="Times New Roman" w:hAnsi="Times New Roman" w:eastAsia="黑体"/>
                <w:spacing w:val="20"/>
                <w:sz w:val="28"/>
              </w:rPr>
            </w:pPr>
            <w:r>
              <w:rPr>
                <w:rFonts w:ascii="Times New Roman" w:hAnsi="Times New Roman" w:eastAsia="黑体"/>
                <w:spacing w:val="20"/>
                <w:sz w:val="28"/>
              </w:rPr>
              <w:t xml:space="preserve">预审意见：                       </w:t>
            </w:r>
          </w:p>
          <w:p>
            <w:pPr>
              <w:spacing w:line="540" w:lineRule="exact"/>
              <w:rPr>
                <w:rFonts w:ascii="Times New Roman" w:hAnsi="Times New Roman"/>
                <w:spacing w:val="20"/>
              </w:rPr>
            </w:pPr>
          </w:p>
          <w:p>
            <w:pPr>
              <w:spacing w:line="540" w:lineRule="exact"/>
              <w:rPr>
                <w:rFonts w:ascii="Times New Roman" w:hAnsi="Times New Roman"/>
                <w:spacing w:val="20"/>
              </w:rPr>
            </w:pPr>
          </w:p>
          <w:p>
            <w:pPr>
              <w:spacing w:line="540" w:lineRule="exact"/>
              <w:rPr>
                <w:rFonts w:ascii="Times New Roman" w:hAnsi="Times New Roman"/>
                <w:spacing w:val="20"/>
              </w:rPr>
            </w:pPr>
          </w:p>
          <w:p>
            <w:pPr>
              <w:spacing w:line="540" w:lineRule="exact"/>
              <w:rPr>
                <w:rFonts w:ascii="Times New Roman" w:hAnsi="Times New Roman"/>
                <w:spacing w:val="20"/>
              </w:rPr>
            </w:pPr>
          </w:p>
          <w:p>
            <w:pPr>
              <w:spacing w:line="540" w:lineRule="exact"/>
              <w:rPr>
                <w:rFonts w:ascii="Times New Roman" w:hAnsi="Times New Roman"/>
                <w:spacing w:val="20"/>
              </w:rPr>
            </w:pPr>
          </w:p>
          <w:p>
            <w:pPr>
              <w:spacing w:line="540" w:lineRule="exact"/>
              <w:rPr>
                <w:rFonts w:ascii="Times New Roman" w:hAnsi="Times New Roman"/>
                <w:spacing w:val="20"/>
              </w:rPr>
            </w:pPr>
          </w:p>
          <w:p>
            <w:pPr>
              <w:spacing w:line="540" w:lineRule="exact"/>
              <w:rPr>
                <w:rFonts w:ascii="Times New Roman" w:hAnsi="Times New Roman"/>
                <w:spacing w:val="20"/>
              </w:rPr>
            </w:pPr>
          </w:p>
          <w:p>
            <w:pPr>
              <w:spacing w:line="540" w:lineRule="exact"/>
              <w:rPr>
                <w:rFonts w:ascii="Times New Roman" w:hAnsi="Times New Roman"/>
                <w:spacing w:val="20"/>
              </w:rPr>
            </w:pPr>
          </w:p>
          <w:p>
            <w:pPr>
              <w:spacing w:line="540" w:lineRule="exact"/>
              <w:rPr>
                <w:rFonts w:ascii="Times New Roman" w:hAnsi="Times New Roman"/>
                <w:spacing w:val="20"/>
                <w:sz w:val="28"/>
              </w:rPr>
            </w:pPr>
            <w:r>
              <w:rPr>
                <w:rFonts w:ascii="Times New Roman" w:hAnsi="Times New Roman"/>
                <w:spacing w:val="20"/>
                <w:sz w:val="28"/>
              </w:rPr>
              <w:t>公  章</w:t>
            </w:r>
          </w:p>
          <w:p>
            <w:pPr>
              <w:spacing w:line="540" w:lineRule="exact"/>
              <w:rPr>
                <w:rFonts w:ascii="Times New Roman" w:hAnsi="Times New Roman"/>
                <w:spacing w:val="20"/>
              </w:rPr>
            </w:pPr>
            <w:r>
              <w:rPr>
                <w:rFonts w:ascii="Times New Roman" w:hAnsi="Times New Roman"/>
                <w:spacing w:val="20"/>
                <w:sz w:val="28"/>
              </w:rPr>
              <w:t xml:space="preserve">  经办人：                         年   月   日</w:t>
            </w:r>
          </w:p>
          <w:p>
            <w:pPr>
              <w:tabs>
                <w:tab w:val="left" w:pos="6804"/>
              </w:tabs>
              <w:spacing w:line="540" w:lineRule="exact"/>
              <w:rPr>
                <w:rFonts w:ascii="Times New Roman" w:hAnsi="Times New Roman"/>
                <w:spacing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50" w:hRule="atLeast"/>
        </w:trPr>
        <w:tc>
          <w:tcPr>
            <w:tcW w:w="9540" w:type="dxa"/>
          </w:tcPr>
          <w:p>
            <w:pPr>
              <w:spacing w:line="540" w:lineRule="exact"/>
              <w:rPr>
                <w:rFonts w:ascii="Times New Roman" w:hAnsi="Times New Roman" w:eastAsia="黑体"/>
                <w:spacing w:val="20"/>
                <w:sz w:val="28"/>
              </w:rPr>
            </w:pPr>
            <w:r>
              <w:rPr>
                <w:rFonts w:ascii="Times New Roman" w:hAnsi="Times New Roman" w:eastAsia="黑体"/>
                <w:spacing w:val="20"/>
                <w:sz w:val="28"/>
              </w:rPr>
              <w:t>下一级环境保护行政主管部门审查意见：</w:t>
            </w:r>
          </w:p>
          <w:p>
            <w:pPr>
              <w:spacing w:line="540" w:lineRule="exact"/>
              <w:rPr>
                <w:rFonts w:ascii="Times New Roman" w:hAnsi="Times New Roman"/>
                <w:spacing w:val="20"/>
              </w:rPr>
            </w:pPr>
          </w:p>
          <w:p>
            <w:pPr>
              <w:spacing w:line="540" w:lineRule="exact"/>
              <w:rPr>
                <w:rFonts w:ascii="Times New Roman" w:hAnsi="Times New Roman"/>
                <w:spacing w:val="20"/>
              </w:rPr>
            </w:pPr>
          </w:p>
          <w:p>
            <w:pPr>
              <w:spacing w:line="540" w:lineRule="exact"/>
              <w:rPr>
                <w:rFonts w:ascii="Times New Roman" w:hAnsi="Times New Roman"/>
                <w:spacing w:val="20"/>
              </w:rPr>
            </w:pPr>
          </w:p>
          <w:p>
            <w:pPr>
              <w:spacing w:line="540" w:lineRule="exact"/>
              <w:rPr>
                <w:rFonts w:ascii="Times New Roman" w:hAnsi="Times New Roman"/>
                <w:spacing w:val="20"/>
              </w:rPr>
            </w:pPr>
          </w:p>
          <w:p>
            <w:pPr>
              <w:spacing w:line="540" w:lineRule="exact"/>
              <w:rPr>
                <w:rFonts w:ascii="Times New Roman" w:hAnsi="Times New Roman"/>
                <w:spacing w:val="20"/>
              </w:rPr>
            </w:pPr>
          </w:p>
          <w:p>
            <w:pPr>
              <w:spacing w:line="540" w:lineRule="exact"/>
              <w:rPr>
                <w:rFonts w:ascii="Times New Roman" w:hAnsi="Times New Roman"/>
                <w:spacing w:val="20"/>
              </w:rPr>
            </w:pPr>
          </w:p>
          <w:p>
            <w:pPr>
              <w:spacing w:line="540" w:lineRule="exact"/>
              <w:rPr>
                <w:rFonts w:ascii="Times New Roman" w:hAnsi="Times New Roman"/>
                <w:spacing w:val="20"/>
                <w:sz w:val="28"/>
              </w:rPr>
            </w:pPr>
            <w:r>
              <w:rPr>
                <w:rFonts w:ascii="Times New Roman" w:hAnsi="Times New Roman"/>
                <w:spacing w:val="20"/>
                <w:sz w:val="28"/>
              </w:rPr>
              <w:t>公  章</w:t>
            </w:r>
          </w:p>
          <w:p>
            <w:pPr>
              <w:spacing w:line="540" w:lineRule="exact"/>
              <w:rPr>
                <w:rFonts w:ascii="Times New Roman" w:hAnsi="Times New Roman"/>
                <w:spacing w:val="20"/>
              </w:rPr>
            </w:pPr>
            <w:r>
              <w:rPr>
                <w:rFonts w:ascii="Times New Roman" w:hAnsi="Times New Roman"/>
                <w:spacing w:val="20"/>
                <w:sz w:val="28"/>
              </w:rPr>
              <w:t xml:space="preserve">  经办人：                         年   月   日</w:t>
            </w:r>
          </w:p>
          <w:p>
            <w:pPr>
              <w:spacing w:line="540" w:lineRule="exact"/>
              <w:rPr>
                <w:rFonts w:ascii="Times New Roman" w:hAnsi="Times New Roman"/>
                <w:spacing w:val="20"/>
              </w:rPr>
            </w:pPr>
          </w:p>
          <w:p>
            <w:pPr>
              <w:spacing w:line="540" w:lineRule="exact"/>
              <w:rPr>
                <w:rFonts w:ascii="Times New Roman" w:hAnsi="Times New Roman"/>
                <w:spacing w:val="20"/>
              </w:rPr>
            </w:pPr>
          </w:p>
          <w:p>
            <w:pPr>
              <w:spacing w:line="540" w:lineRule="exact"/>
              <w:rPr>
                <w:rFonts w:ascii="Times New Roman" w:hAnsi="Times New Roman"/>
                <w:spacing w:val="20"/>
              </w:rPr>
            </w:pPr>
          </w:p>
        </w:tc>
      </w:tr>
    </w:tbl>
    <w:p>
      <w:pPr>
        <w:spacing w:line="540" w:lineRule="exact"/>
        <w:jc w:val="center"/>
        <w:rPr>
          <w:rFonts w:ascii="Times New Roman" w:hAnsi="Times New Roman"/>
          <w:spacing w:val="20"/>
        </w:rPr>
        <w:sectPr>
          <w:pgSz w:w="11906" w:h="16838"/>
          <w:pgMar w:top="1440" w:right="964" w:bottom="1440" w:left="964" w:header="851" w:footer="992" w:gutter="397"/>
          <w:cols w:space="720" w:num="1"/>
          <w:docGrid w:linePitch="312" w:charSpace="0"/>
        </w:sectPr>
      </w:pPr>
    </w:p>
    <w:tbl>
      <w:tblPr>
        <w:tblStyle w:val="30"/>
        <w:tblW w:w="954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383" w:hRule="atLeast"/>
        </w:trPr>
        <w:tc>
          <w:tcPr>
            <w:tcW w:w="9540" w:type="dxa"/>
            <w:tcBorders>
              <w:top w:val="single" w:color="auto" w:sz="4" w:space="0"/>
              <w:left w:val="single" w:color="auto" w:sz="4" w:space="0"/>
              <w:bottom w:val="single" w:color="auto" w:sz="4" w:space="0"/>
              <w:right w:val="single" w:color="auto" w:sz="4" w:space="0"/>
            </w:tcBorders>
          </w:tcPr>
          <w:p>
            <w:pPr>
              <w:spacing w:line="540" w:lineRule="exact"/>
              <w:rPr>
                <w:rFonts w:ascii="Times New Roman" w:hAnsi="Times New Roman" w:eastAsia="黑体"/>
                <w:spacing w:val="20"/>
                <w:sz w:val="28"/>
              </w:rPr>
            </w:pPr>
            <w:r>
              <w:rPr>
                <w:rFonts w:ascii="Times New Roman" w:hAnsi="Times New Roman" w:eastAsia="黑体"/>
                <w:spacing w:val="20"/>
                <w:sz w:val="28"/>
              </w:rPr>
              <w:t>审批意见：</w:t>
            </w:r>
          </w:p>
          <w:p>
            <w:pPr>
              <w:spacing w:line="540" w:lineRule="exact"/>
              <w:rPr>
                <w:rFonts w:ascii="Times New Roman" w:hAnsi="Times New Roman" w:eastAsia="黑体"/>
                <w:spacing w:val="20"/>
                <w:sz w:val="28"/>
              </w:rPr>
            </w:pPr>
          </w:p>
          <w:p>
            <w:pPr>
              <w:spacing w:line="540" w:lineRule="exact"/>
              <w:rPr>
                <w:rFonts w:ascii="Times New Roman" w:hAnsi="Times New Roman" w:eastAsia="黑体"/>
                <w:spacing w:val="20"/>
                <w:sz w:val="28"/>
              </w:rPr>
            </w:pPr>
          </w:p>
          <w:p>
            <w:pPr>
              <w:spacing w:line="540" w:lineRule="exact"/>
              <w:rPr>
                <w:rFonts w:ascii="Times New Roman" w:hAnsi="Times New Roman" w:eastAsia="黑体"/>
                <w:spacing w:val="20"/>
                <w:sz w:val="28"/>
              </w:rPr>
            </w:pPr>
          </w:p>
          <w:p>
            <w:pPr>
              <w:spacing w:line="540" w:lineRule="exact"/>
              <w:rPr>
                <w:rFonts w:ascii="Times New Roman" w:hAnsi="Times New Roman" w:eastAsia="黑体"/>
                <w:spacing w:val="20"/>
                <w:sz w:val="28"/>
              </w:rPr>
            </w:pPr>
          </w:p>
          <w:p>
            <w:pPr>
              <w:spacing w:line="540" w:lineRule="exact"/>
              <w:rPr>
                <w:rFonts w:ascii="Times New Roman" w:hAnsi="Times New Roman" w:eastAsia="黑体"/>
                <w:spacing w:val="20"/>
                <w:sz w:val="28"/>
              </w:rPr>
            </w:pPr>
          </w:p>
          <w:p>
            <w:pPr>
              <w:spacing w:line="540" w:lineRule="exact"/>
              <w:rPr>
                <w:rFonts w:ascii="Times New Roman" w:hAnsi="Times New Roman" w:eastAsia="黑体"/>
                <w:spacing w:val="20"/>
                <w:sz w:val="28"/>
              </w:rPr>
            </w:pPr>
          </w:p>
          <w:p>
            <w:pPr>
              <w:spacing w:line="540" w:lineRule="exact"/>
              <w:rPr>
                <w:rFonts w:ascii="Times New Roman" w:hAnsi="Times New Roman" w:eastAsia="黑体"/>
                <w:spacing w:val="20"/>
                <w:sz w:val="28"/>
              </w:rPr>
            </w:pPr>
          </w:p>
          <w:p>
            <w:pPr>
              <w:spacing w:line="540" w:lineRule="exact"/>
              <w:rPr>
                <w:rFonts w:ascii="Times New Roman" w:hAnsi="Times New Roman" w:eastAsia="黑体"/>
                <w:spacing w:val="20"/>
                <w:sz w:val="28"/>
              </w:rPr>
            </w:pPr>
          </w:p>
          <w:p>
            <w:pPr>
              <w:spacing w:line="540" w:lineRule="exact"/>
              <w:rPr>
                <w:rFonts w:ascii="Times New Roman" w:hAnsi="Times New Roman" w:eastAsia="黑体"/>
                <w:spacing w:val="20"/>
                <w:sz w:val="28"/>
              </w:rPr>
            </w:pPr>
          </w:p>
          <w:p>
            <w:pPr>
              <w:spacing w:line="540" w:lineRule="exact"/>
              <w:rPr>
                <w:rFonts w:ascii="Times New Roman" w:hAnsi="Times New Roman" w:eastAsia="黑体"/>
                <w:spacing w:val="20"/>
                <w:sz w:val="28"/>
              </w:rPr>
            </w:pPr>
          </w:p>
          <w:p>
            <w:pPr>
              <w:spacing w:line="540" w:lineRule="exact"/>
              <w:rPr>
                <w:rFonts w:ascii="Times New Roman" w:hAnsi="Times New Roman" w:eastAsia="黑体"/>
                <w:spacing w:val="20"/>
                <w:sz w:val="28"/>
              </w:rPr>
            </w:pPr>
          </w:p>
          <w:p>
            <w:pPr>
              <w:spacing w:line="540" w:lineRule="exact"/>
              <w:rPr>
                <w:rFonts w:ascii="Times New Roman" w:hAnsi="Times New Roman" w:eastAsia="黑体"/>
                <w:spacing w:val="20"/>
                <w:sz w:val="28"/>
              </w:rPr>
            </w:pPr>
          </w:p>
          <w:p>
            <w:pPr>
              <w:spacing w:line="540" w:lineRule="exact"/>
              <w:rPr>
                <w:rFonts w:ascii="Times New Roman" w:hAnsi="Times New Roman" w:eastAsia="黑体"/>
                <w:spacing w:val="20"/>
                <w:sz w:val="28"/>
              </w:rPr>
            </w:pPr>
          </w:p>
          <w:p>
            <w:pPr>
              <w:spacing w:line="540" w:lineRule="exact"/>
              <w:rPr>
                <w:rFonts w:ascii="Times New Roman" w:hAnsi="Times New Roman" w:eastAsia="黑体"/>
                <w:spacing w:val="20"/>
                <w:sz w:val="28"/>
              </w:rPr>
            </w:pPr>
          </w:p>
          <w:p>
            <w:pPr>
              <w:spacing w:line="540" w:lineRule="exact"/>
              <w:rPr>
                <w:rFonts w:ascii="Times New Roman" w:hAnsi="Times New Roman" w:eastAsia="黑体"/>
                <w:spacing w:val="20"/>
                <w:sz w:val="28"/>
              </w:rPr>
            </w:pPr>
          </w:p>
          <w:p>
            <w:pPr>
              <w:spacing w:line="540" w:lineRule="exact"/>
              <w:rPr>
                <w:rFonts w:ascii="Times New Roman" w:hAnsi="Times New Roman" w:eastAsia="黑体"/>
                <w:spacing w:val="20"/>
                <w:sz w:val="28"/>
              </w:rPr>
            </w:pPr>
          </w:p>
          <w:p>
            <w:pPr>
              <w:spacing w:line="540" w:lineRule="exact"/>
              <w:rPr>
                <w:rFonts w:ascii="Times New Roman" w:hAnsi="Times New Roman" w:eastAsia="黑体"/>
                <w:spacing w:val="20"/>
                <w:sz w:val="28"/>
              </w:rPr>
            </w:pPr>
          </w:p>
          <w:p>
            <w:pPr>
              <w:spacing w:line="540" w:lineRule="exact"/>
              <w:rPr>
                <w:rFonts w:ascii="Times New Roman" w:hAnsi="Times New Roman" w:eastAsia="黑体"/>
                <w:spacing w:val="20"/>
                <w:sz w:val="28"/>
              </w:rPr>
            </w:pPr>
          </w:p>
          <w:p>
            <w:pPr>
              <w:spacing w:line="540" w:lineRule="exact"/>
              <w:rPr>
                <w:rFonts w:ascii="Times New Roman" w:hAnsi="Times New Roman" w:eastAsia="黑体"/>
                <w:spacing w:val="20"/>
                <w:sz w:val="28"/>
              </w:rPr>
            </w:pPr>
          </w:p>
          <w:p>
            <w:pPr>
              <w:spacing w:line="540" w:lineRule="exact"/>
              <w:rPr>
                <w:rFonts w:ascii="Times New Roman" w:hAnsi="Times New Roman" w:eastAsia="黑体"/>
                <w:spacing w:val="20"/>
                <w:sz w:val="28"/>
              </w:rPr>
            </w:pPr>
          </w:p>
          <w:p>
            <w:pPr>
              <w:spacing w:line="540" w:lineRule="exact"/>
              <w:rPr>
                <w:rFonts w:ascii="Times New Roman" w:hAnsi="Times New Roman" w:eastAsia="黑体"/>
                <w:spacing w:val="20"/>
                <w:sz w:val="28"/>
              </w:rPr>
            </w:pPr>
          </w:p>
          <w:p>
            <w:pPr>
              <w:spacing w:line="540" w:lineRule="exact"/>
              <w:rPr>
                <w:rFonts w:ascii="Times New Roman" w:hAnsi="Times New Roman"/>
                <w:spacing w:val="20"/>
              </w:rPr>
            </w:pPr>
            <w:r>
              <w:rPr>
                <w:rFonts w:ascii="Times New Roman" w:hAnsi="Times New Roman"/>
                <w:spacing w:val="20"/>
              </w:rPr>
              <w:t xml:space="preserve">公  章   </w:t>
            </w:r>
          </w:p>
          <w:p>
            <w:pPr>
              <w:spacing w:line="540" w:lineRule="exact"/>
              <w:rPr>
                <w:rFonts w:ascii="Times New Roman" w:hAnsi="Times New Roman" w:eastAsia="黑体"/>
                <w:spacing w:val="20"/>
                <w:sz w:val="28"/>
              </w:rPr>
            </w:pPr>
            <w:r>
              <w:rPr>
                <w:rFonts w:ascii="Times New Roman" w:hAnsi="Times New Roman"/>
                <w:spacing w:val="20"/>
              </w:rPr>
              <w:t xml:space="preserve">   经办人：                             年  月  日</w:t>
            </w:r>
          </w:p>
          <w:p>
            <w:pPr>
              <w:spacing w:line="540" w:lineRule="exact"/>
              <w:rPr>
                <w:rFonts w:ascii="Times New Roman" w:hAnsi="Times New Roman" w:eastAsia="黑体"/>
                <w:spacing w:val="20"/>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383" w:hRule="atLeast"/>
        </w:trPr>
        <w:tc>
          <w:tcPr>
            <w:tcW w:w="9540" w:type="dxa"/>
          </w:tcPr>
          <w:p>
            <w:pPr>
              <w:spacing w:line="540" w:lineRule="exact"/>
              <w:rPr>
                <w:rFonts w:ascii="Times New Roman" w:hAnsi="Times New Roman" w:eastAsia="黑体"/>
                <w:spacing w:val="20"/>
                <w:sz w:val="28"/>
              </w:rPr>
            </w:pPr>
          </w:p>
          <w:p>
            <w:pPr>
              <w:spacing w:line="540" w:lineRule="exact"/>
              <w:jc w:val="center"/>
              <w:rPr>
                <w:rFonts w:ascii="Times New Roman" w:hAnsi="Times New Roman" w:eastAsia="黑体"/>
                <w:spacing w:val="20"/>
                <w:sz w:val="44"/>
              </w:rPr>
            </w:pPr>
            <w:r>
              <w:rPr>
                <w:rFonts w:ascii="Times New Roman" w:hAnsi="Times New Roman" w:eastAsia="黑体"/>
                <w:spacing w:val="20"/>
                <w:sz w:val="44"/>
              </w:rPr>
              <w:t>注     释</w:t>
            </w:r>
          </w:p>
          <w:p>
            <w:pPr>
              <w:spacing w:line="540" w:lineRule="exact"/>
              <w:jc w:val="center"/>
              <w:rPr>
                <w:rFonts w:ascii="Times New Roman" w:hAnsi="Times New Roman" w:eastAsia="黑体"/>
                <w:spacing w:val="20"/>
                <w:sz w:val="44"/>
              </w:rPr>
            </w:pPr>
          </w:p>
          <w:p>
            <w:pPr>
              <w:spacing w:line="460" w:lineRule="exact"/>
              <w:rPr>
                <w:rFonts w:ascii="Times New Roman" w:hAnsi="Times New Roman"/>
                <w:spacing w:val="20"/>
                <w:sz w:val="28"/>
              </w:rPr>
            </w:pPr>
            <w:r>
              <w:rPr>
                <w:rFonts w:ascii="Times New Roman" w:hAnsi="Times New Roman"/>
                <w:spacing w:val="20"/>
                <w:sz w:val="28"/>
              </w:rPr>
              <w:t>一、本报告表应附以下附件、附图：</w:t>
            </w:r>
          </w:p>
          <w:p>
            <w:pPr>
              <w:spacing w:line="460" w:lineRule="exact"/>
              <w:rPr>
                <w:rFonts w:ascii="Times New Roman" w:hAnsi="Times New Roman"/>
                <w:spacing w:val="20"/>
                <w:sz w:val="28"/>
              </w:rPr>
            </w:pPr>
            <w:r>
              <w:rPr>
                <w:rFonts w:ascii="Times New Roman" w:hAnsi="Times New Roman"/>
                <w:spacing w:val="20"/>
                <w:sz w:val="28"/>
              </w:rPr>
              <w:t xml:space="preserve">  附件1  立项批准文件</w:t>
            </w:r>
          </w:p>
          <w:p>
            <w:pPr>
              <w:spacing w:line="460" w:lineRule="exact"/>
              <w:rPr>
                <w:rFonts w:ascii="Times New Roman" w:hAnsi="Times New Roman"/>
                <w:spacing w:val="20"/>
                <w:sz w:val="28"/>
              </w:rPr>
            </w:pPr>
            <w:r>
              <w:rPr>
                <w:rFonts w:ascii="Times New Roman" w:hAnsi="Times New Roman"/>
                <w:spacing w:val="20"/>
                <w:sz w:val="28"/>
              </w:rPr>
              <w:t xml:space="preserve">  附件2  其他环评有关的行政管理文件</w:t>
            </w:r>
          </w:p>
          <w:p>
            <w:pPr>
              <w:spacing w:line="460" w:lineRule="exact"/>
              <w:rPr>
                <w:rFonts w:ascii="Times New Roman" w:hAnsi="Times New Roman"/>
                <w:spacing w:val="20"/>
                <w:sz w:val="28"/>
              </w:rPr>
            </w:pPr>
            <w:r>
              <w:rPr>
                <w:rFonts w:ascii="Times New Roman" w:hAnsi="Times New Roman"/>
                <w:spacing w:val="20"/>
                <w:sz w:val="28"/>
              </w:rPr>
              <w:t xml:space="preserve">  附图1  项目地理位置图（应反映行政区划、水系、标明纳污</w:t>
            </w:r>
          </w:p>
          <w:p>
            <w:pPr>
              <w:spacing w:line="460" w:lineRule="exact"/>
              <w:rPr>
                <w:rFonts w:ascii="Times New Roman" w:hAnsi="Times New Roman"/>
                <w:spacing w:val="20"/>
                <w:sz w:val="28"/>
              </w:rPr>
            </w:pPr>
            <w:r>
              <w:rPr>
                <w:rFonts w:ascii="Times New Roman" w:hAnsi="Times New Roman"/>
                <w:spacing w:val="20"/>
                <w:sz w:val="28"/>
              </w:rPr>
              <w:t xml:space="preserve">         口位置和地形地貌等）</w:t>
            </w:r>
          </w:p>
          <w:p>
            <w:pPr>
              <w:spacing w:line="460" w:lineRule="exact"/>
              <w:rPr>
                <w:rFonts w:ascii="Times New Roman" w:hAnsi="Times New Roman"/>
                <w:spacing w:val="20"/>
                <w:sz w:val="28"/>
              </w:rPr>
            </w:pPr>
            <w:r>
              <w:rPr>
                <w:rFonts w:ascii="Times New Roman" w:hAnsi="Times New Roman"/>
                <w:spacing w:val="20"/>
                <w:sz w:val="28"/>
              </w:rPr>
              <w:t xml:space="preserve">  附图2  项目平面布置图</w:t>
            </w:r>
          </w:p>
          <w:p>
            <w:pPr>
              <w:spacing w:line="460" w:lineRule="exact"/>
              <w:rPr>
                <w:rFonts w:ascii="Times New Roman" w:hAnsi="Times New Roman"/>
                <w:spacing w:val="20"/>
                <w:sz w:val="28"/>
              </w:rPr>
            </w:pPr>
          </w:p>
          <w:p>
            <w:pPr>
              <w:spacing w:line="460" w:lineRule="exact"/>
              <w:rPr>
                <w:rFonts w:ascii="Times New Roman" w:hAnsi="Times New Roman"/>
                <w:spacing w:val="20"/>
                <w:sz w:val="28"/>
              </w:rPr>
            </w:pPr>
          </w:p>
          <w:p>
            <w:pPr>
              <w:spacing w:line="460" w:lineRule="exact"/>
              <w:rPr>
                <w:rFonts w:ascii="Times New Roman" w:hAnsi="Times New Roman"/>
                <w:spacing w:val="20"/>
                <w:sz w:val="28"/>
              </w:rPr>
            </w:pPr>
            <w:r>
              <w:rPr>
                <w:rFonts w:ascii="Times New Roman" w:hAnsi="Times New Roman"/>
                <w:spacing w:val="20"/>
                <w:sz w:val="28"/>
              </w:rPr>
              <w:t xml:space="preserve">  二、如果本报告表不能说明项目产生的污染及对环境造成的影</w:t>
            </w:r>
          </w:p>
          <w:p>
            <w:pPr>
              <w:spacing w:line="460" w:lineRule="exact"/>
              <w:rPr>
                <w:rFonts w:ascii="Times New Roman" w:hAnsi="Times New Roman"/>
                <w:spacing w:val="20"/>
                <w:sz w:val="28"/>
              </w:rPr>
            </w:pPr>
            <w:r>
              <w:rPr>
                <w:rFonts w:ascii="Times New Roman" w:hAnsi="Times New Roman"/>
                <w:spacing w:val="20"/>
                <w:sz w:val="28"/>
              </w:rPr>
              <w:t xml:space="preserve">     响，应进行专项评价。根据建设项目的特点和当地环境特</w:t>
            </w:r>
          </w:p>
          <w:p>
            <w:pPr>
              <w:spacing w:line="460" w:lineRule="exact"/>
              <w:rPr>
                <w:rFonts w:ascii="Times New Roman" w:hAnsi="Times New Roman"/>
                <w:spacing w:val="20"/>
                <w:sz w:val="28"/>
              </w:rPr>
            </w:pPr>
            <w:r>
              <w:rPr>
                <w:rFonts w:ascii="Times New Roman" w:hAnsi="Times New Roman"/>
                <w:spacing w:val="20"/>
                <w:sz w:val="28"/>
              </w:rPr>
              <w:t xml:space="preserve">     征，应选下列1-2项进行专项评价。</w:t>
            </w:r>
          </w:p>
          <w:p>
            <w:pPr>
              <w:spacing w:line="460" w:lineRule="exact"/>
              <w:ind w:left="315"/>
              <w:rPr>
                <w:rFonts w:ascii="Times New Roman" w:hAnsi="Times New Roman"/>
                <w:spacing w:val="20"/>
                <w:sz w:val="28"/>
              </w:rPr>
            </w:pPr>
            <w:r>
              <w:rPr>
                <w:rFonts w:ascii="Times New Roman" w:hAnsi="Times New Roman"/>
                <w:spacing w:val="20"/>
                <w:sz w:val="28"/>
              </w:rPr>
              <w:t xml:space="preserve"> 1、大气环境影响专项评价</w:t>
            </w:r>
          </w:p>
          <w:p>
            <w:pPr>
              <w:spacing w:line="460" w:lineRule="exact"/>
              <w:ind w:left="315"/>
              <w:rPr>
                <w:rFonts w:ascii="Times New Roman" w:hAnsi="Times New Roman"/>
                <w:spacing w:val="20"/>
                <w:sz w:val="28"/>
              </w:rPr>
            </w:pPr>
            <w:r>
              <w:rPr>
                <w:rFonts w:ascii="Times New Roman" w:hAnsi="Times New Roman"/>
                <w:spacing w:val="20"/>
                <w:sz w:val="28"/>
              </w:rPr>
              <w:t xml:space="preserve"> 2、水环境影响专项评价（包括地表水和地下水）</w:t>
            </w:r>
          </w:p>
          <w:p>
            <w:pPr>
              <w:spacing w:line="460" w:lineRule="exact"/>
              <w:ind w:left="315"/>
              <w:rPr>
                <w:rFonts w:ascii="Times New Roman" w:hAnsi="Times New Roman"/>
                <w:spacing w:val="20"/>
                <w:sz w:val="28"/>
              </w:rPr>
            </w:pPr>
            <w:r>
              <w:rPr>
                <w:rFonts w:ascii="Times New Roman" w:hAnsi="Times New Roman"/>
                <w:spacing w:val="20"/>
                <w:sz w:val="28"/>
              </w:rPr>
              <w:t xml:space="preserve"> 3、生态影响专项评价</w:t>
            </w:r>
          </w:p>
          <w:p>
            <w:pPr>
              <w:spacing w:line="460" w:lineRule="exact"/>
              <w:ind w:left="315"/>
              <w:rPr>
                <w:rFonts w:ascii="Times New Roman" w:hAnsi="Times New Roman"/>
                <w:spacing w:val="20"/>
                <w:sz w:val="28"/>
              </w:rPr>
            </w:pPr>
            <w:r>
              <w:rPr>
                <w:rFonts w:ascii="Times New Roman" w:hAnsi="Times New Roman"/>
                <w:spacing w:val="20"/>
                <w:sz w:val="28"/>
              </w:rPr>
              <w:t xml:space="preserve"> 4、声影响专项评价</w:t>
            </w:r>
          </w:p>
          <w:p>
            <w:pPr>
              <w:spacing w:line="460" w:lineRule="exact"/>
              <w:ind w:left="315"/>
              <w:rPr>
                <w:rFonts w:ascii="Times New Roman" w:hAnsi="Times New Roman"/>
                <w:spacing w:val="20"/>
                <w:sz w:val="28"/>
              </w:rPr>
            </w:pPr>
            <w:r>
              <w:rPr>
                <w:rFonts w:ascii="Times New Roman" w:hAnsi="Times New Roman"/>
                <w:spacing w:val="20"/>
                <w:sz w:val="28"/>
              </w:rPr>
              <w:t xml:space="preserve"> 5、土壤影响专项评价</w:t>
            </w:r>
          </w:p>
          <w:p>
            <w:pPr>
              <w:spacing w:line="460" w:lineRule="exact"/>
              <w:ind w:left="315"/>
              <w:rPr>
                <w:rFonts w:ascii="Times New Roman" w:hAnsi="Times New Roman"/>
                <w:spacing w:val="20"/>
                <w:sz w:val="28"/>
              </w:rPr>
            </w:pPr>
            <w:r>
              <w:rPr>
                <w:rFonts w:ascii="Times New Roman" w:hAnsi="Times New Roman"/>
                <w:spacing w:val="20"/>
                <w:sz w:val="28"/>
              </w:rPr>
              <w:t xml:space="preserve"> 6、固体废弃物影响专项评价</w:t>
            </w:r>
          </w:p>
          <w:p>
            <w:pPr>
              <w:spacing w:line="460" w:lineRule="exact"/>
              <w:rPr>
                <w:rFonts w:ascii="Times New Roman" w:hAnsi="Times New Roman"/>
                <w:spacing w:val="20"/>
                <w:sz w:val="28"/>
              </w:rPr>
            </w:pPr>
            <w:r>
              <w:rPr>
                <w:rFonts w:ascii="Times New Roman" w:hAnsi="Times New Roman"/>
                <w:spacing w:val="20"/>
                <w:sz w:val="28"/>
              </w:rPr>
              <w:t xml:space="preserve">   以上专项评价未包括的可另列专项，专项评价按照《环境影响评价技术导则》中的要求进行。</w:t>
            </w:r>
          </w:p>
          <w:p>
            <w:pPr>
              <w:spacing w:line="460" w:lineRule="exact"/>
              <w:ind w:left="315"/>
              <w:rPr>
                <w:rFonts w:ascii="Times New Roman" w:hAnsi="Times New Roman"/>
                <w:spacing w:val="20"/>
                <w:sz w:val="28"/>
              </w:rPr>
            </w:pPr>
          </w:p>
          <w:p>
            <w:pPr>
              <w:tabs>
                <w:tab w:val="left" w:pos="5280"/>
              </w:tabs>
              <w:spacing w:line="540" w:lineRule="exact"/>
              <w:rPr>
                <w:rFonts w:ascii="Times New Roman" w:hAnsi="Times New Roman"/>
                <w:spacing w:val="20"/>
              </w:rPr>
            </w:pPr>
            <w:r>
              <w:rPr>
                <w:rFonts w:ascii="Times New Roman" w:hAnsi="Times New Roman"/>
                <w:spacing w:val="20"/>
              </w:rPr>
              <w:tab/>
            </w:r>
          </w:p>
          <w:p>
            <w:pPr>
              <w:tabs>
                <w:tab w:val="left" w:pos="5280"/>
              </w:tabs>
              <w:spacing w:line="540" w:lineRule="exact"/>
              <w:rPr>
                <w:rFonts w:ascii="Times New Roman" w:hAnsi="Times New Roman" w:eastAsia="黑体"/>
                <w:spacing w:val="20"/>
                <w:sz w:val="28"/>
              </w:rPr>
            </w:pPr>
          </w:p>
          <w:p>
            <w:pPr>
              <w:spacing w:line="540" w:lineRule="exact"/>
              <w:rPr>
                <w:rFonts w:ascii="Times New Roman" w:hAnsi="Times New Roman" w:eastAsia="黑体"/>
                <w:spacing w:val="20"/>
                <w:sz w:val="28"/>
              </w:rPr>
            </w:pPr>
          </w:p>
        </w:tc>
      </w:tr>
    </w:tbl>
    <w:p>
      <w:pPr>
        <w:rPr>
          <w:rFonts w:ascii="Times New Roman" w:hAnsi="Times New Roman"/>
        </w:rPr>
      </w:pPr>
    </w:p>
    <w:sectPr>
      <w:headerReference r:id="rId6" w:type="default"/>
      <w:footerReference r:id="rId7" w:type="default"/>
      <w:pgSz w:w="11907" w:h="16840"/>
      <w:pgMar w:top="1440" w:right="1797" w:bottom="1440" w:left="179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报宋简体">
    <w:altName w:val="宋体"/>
    <w:panose1 w:val="00000000000000000000"/>
    <w:charset w:val="86"/>
    <w:family w:val="auto"/>
    <w:pitch w:val="default"/>
    <w:sig w:usb0="00000000" w:usb1="00000000" w:usb2="00000010" w:usb3="00000000" w:csb0="00040000" w:csb1="00000000"/>
  </w:font>
  <w:font w:name="他">
    <w:altName w:val="宋体"/>
    <w:panose1 w:val="00000000000000000000"/>
    <w:charset w:val="86"/>
    <w:family w:val="roman"/>
    <w:pitch w:val="default"/>
    <w:sig w:usb0="00000000" w:usb1="00000000" w:usb2="00000000" w:usb3="00000000" w:csb0="00040001" w:csb1="00000000"/>
  </w:font>
  <w:font w:name="Arial Unicode MS">
    <w:panose1 w:val="020B0604020202020204"/>
    <w:charset w:val="86"/>
    <w:family w:val="roman"/>
    <w:pitch w:val="default"/>
    <w:sig w:usb0="FFFFFFFF" w:usb1="E9FFFFFF" w:usb2="0000003F" w:usb3="00000000" w:csb0="603F01FF" w:csb1="FFFF0000"/>
  </w:font>
  <w:font w:name="仿宋_GB2312">
    <w:altName w:val="仿宋"/>
    <w:panose1 w:val="02010609030101010101"/>
    <w:charset w:val="86"/>
    <w:family w:val="modern"/>
    <w:pitch w:val="default"/>
    <w:sig w:usb0="00000000" w:usb1="0000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framePr w:wrap="around" w:vAnchor="text" w:hAnchor="margin" w:xAlign="center" w:y="1"/>
    </w:pPr>
    <w:r>
      <w:fldChar w:fldCharType="begin"/>
    </w:r>
    <w:r>
      <w:instrText xml:space="preserve">PAGE  </w:instrText>
    </w:r>
    <w:r>
      <w:fldChar w:fldCharType="separate"/>
    </w:r>
    <w:r>
      <w:t>- 1 -</w:t>
    </w:r>
    <w:r>
      <w:fldChar w:fldCharType="end"/>
    </w:r>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framePr w:w="627" w:h="265" w:wrap="around" w:vAnchor="text" w:hAnchor="page" w:x="5502" w:y="-51"/>
      <w:jc w:val="center"/>
      <w:rPr>
        <w:rFonts w:ascii="Times New Roman" w:hAnsi="Times New Roman"/>
      </w:rPr>
    </w:pPr>
    <w:r>
      <w:rPr>
        <w:rFonts w:ascii="Times New Roman" w:hAnsi="Times New Roman"/>
      </w:rPr>
      <w:t>-</w:t>
    </w:r>
    <w:r>
      <w:rPr>
        <w:rFonts w:ascii="Times New Roman" w:hAnsi="Times New Roman"/>
      </w:rPr>
      <w:fldChar w:fldCharType="begin"/>
    </w:r>
    <w:r>
      <w:rPr>
        <w:rFonts w:ascii="Times New Roman" w:hAnsi="Times New Roman"/>
      </w:rPr>
      <w:instrText xml:space="preserve">PAGE  </w:instrText>
    </w:r>
    <w:r>
      <w:rPr>
        <w:rFonts w:ascii="Times New Roman" w:hAnsi="Times New Roman"/>
      </w:rPr>
      <w:fldChar w:fldCharType="separate"/>
    </w:r>
    <w:r>
      <w:rPr>
        <w:rFonts w:ascii="Times New Roman" w:hAnsi="Times New Roman"/>
      </w:rPr>
      <w:t>23</w:t>
    </w:r>
    <w:r>
      <w:rPr>
        <w:rFonts w:ascii="Times New Roman" w:hAnsi="Times New Roman"/>
      </w:rPr>
      <w:fldChar w:fldCharType="end"/>
    </w:r>
    <w:r>
      <w:rPr>
        <w:rFonts w:ascii="Times New Roman" w:hAnsi="Times New Roman"/>
      </w:rPr>
      <w:t>-</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framePr w:wrap="around" w:vAnchor="text" w:hAnchor="margin" w:y="1"/>
      <w:jc w:val="center"/>
      <w:rPr>
        <w:rFonts w:ascii="Times New Roman" w:hAnsi="Times New Roman"/>
        <w:szCs w:val="24"/>
      </w:rPr>
    </w:pPr>
    <w:r>
      <w:rPr>
        <w:rFonts w:hint="eastAsia" w:ascii="Times New Roman" w:hAnsi="Times New Roman"/>
        <w:szCs w:val="24"/>
      </w:rPr>
      <w:t>-</w:t>
    </w:r>
    <w:r>
      <w:rPr>
        <w:rFonts w:ascii="Times New Roman" w:hAnsi="Times New Roman"/>
        <w:szCs w:val="24"/>
      </w:rPr>
      <w:fldChar w:fldCharType="begin"/>
    </w:r>
    <w:r>
      <w:rPr>
        <w:rFonts w:ascii="Times New Roman" w:hAnsi="Times New Roman"/>
        <w:szCs w:val="24"/>
      </w:rPr>
      <w:instrText xml:space="preserve"> PAGE   \* MERGEFORMAT </w:instrText>
    </w:r>
    <w:r>
      <w:rPr>
        <w:rFonts w:ascii="Times New Roman" w:hAnsi="Times New Roman"/>
        <w:szCs w:val="24"/>
      </w:rPr>
      <w:fldChar w:fldCharType="separate"/>
    </w:r>
    <w:r>
      <w:rPr>
        <w:sz w:val="18"/>
        <w:szCs w:val="18"/>
      </w:rPr>
      <w:t>49</w:t>
    </w:r>
    <w:r>
      <w:rPr>
        <w:rFonts w:ascii="Times New Roman" w:hAnsi="Times New Roman"/>
        <w:szCs w:val="24"/>
      </w:rPr>
      <w:fldChar w:fldCharType="end"/>
    </w:r>
    <w:r>
      <w:rPr>
        <w:rFonts w:hint="eastAsia" w:ascii="Times New Roman" w:hAnsi="Times New Roman"/>
        <w:szCs w:val="24"/>
      </w:rPr>
      <w:t>-</w:t>
    </w:r>
  </w:p>
  <w:p>
    <w:pPr>
      <w:framePr w:wrap="around" w:vAnchor="text" w:hAnchor="margin" w:y="1"/>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BD5A02"/>
    <w:multiLevelType w:val="multilevel"/>
    <w:tmpl w:val="0CBD5A02"/>
    <w:lvl w:ilvl="0" w:tentative="0">
      <w:start w:val="1"/>
      <w:numFmt w:val="decimalEnclosedCircle"/>
      <w:lvlText w:val="%1"/>
      <w:lvlJc w:val="left"/>
      <w:pPr>
        <w:ind w:left="1265" w:hanging="360"/>
      </w:pPr>
      <w:rPr>
        <w:rFonts w:hint="default" w:ascii="宋体" w:hAnsi="宋体"/>
      </w:rPr>
    </w:lvl>
    <w:lvl w:ilvl="1" w:tentative="0">
      <w:start w:val="1"/>
      <w:numFmt w:val="lowerLetter"/>
      <w:lvlText w:val="%2)"/>
      <w:lvlJc w:val="left"/>
      <w:pPr>
        <w:ind w:left="1745" w:hanging="420"/>
      </w:pPr>
    </w:lvl>
    <w:lvl w:ilvl="2" w:tentative="0">
      <w:start w:val="1"/>
      <w:numFmt w:val="lowerRoman"/>
      <w:lvlText w:val="%3."/>
      <w:lvlJc w:val="right"/>
      <w:pPr>
        <w:ind w:left="2165" w:hanging="420"/>
      </w:pPr>
    </w:lvl>
    <w:lvl w:ilvl="3" w:tentative="0">
      <w:start w:val="1"/>
      <w:numFmt w:val="decimal"/>
      <w:lvlText w:val="%4."/>
      <w:lvlJc w:val="left"/>
      <w:pPr>
        <w:ind w:left="2585" w:hanging="420"/>
      </w:pPr>
    </w:lvl>
    <w:lvl w:ilvl="4" w:tentative="0">
      <w:start w:val="1"/>
      <w:numFmt w:val="lowerLetter"/>
      <w:lvlText w:val="%5)"/>
      <w:lvlJc w:val="left"/>
      <w:pPr>
        <w:ind w:left="3005" w:hanging="420"/>
      </w:pPr>
    </w:lvl>
    <w:lvl w:ilvl="5" w:tentative="0">
      <w:start w:val="1"/>
      <w:numFmt w:val="lowerRoman"/>
      <w:lvlText w:val="%6."/>
      <w:lvlJc w:val="right"/>
      <w:pPr>
        <w:ind w:left="3425" w:hanging="420"/>
      </w:pPr>
    </w:lvl>
    <w:lvl w:ilvl="6" w:tentative="0">
      <w:start w:val="1"/>
      <w:numFmt w:val="decimal"/>
      <w:lvlText w:val="%7."/>
      <w:lvlJc w:val="left"/>
      <w:pPr>
        <w:ind w:left="3845" w:hanging="420"/>
      </w:pPr>
    </w:lvl>
    <w:lvl w:ilvl="7" w:tentative="0">
      <w:start w:val="1"/>
      <w:numFmt w:val="lowerLetter"/>
      <w:lvlText w:val="%8)"/>
      <w:lvlJc w:val="left"/>
      <w:pPr>
        <w:ind w:left="4265" w:hanging="420"/>
      </w:pPr>
    </w:lvl>
    <w:lvl w:ilvl="8" w:tentative="0">
      <w:start w:val="1"/>
      <w:numFmt w:val="lowerRoman"/>
      <w:lvlText w:val="%9."/>
      <w:lvlJc w:val="right"/>
      <w:pPr>
        <w:ind w:left="4685" w:hanging="420"/>
      </w:pPr>
    </w:lvl>
  </w:abstractNum>
  <w:abstractNum w:abstractNumId="1">
    <w:nsid w:val="21903EE8"/>
    <w:multiLevelType w:val="multilevel"/>
    <w:tmpl w:val="21903EE8"/>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decimal"/>
      <w:suff w:val="space"/>
      <w:lvlText w:val="%3."/>
      <w:lvlJc w:val="left"/>
      <w:pPr>
        <w:ind w:left="1740" w:hanging="420"/>
      </w:pPr>
      <w:rPr>
        <w:rFonts w:hint="eastAsia"/>
        <w:b w:val="0"/>
      </w:r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
    <w:nsid w:val="37CBE8FB"/>
    <w:multiLevelType w:val="singleLevel"/>
    <w:tmpl w:val="37CBE8FB"/>
    <w:lvl w:ilvl="0" w:tentative="0">
      <w:start w:val="1"/>
      <w:numFmt w:val="decimal"/>
      <w:suff w:val="nothing"/>
      <w:lvlText w:val="（%1）"/>
      <w:lvlJc w:val="left"/>
      <w:rPr>
        <w:b w:val="0"/>
        <w:bCs w:val="0"/>
      </w:rPr>
    </w:lvl>
  </w:abstractNum>
  <w:abstractNum w:abstractNumId="3">
    <w:nsid w:val="3C083B48"/>
    <w:multiLevelType w:val="multilevel"/>
    <w:tmpl w:val="3C083B48"/>
    <w:lvl w:ilvl="0" w:tentative="0">
      <w:start w:val="1"/>
      <w:numFmt w:val="decimalEnclosedCircle"/>
      <w:lvlText w:val="%1"/>
      <w:lvlJc w:val="left"/>
      <w:pPr>
        <w:ind w:left="840" w:hanging="360"/>
      </w:pPr>
      <w:rPr>
        <w:rFonts w:hint="default" w:ascii="宋体" w:hAnsi="宋体"/>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4">
    <w:nsid w:val="6DAA6FB1"/>
    <w:multiLevelType w:val="multilevel"/>
    <w:tmpl w:val="6DAA6FB1"/>
    <w:lvl w:ilvl="0" w:tentative="0">
      <w:start w:val="1"/>
      <w:numFmt w:val="decimal"/>
      <w:lvlText w:val="%1、"/>
      <w:lvlJc w:val="left"/>
      <w:pPr>
        <w:ind w:left="659" w:hanging="375"/>
      </w:pPr>
      <w:rPr>
        <w:rFonts w:hint="default"/>
      </w:rPr>
    </w:lvl>
    <w:lvl w:ilvl="1" w:tentative="0">
      <w:start w:val="1"/>
      <w:numFmt w:val="lowerLetter"/>
      <w:lvlText w:val="%2)"/>
      <w:lvlJc w:val="left"/>
      <w:pPr>
        <w:ind w:left="1124" w:hanging="420"/>
      </w:pPr>
    </w:lvl>
    <w:lvl w:ilvl="2" w:tentative="0">
      <w:start w:val="1"/>
      <w:numFmt w:val="lowerRoman"/>
      <w:lvlText w:val="%3."/>
      <w:lvlJc w:val="right"/>
      <w:pPr>
        <w:ind w:left="1544" w:hanging="420"/>
      </w:pPr>
    </w:lvl>
    <w:lvl w:ilvl="3" w:tentative="0">
      <w:start w:val="1"/>
      <w:numFmt w:val="decimal"/>
      <w:lvlText w:val="%4."/>
      <w:lvlJc w:val="left"/>
      <w:pPr>
        <w:ind w:left="1964" w:hanging="420"/>
      </w:pPr>
    </w:lvl>
    <w:lvl w:ilvl="4" w:tentative="0">
      <w:start w:val="1"/>
      <w:numFmt w:val="lowerLetter"/>
      <w:lvlText w:val="%5)"/>
      <w:lvlJc w:val="left"/>
      <w:pPr>
        <w:ind w:left="2384" w:hanging="420"/>
      </w:pPr>
    </w:lvl>
    <w:lvl w:ilvl="5" w:tentative="0">
      <w:start w:val="1"/>
      <w:numFmt w:val="lowerRoman"/>
      <w:lvlText w:val="%6."/>
      <w:lvlJc w:val="right"/>
      <w:pPr>
        <w:ind w:left="2804" w:hanging="420"/>
      </w:pPr>
    </w:lvl>
    <w:lvl w:ilvl="6" w:tentative="0">
      <w:start w:val="1"/>
      <w:numFmt w:val="decimal"/>
      <w:lvlText w:val="%7."/>
      <w:lvlJc w:val="left"/>
      <w:pPr>
        <w:ind w:left="3224" w:hanging="420"/>
      </w:pPr>
    </w:lvl>
    <w:lvl w:ilvl="7" w:tentative="0">
      <w:start w:val="1"/>
      <w:numFmt w:val="lowerLetter"/>
      <w:lvlText w:val="%8)"/>
      <w:lvlJc w:val="left"/>
      <w:pPr>
        <w:ind w:left="3644" w:hanging="420"/>
      </w:pPr>
    </w:lvl>
    <w:lvl w:ilvl="8" w:tentative="0">
      <w:start w:val="1"/>
      <w:numFmt w:val="lowerRoman"/>
      <w:lvlText w:val="%9."/>
      <w:lvlJc w:val="right"/>
      <w:pPr>
        <w:ind w:left="4064" w:hanging="420"/>
      </w:pPr>
    </w:lvl>
  </w:abstractNum>
  <w:abstractNum w:abstractNumId="5">
    <w:nsid w:val="759E7EFE"/>
    <w:multiLevelType w:val="multilevel"/>
    <w:tmpl w:val="759E7EFE"/>
    <w:lvl w:ilvl="0" w:tentative="0">
      <w:start w:val="5"/>
      <w:numFmt w:val="decimal"/>
      <w:lvlText w:val="%1、"/>
      <w:lvlJc w:val="left"/>
      <w:pPr>
        <w:ind w:left="830" w:hanging="360"/>
      </w:pPr>
      <w:rPr>
        <w:rFonts w:hint="default"/>
      </w:rPr>
    </w:lvl>
    <w:lvl w:ilvl="1" w:tentative="0">
      <w:start w:val="1"/>
      <w:numFmt w:val="lowerLetter"/>
      <w:lvlText w:val="%2)"/>
      <w:lvlJc w:val="left"/>
      <w:pPr>
        <w:ind w:left="1310" w:hanging="420"/>
      </w:pPr>
    </w:lvl>
    <w:lvl w:ilvl="2" w:tentative="0">
      <w:start w:val="1"/>
      <w:numFmt w:val="lowerRoman"/>
      <w:lvlText w:val="%3."/>
      <w:lvlJc w:val="right"/>
      <w:pPr>
        <w:ind w:left="1730" w:hanging="420"/>
      </w:pPr>
    </w:lvl>
    <w:lvl w:ilvl="3" w:tentative="0">
      <w:start w:val="1"/>
      <w:numFmt w:val="decimal"/>
      <w:lvlText w:val="%4."/>
      <w:lvlJc w:val="left"/>
      <w:pPr>
        <w:ind w:left="2150" w:hanging="420"/>
      </w:pPr>
    </w:lvl>
    <w:lvl w:ilvl="4" w:tentative="0">
      <w:start w:val="1"/>
      <w:numFmt w:val="lowerLetter"/>
      <w:lvlText w:val="%5)"/>
      <w:lvlJc w:val="left"/>
      <w:pPr>
        <w:ind w:left="2570" w:hanging="420"/>
      </w:pPr>
    </w:lvl>
    <w:lvl w:ilvl="5" w:tentative="0">
      <w:start w:val="1"/>
      <w:numFmt w:val="lowerRoman"/>
      <w:lvlText w:val="%6."/>
      <w:lvlJc w:val="right"/>
      <w:pPr>
        <w:ind w:left="2990" w:hanging="420"/>
      </w:pPr>
    </w:lvl>
    <w:lvl w:ilvl="6" w:tentative="0">
      <w:start w:val="1"/>
      <w:numFmt w:val="decimal"/>
      <w:lvlText w:val="%7."/>
      <w:lvlJc w:val="left"/>
      <w:pPr>
        <w:ind w:left="3410" w:hanging="420"/>
      </w:pPr>
    </w:lvl>
    <w:lvl w:ilvl="7" w:tentative="0">
      <w:start w:val="1"/>
      <w:numFmt w:val="lowerLetter"/>
      <w:lvlText w:val="%8)"/>
      <w:lvlJc w:val="left"/>
      <w:pPr>
        <w:ind w:left="3830" w:hanging="420"/>
      </w:pPr>
    </w:lvl>
    <w:lvl w:ilvl="8" w:tentative="0">
      <w:start w:val="1"/>
      <w:numFmt w:val="lowerRoman"/>
      <w:lvlText w:val="%9."/>
      <w:lvlJc w:val="right"/>
      <w:pPr>
        <w:ind w:left="4250" w:hanging="420"/>
      </w:pPr>
    </w:lvl>
  </w:abstractNum>
  <w:num w:numId="1">
    <w:abstractNumId w:val="2"/>
  </w:num>
  <w:num w:numId="2">
    <w:abstractNumId w:val="5"/>
  </w:num>
  <w:num w:numId="3">
    <w:abstractNumId w:val="0"/>
  </w:num>
  <w:num w:numId="4">
    <w:abstractNumId w:val="4"/>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displayBackgroundShape w:val="1"/>
  <w:bordersDoNotSurroundHeader w:val="1"/>
  <w:bordersDoNotSurroundFooter w:val="1"/>
  <w:hideSpellingErrors/>
  <w:documentProtection w:enforcement="0"/>
  <w:defaultTabStop w:val="420"/>
  <w:drawingGridVerticalSpacing w:val="156"/>
  <w:noPunctuationKerning w:val="1"/>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5CAE"/>
    <w:rsid w:val="00001C5F"/>
    <w:rsid w:val="00011058"/>
    <w:rsid w:val="00012FAB"/>
    <w:rsid w:val="00015454"/>
    <w:rsid w:val="00016A58"/>
    <w:rsid w:val="00016FBD"/>
    <w:rsid w:val="00017D2B"/>
    <w:rsid w:val="00022FFA"/>
    <w:rsid w:val="0002353D"/>
    <w:rsid w:val="00023737"/>
    <w:rsid w:val="00024A16"/>
    <w:rsid w:val="00025FFD"/>
    <w:rsid w:val="00026B94"/>
    <w:rsid w:val="00035A4E"/>
    <w:rsid w:val="00040D47"/>
    <w:rsid w:val="00050138"/>
    <w:rsid w:val="00050C7E"/>
    <w:rsid w:val="00054384"/>
    <w:rsid w:val="00056D1E"/>
    <w:rsid w:val="00056FD3"/>
    <w:rsid w:val="00060573"/>
    <w:rsid w:val="00064F32"/>
    <w:rsid w:val="00065E1C"/>
    <w:rsid w:val="00066384"/>
    <w:rsid w:val="00066C5F"/>
    <w:rsid w:val="0006708C"/>
    <w:rsid w:val="0007004E"/>
    <w:rsid w:val="000704A5"/>
    <w:rsid w:val="00073872"/>
    <w:rsid w:val="0007557A"/>
    <w:rsid w:val="00075726"/>
    <w:rsid w:val="000777AB"/>
    <w:rsid w:val="000818A6"/>
    <w:rsid w:val="00082EFC"/>
    <w:rsid w:val="000932B9"/>
    <w:rsid w:val="00094323"/>
    <w:rsid w:val="00095398"/>
    <w:rsid w:val="000A0CFB"/>
    <w:rsid w:val="000A271C"/>
    <w:rsid w:val="000A50DF"/>
    <w:rsid w:val="000A6F8C"/>
    <w:rsid w:val="000B09F6"/>
    <w:rsid w:val="000B2F26"/>
    <w:rsid w:val="000B3914"/>
    <w:rsid w:val="000B4FD3"/>
    <w:rsid w:val="000B5503"/>
    <w:rsid w:val="000B621B"/>
    <w:rsid w:val="000B70C7"/>
    <w:rsid w:val="000C125A"/>
    <w:rsid w:val="000C1CB9"/>
    <w:rsid w:val="000C2109"/>
    <w:rsid w:val="000C3ECC"/>
    <w:rsid w:val="000C6BFF"/>
    <w:rsid w:val="000D29FF"/>
    <w:rsid w:val="000D2D2C"/>
    <w:rsid w:val="000D334D"/>
    <w:rsid w:val="000E0CB4"/>
    <w:rsid w:val="000E4D37"/>
    <w:rsid w:val="000F000F"/>
    <w:rsid w:val="000F47E9"/>
    <w:rsid w:val="000F566E"/>
    <w:rsid w:val="001007D0"/>
    <w:rsid w:val="00100F8A"/>
    <w:rsid w:val="00103631"/>
    <w:rsid w:val="00105375"/>
    <w:rsid w:val="001055D0"/>
    <w:rsid w:val="00105A89"/>
    <w:rsid w:val="00111B87"/>
    <w:rsid w:val="00111F2B"/>
    <w:rsid w:val="00112431"/>
    <w:rsid w:val="00114927"/>
    <w:rsid w:val="001175E2"/>
    <w:rsid w:val="00121AB8"/>
    <w:rsid w:val="00123F93"/>
    <w:rsid w:val="00125F4D"/>
    <w:rsid w:val="00132F1B"/>
    <w:rsid w:val="00136E9F"/>
    <w:rsid w:val="00137C4E"/>
    <w:rsid w:val="00137E57"/>
    <w:rsid w:val="001416A2"/>
    <w:rsid w:val="001425EE"/>
    <w:rsid w:val="00145934"/>
    <w:rsid w:val="0015096A"/>
    <w:rsid w:val="00154D08"/>
    <w:rsid w:val="0015566A"/>
    <w:rsid w:val="00155C0E"/>
    <w:rsid w:val="001569E5"/>
    <w:rsid w:val="00160BBD"/>
    <w:rsid w:val="00161490"/>
    <w:rsid w:val="001631EC"/>
    <w:rsid w:val="00163A4E"/>
    <w:rsid w:val="001678C1"/>
    <w:rsid w:val="001705B8"/>
    <w:rsid w:val="001714C0"/>
    <w:rsid w:val="00172FF3"/>
    <w:rsid w:val="00174118"/>
    <w:rsid w:val="00174681"/>
    <w:rsid w:val="00175C30"/>
    <w:rsid w:val="00180CE7"/>
    <w:rsid w:val="00182EDF"/>
    <w:rsid w:val="00185400"/>
    <w:rsid w:val="00187BEE"/>
    <w:rsid w:val="0019125C"/>
    <w:rsid w:val="001920BE"/>
    <w:rsid w:val="00192510"/>
    <w:rsid w:val="001928FA"/>
    <w:rsid w:val="001945E2"/>
    <w:rsid w:val="00194C00"/>
    <w:rsid w:val="001A1410"/>
    <w:rsid w:val="001A1DF7"/>
    <w:rsid w:val="001A4CBF"/>
    <w:rsid w:val="001A6E5B"/>
    <w:rsid w:val="001A6F47"/>
    <w:rsid w:val="001A75C4"/>
    <w:rsid w:val="001A7BA1"/>
    <w:rsid w:val="001B0E18"/>
    <w:rsid w:val="001B2EE2"/>
    <w:rsid w:val="001B3CCA"/>
    <w:rsid w:val="001B4259"/>
    <w:rsid w:val="001B461C"/>
    <w:rsid w:val="001B50EE"/>
    <w:rsid w:val="001B7D35"/>
    <w:rsid w:val="001D0435"/>
    <w:rsid w:val="001D0A01"/>
    <w:rsid w:val="001D33C3"/>
    <w:rsid w:val="001D345D"/>
    <w:rsid w:val="001D42BA"/>
    <w:rsid w:val="001D47EA"/>
    <w:rsid w:val="001E0AB5"/>
    <w:rsid w:val="001E203C"/>
    <w:rsid w:val="001F3F98"/>
    <w:rsid w:val="001F4806"/>
    <w:rsid w:val="001F715C"/>
    <w:rsid w:val="00201792"/>
    <w:rsid w:val="00205CCE"/>
    <w:rsid w:val="00207107"/>
    <w:rsid w:val="0021225F"/>
    <w:rsid w:val="002170A9"/>
    <w:rsid w:val="00217C47"/>
    <w:rsid w:val="00221A93"/>
    <w:rsid w:val="00225AC4"/>
    <w:rsid w:val="00226787"/>
    <w:rsid w:val="00230377"/>
    <w:rsid w:val="002315CA"/>
    <w:rsid w:val="0023172E"/>
    <w:rsid w:val="00233337"/>
    <w:rsid w:val="0023541D"/>
    <w:rsid w:val="0024012C"/>
    <w:rsid w:val="0024154F"/>
    <w:rsid w:val="0024213F"/>
    <w:rsid w:val="00244349"/>
    <w:rsid w:val="00250461"/>
    <w:rsid w:val="002540D8"/>
    <w:rsid w:val="00260C9F"/>
    <w:rsid w:val="00262693"/>
    <w:rsid w:val="002629FF"/>
    <w:rsid w:val="0026393D"/>
    <w:rsid w:val="00263F6B"/>
    <w:rsid w:val="00272672"/>
    <w:rsid w:val="002741DA"/>
    <w:rsid w:val="00275A55"/>
    <w:rsid w:val="002775F3"/>
    <w:rsid w:val="0028166C"/>
    <w:rsid w:val="00286B85"/>
    <w:rsid w:val="00287BD8"/>
    <w:rsid w:val="00291D44"/>
    <w:rsid w:val="00291F3B"/>
    <w:rsid w:val="00293770"/>
    <w:rsid w:val="00293ECA"/>
    <w:rsid w:val="0029405B"/>
    <w:rsid w:val="0029581D"/>
    <w:rsid w:val="00296D56"/>
    <w:rsid w:val="002A043A"/>
    <w:rsid w:val="002A20D2"/>
    <w:rsid w:val="002A4112"/>
    <w:rsid w:val="002A4314"/>
    <w:rsid w:val="002A562F"/>
    <w:rsid w:val="002B24E2"/>
    <w:rsid w:val="002B5085"/>
    <w:rsid w:val="002B5343"/>
    <w:rsid w:val="002C1F6C"/>
    <w:rsid w:val="002C2060"/>
    <w:rsid w:val="002C29BB"/>
    <w:rsid w:val="002C4CB5"/>
    <w:rsid w:val="002D1E14"/>
    <w:rsid w:val="002D4BDF"/>
    <w:rsid w:val="002E00D4"/>
    <w:rsid w:val="002E0480"/>
    <w:rsid w:val="002E1692"/>
    <w:rsid w:val="002E2EFC"/>
    <w:rsid w:val="002E5D2D"/>
    <w:rsid w:val="002E5DDB"/>
    <w:rsid w:val="002E6D18"/>
    <w:rsid w:val="002F2807"/>
    <w:rsid w:val="002F359F"/>
    <w:rsid w:val="002F37FE"/>
    <w:rsid w:val="002F4170"/>
    <w:rsid w:val="00300A6F"/>
    <w:rsid w:val="00302695"/>
    <w:rsid w:val="00303213"/>
    <w:rsid w:val="00303F4F"/>
    <w:rsid w:val="00306B11"/>
    <w:rsid w:val="00311703"/>
    <w:rsid w:val="00313DDD"/>
    <w:rsid w:val="003168BD"/>
    <w:rsid w:val="00316C9A"/>
    <w:rsid w:val="003171E3"/>
    <w:rsid w:val="0031739E"/>
    <w:rsid w:val="00320AB2"/>
    <w:rsid w:val="003213B1"/>
    <w:rsid w:val="00323761"/>
    <w:rsid w:val="00324DA4"/>
    <w:rsid w:val="0032716D"/>
    <w:rsid w:val="0033293E"/>
    <w:rsid w:val="00332A52"/>
    <w:rsid w:val="00335641"/>
    <w:rsid w:val="00336166"/>
    <w:rsid w:val="003363E9"/>
    <w:rsid w:val="003370EF"/>
    <w:rsid w:val="00347184"/>
    <w:rsid w:val="0034785E"/>
    <w:rsid w:val="00350169"/>
    <w:rsid w:val="00352658"/>
    <w:rsid w:val="0035350A"/>
    <w:rsid w:val="00354DFD"/>
    <w:rsid w:val="003559E7"/>
    <w:rsid w:val="00356351"/>
    <w:rsid w:val="003669C4"/>
    <w:rsid w:val="00367366"/>
    <w:rsid w:val="0037261E"/>
    <w:rsid w:val="0037595C"/>
    <w:rsid w:val="003778C3"/>
    <w:rsid w:val="003817C9"/>
    <w:rsid w:val="00385AD3"/>
    <w:rsid w:val="00387CE2"/>
    <w:rsid w:val="00390976"/>
    <w:rsid w:val="00393009"/>
    <w:rsid w:val="00393FEA"/>
    <w:rsid w:val="00395AC7"/>
    <w:rsid w:val="003A3806"/>
    <w:rsid w:val="003A770C"/>
    <w:rsid w:val="003B0FB2"/>
    <w:rsid w:val="003B54C8"/>
    <w:rsid w:val="003C17FE"/>
    <w:rsid w:val="003C4231"/>
    <w:rsid w:val="003C5202"/>
    <w:rsid w:val="003D008C"/>
    <w:rsid w:val="003D299B"/>
    <w:rsid w:val="003D2A79"/>
    <w:rsid w:val="003D3D8B"/>
    <w:rsid w:val="003D5BCB"/>
    <w:rsid w:val="003E2C2D"/>
    <w:rsid w:val="003E70B1"/>
    <w:rsid w:val="003F02C4"/>
    <w:rsid w:val="003F0EC3"/>
    <w:rsid w:val="003F4AD1"/>
    <w:rsid w:val="003F60B7"/>
    <w:rsid w:val="003F60F3"/>
    <w:rsid w:val="003F6421"/>
    <w:rsid w:val="00401A6A"/>
    <w:rsid w:val="00401B7E"/>
    <w:rsid w:val="00402A04"/>
    <w:rsid w:val="004032D3"/>
    <w:rsid w:val="00404704"/>
    <w:rsid w:val="00406605"/>
    <w:rsid w:val="00412C67"/>
    <w:rsid w:val="00413786"/>
    <w:rsid w:val="004148ED"/>
    <w:rsid w:val="004166F4"/>
    <w:rsid w:val="00416A1D"/>
    <w:rsid w:val="00417E32"/>
    <w:rsid w:val="00421D62"/>
    <w:rsid w:val="0042261F"/>
    <w:rsid w:val="0042419B"/>
    <w:rsid w:val="00425F94"/>
    <w:rsid w:val="004307FD"/>
    <w:rsid w:val="004369AE"/>
    <w:rsid w:val="004409C0"/>
    <w:rsid w:val="004411D7"/>
    <w:rsid w:val="00441656"/>
    <w:rsid w:val="004431FF"/>
    <w:rsid w:val="00446232"/>
    <w:rsid w:val="00447151"/>
    <w:rsid w:val="00450C81"/>
    <w:rsid w:val="00454C4C"/>
    <w:rsid w:val="00457F9C"/>
    <w:rsid w:val="00465FB9"/>
    <w:rsid w:val="00467119"/>
    <w:rsid w:val="00476BAB"/>
    <w:rsid w:val="00480123"/>
    <w:rsid w:val="0048734F"/>
    <w:rsid w:val="00490362"/>
    <w:rsid w:val="00490C0D"/>
    <w:rsid w:val="004915C4"/>
    <w:rsid w:val="004A19B4"/>
    <w:rsid w:val="004A7110"/>
    <w:rsid w:val="004B4AA1"/>
    <w:rsid w:val="004B4F89"/>
    <w:rsid w:val="004C12C4"/>
    <w:rsid w:val="004C13BC"/>
    <w:rsid w:val="004C4575"/>
    <w:rsid w:val="004C5447"/>
    <w:rsid w:val="004C63A1"/>
    <w:rsid w:val="004C7125"/>
    <w:rsid w:val="004C7D25"/>
    <w:rsid w:val="004D33E7"/>
    <w:rsid w:val="004D3522"/>
    <w:rsid w:val="004D3DAD"/>
    <w:rsid w:val="004D4380"/>
    <w:rsid w:val="004D4C32"/>
    <w:rsid w:val="004D62FA"/>
    <w:rsid w:val="004E0FB7"/>
    <w:rsid w:val="004E4B18"/>
    <w:rsid w:val="004E7273"/>
    <w:rsid w:val="004F279D"/>
    <w:rsid w:val="004F2945"/>
    <w:rsid w:val="004F7183"/>
    <w:rsid w:val="00501549"/>
    <w:rsid w:val="00502AF7"/>
    <w:rsid w:val="0050301C"/>
    <w:rsid w:val="005049FC"/>
    <w:rsid w:val="005063D2"/>
    <w:rsid w:val="005077F7"/>
    <w:rsid w:val="00510B5D"/>
    <w:rsid w:val="00512512"/>
    <w:rsid w:val="00513721"/>
    <w:rsid w:val="00513E1C"/>
    <w:rsid w:val="005159DD"/>
    <w:rsid w:val="0052012F"/>
    <w:rsid w:val="00521E36"/>
    <w:rsid w:val="005225F8"/>
    <w:rsid w:val="00531FCA"/>
    <w:rsid w:val="00536017"/>
    <w:rsid w:val="005419AE"/>
    <w:rsid w:val="00543FBA"/>
    <w:rsid w:val="00545D77"/>
    <w:rsid w:val="00546E4C"/>
    <w:rsid w:val="0055195E"/>
    <w:rsid w:val="005531DE"/>
    <w:rsid w:val="00553575"/>
    <w:rsid w:val="00562E44"/>
    <w:rsid w:val="00563670"/>
    <w:rsid w:val="0056585B"/>
    <w:rsid w:val="005665AE"/>
    <w:rsid w:val="0056715A"/>
    <w:rsid w:val="00567AB3"/>
    <w:rsid w:val="0057140C"/>
    <w:rsid w:val="005721C2"/>
    <w:rsid w:val="005750E1"/>
    <w:rsid w:val="00575CB7"/>
    <w:rsid w:val="00575FEE"/>
    <w:rsid w:val="00580602"/>
    <w:rsid w:val="00583C83"/>
    <w:rsid w:val="00584370"/>
    <w:rsid w:val="005905A8"/>
    <w:rsid w:val="00592D39"/>
    <w:rsid w:val="00594ED4"/>
    <w:rsid w:val="00595CD2"/>
    <w:rsid w:val="005A0F20"/>
    <w:rsid w:val="005A13F6"/>
    <w:rsid w:val="005A1569"/>
    <w:rsid w:val="005A1DE4"/>
    <w:rsid w:val="005A3C52"/>
    <w:rsid w:val="005A59CD"/>
    <w:rsid w:val="005B2B25"/>
    <w:rsid w:val="005B57B0"/>
    <w:rsid w:val="005C2CFC"/>
    <w:rsid w:val="005D0951"/>
    <w:rsid w:val="005D556B"/>
    <w:rsid w:val="005D7765"/>
    <w:rsid w:val="005E074F"/>
    <w:rsid w:val="005E5D89"/>
    <w:rsid w:val="005E5F3C"/>
    <w:rsid w:val="005E70B3"/>
    <w:rsid w:val="005F2691"/>
    <w:rsid w:val="005F76A5"/>
    <w:rsid w:val="00603DE1"/>
    <w:rsid w:val="00603E20"/>
    <w:rsid w:val="00606EA3"/>
    <w:rsid w:val="0061214F"/>
    <w:rsid w:val="0061254E"/>
    <w:rsid w:val="00613E24"/>
    <w:rsid w:val="006172E9"/>
    <w:rsid w:val="00622E3F"/>
    <w:rsid w:val="006242B9"/>
    <w:rsid w:val="0062588B"/>
    <w:rsid w:val="0062625E"/>
    <w:rsid w:val="006267C6"/>
    <w:rsid w:val="00626FEC"/>
    <w:rsid w:val="006276DA"/>
    <w:rsid w:val="00631F5D"/>
    <w:rsid w:val="00633E9F"/>
    <w:rsid w:val="006351F2"/>
    <w:rsid w:val="00643559"/>
    <w:rsid w:val="0065308F"/>
    <w:rsid w:val="006533FB"/>
    <w:rsid w:val="00657188"/>
    <w:rsid w:val="00657E7C"/>
    <w:rsid w:val="006642DC"/>
    <w:rsid w:val="006645D9"/>
    <w:rsid w:val="0066489F"/>
    <w:rsid w:val="00665EBD"/>
    <w:rsid w:val="00670670"/>
    <w:rsid w:val="00670F54"/>
    <w:rsid w:val="00675E6B"/>
    <w:rsid w:val="00676604"/>
    <w:rsid w:val="00676F55"/>
    <w:rsid w:val="006800EC"/>
    <w:rsid w:val="00680AF8"/>
    <w:rsid w:val="00685EDD"/>
    <w:rsid w:val="00686772"/>
    <w:rsid w:val="006909C6"/>
    <w:rsid w:val="00692BCD"/>
    <w:rsid w:val="006958D2"/>
    <w:rsid w:val="00696E81"/>
    <w:rsid w:val="006A03FB"/>
    <w:rsid w:val="006A1619"/>
    <w:rsid w:val="006A2538"/>
    <w:rsid w:val="006A36A3"/>
    <w:rsid w:val="006A4032"/>
    <w:rsid w:val="006A7BFE"/>
    <w:rsid w:val="006A7C29"/>
    <w:rsid w:val="006B385D"/>
    <w:rsid w:val="006C20F7"/>
    <w:rsid w:val="006C55C3"/>
    <w:rsid w:val="006C5CAE"/>
    <w:rsid w:val="006C5F30"/>
    <w:rsid w:val="006C77DA"/>
    <w:rsid w:val="006D0C6A"/>
    <w:rsid w:val="006D1B31"/>
    <w:rsid w:val="006D2F90"/>
    <w:rsid w:val="006D3082"/>
    <w:rsid w:val="006D47C8"/>
    <w:rsid w:val="006D4968"/>
    <w:rsid w:val="006E470B"/>
    <w:rsid w:val="006E7871"/>
    <w:rsid w:val="006F64FE"/>
    <w:rsid w:val="0070141A"/>
    <w:rsid w:val="007042E2"/>
    <w:rsid w:val="007047ED"/>
    <w:rsid w:val="00705E68"/>
    <w:rsid w:val="00710978"/>
    <w:rsid w:val="00710C82"/>
    <w:rsid w:val="00712CAA"/>
    <w:rsid w:val="00713856"/>
    <w:rsid w:val="00714AAC"/>
    <w:rsid w:val="00716700"/>
    <w:rsid w:val="0072075D"/>
    <w:rsid w:val="0072391B"/>
    <w:rsid w:val="0072606A"/>
    <w:rsid w:val="007268EB"/>
    <w:rsid w:val="00731188"/>
    <w:rsid w:val="00733917"/>
    <w:rsid w:val="0073464E"/>
    <w:rsid w:val="007349C6"/>
    <w:rsid w:val="00740056"/>
    <w:rsid w:val="00740C1B"/>
    <w:rsid w:val="00741409"/>
    <w:rsid w:val="00742125"/>
    <w:rsid w:val="0074368B"/>
    <w:rsid w:val="00745661"/>
    <w:rsid w:val="00747613"/>
    <w:rsid w:val="00750281"/>
    <w:rsid w:val="00752A14"/>
    <w:rsid w:val="00752F99"/>
    <w:rsid w:val="007546EA"/>
    <w:rsid w:val="0076569D"/>
    <w:rsid w:val="00765E5B"/>
    <w:rsid w:val="007700E6"/>
    <w:rsid w:val="00777541"/>
    <w:rsid w:val="00780EE2"/>
    <w:rsid w:val="00782038"/>
    <w:rsid w:val="007843C0"/>
    <w:rsid w:val="007867B4"/>
    <w:rsid w:val="007868E5"/>
    <w:rsid w:val="0078753D"/>
    <w:rsid w:val="00790B75"/>
    <w:rsid w:val="00792CDD"/>
    <w:rsid w:val="0079410C"/>
    <w:rsid w:val="007954A5"/>
    <w:rsid w:val="00796022"/>
    <w:rsid w:val="007A1E9F"/>
    <w:rsid w:val="007A1EFB"/>
    <w:rsid w:val="007A43B4"/>
    <w:rsid w:val="007A777E"/>
    <w:rsid w:val="007C68ED"/>
    <w:rsid w:val="007D2993"/>
    <w:rsid w:val="007D30F3"/>
    <w:rsid w:val="007D363E"/>
    <w:rsid w:val="007E083A"/>
    <w:rsid w:val="007E17A5"/>
    <w:rsid w:val="007E1F43"/>
    <w:rsid w:val="007E3F9F"/>
    <w:rsid w:val="007E7E2D"/>
    <w:rsid w:val="007E7FAA"/>
    <w:rsid w:val="007F2100"/>
    <w:rsid w:val="007F28A8"/>
    <w:rsid w:val="007F2C59"/>
    <w:rsid w:val="007F362C"/>
    <w:rsid w:val="007F3C5D"/>
    <w:rsid w:val="007F487C"/>
    <w:rsid w:val="00801252"/>
    <w:rsid w:val="00805062"/>
    <w:rsid w:val="00805F16"/>
    <w:rsid w:val="0080722D"/>
    <w:rsid w:val="00812670"/>
    <w:rsid w:val="0081317D"/>
    <w:rsid w:val="0081431C"/>
    <w:rsid w:val="00822BAA"/>
    <w:rsid w:val="00825B42"/>
    <w:rsid w:val="0083171A"/>
    <w:rsid w:val="0083214C"/>
    <w:rsid w:val="00836C18"/>
    <w:rsid w:val="00836C68"/>
    <w:rsid w:val="00844705"/>
    <w:rsid w:val="0084630C"/>
    <w:rsid w:val="008463E9"/>
    <w:rsid w:val="008500A7"/>
    <w:rsid w:val="00850421"/>
    <w:rsid w:val="0085256B"/>
    <w:rsid w:val="00853CB3"/>
    <w:rsid w:val="00856351"/>
    <w:rsid w:val="00861263"/>
    <w:rsid w:val="00861977"/>
    <w:rsid w:val="00862526"/>
    <w:rsid w:val="00863526"/>
    <w:rsid w:val="0086412D"/>
    <w:rsid w:val="00864BDE"/>
    <w:rsid w:val="00865341"/>
    <w:rsid w:val="00865FE7"/>
    <w:rsid w:val="00866B46"/>
    <w:rsid w:val="00871838"/>
    <w:rsid w:val="00873986"/>
    <w:rsid w:val="00874EDA"/>
    <w:rsid w:val="0088303E"/>
    <w:rsid w:val="008845EF"/>
    <w:rsid w:val="00886B91"/>
    <w:rsid w:val="00886C9B"/>
    <w:rsid w:val="008914FF"/>
    <w:rsid w:val="00892885"/>
    <w:rsid w:val="008932A4"/>
    <w:rsid w:val="00893DC9"/>
    <w:rsid w:val="00896B4A"/>
    <w:rsid w:val="008A135D"/>
    <w:rsid w:val="008A4492"/>
    <w:rsid w:val="008A621D"/>
    <w:rsid w:val="008A6BA1"/>
    <w:rsid w:val="008A6D56"/>
    <w:rsid w:val="008B13AD"/>
    <w:rsid w:val="008C2BCA"/>
    <w:rsid w:val="008C3972"/>
    <w:rsid w:val="008C5710"/>
    <w:rsid w:val="008D43D7"/>
    <w:rsid w:val="008D61F6"/>
    <w:rsid w:val="008D71E0"/>
    <w:rsid w:val="008E0FC1"/>
    <w:rsid w:val="008E117F"/>
    <w:rsid w:val="008E7169"/>
    <w:rsid w:val="008F7C60"/>
    <w:rsid w:val="00900837"/>
    <w:rsid w:val="009029E1"/>
    <w:rsid w:val="009035A9"/>
    <w:rsid w:val="009038B4"/>
    <w:rsid w:val="0090503E"/>
    <w:rsid w:val="009071CB"/>
    <w:rsid w:val="009101ED"/>
    <w:rsid w:val="00912416"/>
    <w:rsid w:val="00927FB9"/>
    <w:rsid w:val="00932E37"/>
    <w:rsid w:val="00940567"/>
    <w:rsid w:val="00940F22"/>
    <w:rsid w:val="00941CCF"/>
    <w:rsid w:val="00941E0F"/>
    <w:rsid w:val="0094367E"/>
    <w:rsid w:val="00944BDD"/>
    <w:rsid w:val="00944C3D"/>
    <w:rsid w:val="00944E20"/>
    <w:rsid w:val="00950A67"/>
    <w:rsid w:val="009510D1"/>
    <w:rsid w:val="009522BB"/>
    <w:rsid w:val="009574DE"/>
    <w:rsid w:val="009616C2"/>
    <w:rsid w:val="00962C2D"/>
    <w:rsid w:val="00963FC6"/>
    <w:rsid w:val="00965D29"/>
    <w:rsid w:val="00966F0B"/>
    <w:rsid w:val="00970B46"/>
    <w:rsid w:val="00972CC0"/>
    <w:rsid w:val="00975AE0"/>
    <w:rsid w:val="00976AF8"/>
    <w:rsid w:val="00977032"/>
    <w:rsid w:val="009872C5"/>
    <w:rsid w:val="00987371"/>
    <w:rsid w:val="009945C3"/>
    <w:rsid w:val="009976AC"/>
    <w:rsid w:val="009A172B"/>
    <w:rsid w:val="009A1C60"/>
    <w:rsid w:val="009A1DC1"/>
    <w:rsid w:val="009A2A8C"/>
    <w:rsid w:val="009A3266"/>
    <w:rsid w:val="009A49B8"/>
    <w:rsid w:val="009A6639"/>
    <w:rsid w:val="009A6D94"/>
    <w:rsid w:val="009B028C"/>
    <w:rsid w:val="009C039F"/>
    <w:rsid w:val="009C5F1C"/>
    <w:rsid w:val="009C5F4F"/>
    <w:rsid w:val="009D27DC"/>
    <w:rsid w:val="009D37FA"/>
    <w:rsid w:val="009D5A99"/>
    <w:rsid w:val="009D5D4D"/>
    <w:rsid w:val="009E52AF"/>
    <w:rsid w:val="009E5C6D"/>
    <w:rsid w:val="009E6756"/>
    <w:rsid w:val="009E6BB9"/>
    <w:rsid w:val="009E7367"/>
    <w:rsid w:val="009F1EA7"/>
    <w:rsid w:val="009F5D25"/>
    <w:rsid w:val="00A00880"/>
    <w:rsid w:val="00A01BF6"/>
    <w:rsid w:val="00A03056"/>
    <w:rsid w:val="00A03E3B"/>
    <w:rsid w:val="00A10279"/>
    <w:rsid w:val="00A10E45"/>
    <w:rsid w:val="00A122CA"/>
    <w:rsid w:val="00A1272F"/>
    <w:rsid w:val="00A16A76"/>
    <w:rsid w:val="00A17186"/>
    <w:rsid w:val="00A20BF6"/>
    <w:rsid w:val="00A21C56"/>
    <w:rsid w:val="00A23B44"/>
    <w:rsid w:val="00A24BC2"/>
    <w:rsid w:val="00A24FA3"/>
    <w:rsid w:val="00A25721"/>
    <w:rsid w:val="00A301D8"/>
    <w:rsid w:val="00A30DBA"/>
    <w:rsid w:val="00A414F1"/>
    <w:rsid w:val="00A50C4B"/>
    <w:rsid w:val="00A50F50"/>
    <w:rsid w:val="00A5172F"/>
    <w:rsid w:val="00A51927"/>
    <w:rsid w:val="00A54C9C"/>
    <w:rsid w:val="00A57339"/>
    <w:rsid w:val="00A60E79"/>
    <w:rsid w:val="00A61541"/>
    <w:rsid w:val="00A62BA0"/>
    <w:rsid w:val="00A641BC"/>
    <w:rsid w:val="00A649D1"/>
    <w:rsid w:val="00A64AC2"/>
    <w:rsid w:val="00A64F0A"/>
    <w:rsid w:val="00A66B04"/>
    <w:rsid w:val="00A70930"/>
    <w:rsid w:val="00A70FED"/>
    <w:rsid w:val="00A74443"/>
    <w:rsid w:val="00A74F97"/>
    <w:rsid w:val="00A75A7D"/>
    <w:rsid w:val="00A76DE3"/>
    <w:rsid w:val="00A8005D"/>
    <w:rsid w:val="00A84CE8"/>
    <w:rsid w:val="00A9102B"/>
    <w:rsid w:val="00A91471"/>
    <w:rsid w:val="00A9372C"/>
    <w:rsid w:val="00A94200"/>
    <w:rsid w:val="00A951F0"/>
    <w:rsid w:val="00AA046E"/>
    <w:rsid w:val="00AA2857"/>
    <w:rsid w:val="00AA4056"/>
    <w:rsid w:val="00AA56E9"/>
    <w:rsid w:val="00AA6A16"/>
    <w:rsid w:val="00AB143E"/>
    <w:rsid w:val="00AB2E93"/>
    <w:rsid w:val="00AB724B"/>
    <w:rsid w:val="00AB75AA"/>
    <w:rsid w:val="00AC330C"/>
    <w:rsid w:val="00AC3DCD"/>
    <w:rsid w:val="00AC67C3"/>
    <w:rsid w:val="00AC685E"/>
    <w:rsid w:val="00AD0603"/>
    <w:rsid w:val="00AD2308"/>
    <w:rsid w:val="00AD25EC"/>
    <w:rsid w:val="00AD2BE3"/>
    <w:rsid w:val="00AD5B53"/>
    <w:rsid w:val="00AD7844"/>
    <w:rsid w:val="00AE2124"/>
    <w:rsid w:val="00AE334E"/>
    <w:rsid w:val="00AE3687"/>
    <w:rsid w:val="00AE3D3F"/>
    <w:rsid w:val="00AE4650"/>
    <w:rsid w:val="00AF1C5C"/>
    <w:rsid w:val="00AF4085"/>
    <w:rsid w:val="00AF4DC6"/>
    <w:rsid w:val="00B002E5"/>
    <w:rsid w:val="00B01ADB"/>
    <w:rsid w:val="00B01EDC"/>
    <w:rsid w:val="00B02F7C"/>
    <w:rsid w:val="00B05E35"/>
    <w:rsid w:val="00B0719E"/>
    <w:rsid w:val="00B10A8C"/>
    <w:rsid w:val="00B10EF8"/>
    <w:rsid w:val="00B12C6A"/>
    <w:rsid w:val="00B133CB"/>
    <w:rsid w:val="00B15519"/>
    <w:rsid w:val="00B172D3"/>
    <w:rsid w:val="00B17A28"/>
    <w:rsid w:val="00B17A3E"/>
    <w:rsid w:val="00B20AE6"/>
    <w:rsid w:val="00B30312"/>
    <w:rsid w:val="00B325ED"/>
    <w:rsid w:val="00B326EA"/>
    <w:rsid w:val="00B343F8"/>
    <w:rsid w:val="00B34E7D"/>
    <w:rsid w:val="00B37A34"/>
    <w:rsid w:val="00B37DD0"/>
    <w:rsid w:val="00B40B81"/>
    <w:rsid w:val="00B41306"/>
    <w:rsid w:val="00B429B6"/>
    <w:rsid w:val="00B50C1D"/>
    <w:rsid w:val="00B51B4E"/>
    <w:rsid w:val="00B52943"/>
    <w:rsid w:val="00B55726"/>
    <w:rsid w:val="00B558CE"/>
    <w:rsid w:val="00B560A0"/>
    <w:rsid w:val="00B5637F"/>
    <w:rsid w:val="00B65B85"/>
    <w:rsid w:val="00B6686B"/>
    <w:rsid w:val="00B72DC3"/>
    <w:rsid w:val="00B743D7"/>
    <w:rsid w:val="00B777F9"/>
    <w:rsid w:val="00B80A23"/>
    <w:rsid w:val="00B822FA"/>
    <w:rsid w:val="00B8393F"/>
    <w:rsid w:val="00B83EE4"/>
    <w:rsid w:val="00B84B68"/>
    <w:rsid w:val="00B850BB"/>
    <w:rsid w:val="00B92408"/>
    <w:rsid w:val="00B929C5"/>
    <w:rsid w:val="00B948C2"/>
    <w:rsid w:val="00B958AD"/>
    <w:rsid w:val="00B9668B"/>
    <w:rsid w:val="00BA0CEB"/>
    <w:rsid w:val="00BA1487"/>
    <w:rsid w:val="00BA2231"/>
    <w:rsid w:val="00BA2703"/>
    <w:rsid w:val="00BA5CD6"/>
    <w:rsid w:val="00BB0304"/>
    <w:rsid w:val="00BB050B"/>
    <w:rsid w:val="00BB116B"/>
    <w:rsid w:val="00BB25B3"/>
    <w:rsid w:val="00BB76E0"/>
    <w:rsid w:val="00BB7F35"/>
    <w:rsid w:val="00BC12C2"/>
    <w:rsid w:val="00BC59FD"/>
    <w:rsid w:val="00BD1AD5"/>
    <w:rsid w:val="00BD1E07"/>
    <w:rsid w:val="00BD62F4"/>
    <w:rsid w:val="00BE3187"/>
    <w:rsid w:val="00BE42D5"/>
    <w:rsid w:val="00BE58E3"/>
    <w:rsid w:val="00BE7679"/>
    <w:rsid w:val="00BF36B2"/>
    <w:rsid w:val="00BF4B20"/>
    <w:rsid w:val="00BF4D2E"/>
    <w:rsid w:val="00BF5188"/>
    <w:rsid w:val="00BF542E"/>
    <w:rsid w:val="00C027B6"/>
    <w:rsid w:val="00C03524"/>
    <w:rsid w:val="00C03A83"/>
    <w:rsid w:val="00C049B7"/>
    <w:rsid w:val="00C062B3"/>
    <w:rsid w:val="00C10018"/>
    <w:rsid w:val="00C13A3A"/>
    <w:rsid w:val="00C13FB8"/>
    <w:rsid w:val="00C140A7"/>
    <w:rsid w:val="00C15C9B"/>
    <w:rsid w:val="00C16993"/>
    <w:rsid w:val="00C17DFE"/>
    <w:rsid w:val="00C2021E"/>
    <w:rsid w:val="00C21420"/>
    <w:rsid w:val="00C21D5C"/>
    <w:rsid w:val="00C22502"/>
    <w:rsid w:val="00C24D73"/>
    <w:rsid w:val="00C24EFE"/>
    <w:rsid w:val="00C26527"/>
    <w:rsid w:val="00C27B18"/>
    <w:rsid w:val="00C30EAF"/>
    <w:rsid w:val="00C33108"/>
    <w:rsid w:val="00C344C9"/>
    <w:rsid w:val="00C407A8"/>
    <w:rsid w:val="00C40D1A"/>
    <w:rsid w:val="00C417B3"/>
    <w:rsid w:val="00C44323"/>
    <w:rsid w:val="00C453AC"/>
    <w:rsid w:val="00C4611D"/>
    <w:rsid w:val="00C4794B"/>
    <w:rsid w:val="00C47C9A"/>
    <w:rsid w:val="00C5053D"/>
    <w:rsid w:val="00C51CED"/>
    <w:rsid w:val="00C53BD1"/>
    <w:rsid w:val="00C62DDE"/>
    <w:rsid w:val="00C6450E"/>
    <w:rsid w:val="00C659FE"/>
    <w:rsid w:val="00C710F3"/>
    <w:rsid w:val="00C72804"/>
    <w:rsid w:val="00C72B6F"/>
    <w:rsid w:val="00C73EF1"/>
    <w:rsid w:val="00C7667A"/>
    <w:rsid w:val="00C77390"/>
    <w:rsid w:val="00C77CE2"/>
    <w:rsid w:val="00C84962"/>
    <w:rsid w:val="00C84B25"/>
    <w:rsid w:val="00C84F0D"/>
    <w:rsid w:val="00C8713C"/>
    <w:rsid w:val="00C8735D"/>
    <w:rsid w:val="00C87E85"/>
    <w:rsid w:val="00C938EF"/>
    <w:rsid w:val="00C94E56"/>
    <w:rsid w:val="00C95856"/>
    <w:rsid w:val="00C96689"/>
    <w:rsid w:val="00CA2438"/>
    <w:rsid w:val="00CB0706"/>
    <w:rsid w:val="00CB076E"/>
    <w:rsid w:val="00CB1269"/>
    <w:rsid w:val="00CB17AD"/>
    <w:rsid w:val="00CB1A91"/>
    <w:rsid w:val="00CB1D71"/>
    <w:rsid w:val="00CB2CEF"/>
    <w:rsid w:val="00CB7477"/>
    <w:rsid w:val="00CB7E84"/>
    <w:rsid w:val="00CC08CA"/>
    <w:rsid w:val="00CC1DBA"/>
    <w:rsid w:val="00CC2265"/>
    <w:rsid w:val="00CC413B"/>
    <w:rsid w:val="00CC41BC"/>
    <w:rsid w:val="00CC474A"/>
    <w:rsid w:val="00CC6598"/>
    <w:rsid w:val="00CD0A8C"/>
    <w:rsid w:val="00CD2F0F"/>
    <w:rsid w:val="00CD32EB"/>
    <w:rsid w:val="00CD58C5"/>
    <w:rsid w:val="00CE1FB6"/>
    <w:rsid w:val="00CE23B1"/>
    <w:rsid w:val="00CE6643"/>
    <w:rsid w:val="00CF0473"/>
    <w:rsid w:val="00CF551F"/>
    <w:rsid w:val="00D01F99"/>
    <w:rsid w:val="00D026BB"/>
    <w:rsid w:val="00D032AA"/>
    <w:rsid w:val="00D04EF6"/>
    <w:rsid w:val="00D066E1"/>
    <w:rsid w:val="00D10CAC"/>
    <w:rsid w:val="00D13CCF"/>
    <w:rsid w:val="00D13FF5"/>
    <w:rsid w:val="00D14575"/>
    <w:rsid w:val="00D1495B"/>
    <w:rsid w:val="00D14A47"/>
    <w:rsid w:val="00D166E4"/>
    <w:rsid w:val="00D17CDC"/>
    <w:rsid w:val="00D17E21"/>
    <w:rsid w:val="00D22034"/>
    <w:rsid w:val="00D24934"/>
    <w:rsid w:val="00D252BC"/>
    <w:rsid w:val="00D26C77"/>
    <w:rsid w:val="00D3020A"/>
    <w:rsid w:val="00D3436A"/>
    <w:rsid w:val="00D355AC"/>
    <w:rsid w:val="00D36605"/>
    <w:rsid w:val="00D369AA"/>
    <w:rsid w:val="00D41012"/>
    <w:rsid w:val="00D41C18"/>
    <w:rsid w:val="00D420C0"/>
    <w:rsid w:val="00D44478"/>
    <w:rsid w:val="00D47289"/>
    <w:rsid w:val="00D4760F"/>
    <w:rsid w:val="00D547E4"/>
    <w:rsid w:val="00D61030"/>
    <w:rsid w:val="00D6151D"/>
    <w:rsid w:val="00D6286E"/>
    <w:rsid w:val="00D629FA"/>
    <w:rsid w:val="00D6324E"/>
    <w:rsid w:val="00D63AD1"/>
    <w:rsid w:val="00D65388"/>
    <w:rsid w:val="00D6739A"/>
    <w:rsid w:val="00D729AC"/>
    <w:rsid w:val="00D73B92"/>
    <w:rsid w:val="00D76B98"/>
    <w:rsid w:val="00D77D0A"/>
    <w:rsid w:val="00D801AE"/>
    <w:rsid w:val="00D80A44"/>
    <w:rsid w:val="00D83459"/>
    <w:rsid w:val="00D839E2"/>
    <w:rsid w:val="00D90D42"/>
    <w:rsid w:val="00D914E5"/>
    <w:rsid w:val="00D92280"/>
    <w:rsid w:val="00DA1211"/>
    <w:rsid w:val="00DA243A"/>
    <w:rsid w:val="00DB5EE4"/>
    <w:rsid w:val="00DB72C9"/>
    <w:rsid w:val="00DC12FE"/>
    <w:rsid w:val="00DC474D"/>
    <w:rsid w:val="00DC577E"/>
    <w:rsid w:val="00DC62B5"/>
    <w:rsid w:val="00DD0C11"/>
    <w:rsid w:val="00DD37BE"/>
    <w:rsid w:val="00DD37F5"/>
    <w:rsid w:val="00DD430C"/>
    <w:rsid w:val="00DD5BE4"/>
    <w:rsid w:val="00DD753D"/>
    <w:rsid w:val="00DE1149"/>
    <w:rsid w:val="00DE16A0"/>
    <w:rsid w:val="00DE23EC"/>
    <w:rsid w:val="00DE351D"/>
    <w:rsid w:val="00DE3A99"/>
    <w:rsid w:val="00DE618B"/>
    <w:rsid w:val="00DF3DC7"/>
    <w:rsid w:val="00DF569B"/>
    <w:rsid w:val="00DF73F7"/>
    <w:rsid w:val="00E01C7E"/>
    <w:rsid w:val="00E0231C"/>
    <w:rsid w:val="00E02C1D"/>
    <w:rsid w:val="00E040E3"/>
    <w:rsid w:val="00E0465B"/>
    <w:rsid w:val="00E0668F"/>
    <w:rsid w:val="00E071C5"/>
    <w:rsid w:val="00E07470"/>
    <w:rsid w:val="00E11125"/>
    <w:rsid w:val="00E12884"/>
    <w:rsid w:val="00E13239"/>
    <w:rsid w:val="00E13324"/>
    <w:rsid w:val="00E169BC"/>
    <w:rsid w:val="00E23BD0"/>
    <w:rsid w:val="00E30552"/>
    <w:rsid w:val="00E31186"/>
    <w:rsid w:val="00E35287"/>
    <w:rsid w:val="00E35EAE"/>
    <w:rsid w:val="00E4110D"/>
    <w:rsid w:val="00E4792A"/>
    <w:rsid w:val="00E504BE"/>
    <w:rsid w:val="00E51184"/>
    <w:rsid w:val="00E51D42"/>
    <w:rsid w:val="00E51F09"/>
    <w:rsid w:val="00E52A71"/>
    <w:rsid w:val="00E54552"/>
    <w:rsid w:val="00E5649D"/>
    <w:rsid w:val="00E57339"/>
    <w:rsid w:val="00E64597"/>
    <w:rsid w:val="00E705BF"/>
    <w:rsid w:val="00E72B5A"/>
    <w:rsid w:val="00E76866"/>
    <w:rsid w:val="00E76FFA"/>
    <w:rsid w:val="00E83308"/>
    <w:rsid w:val="00E86862"/>
    <w:rsid w:val="00E95530"/>
    <w:rsid w:val="00E96171"/>
    <w:rsid w:val="00EA060E"/>
    <w:rsid w:val="00EA1D72"/>
    <w:rsid w:val="00EA2BD8"/>
    <w:rsid w:val="00EA6108"/>
    <w:rsid w:val="00EA78B5"/>
    <w:rsid w:val="00EB0A2D"/>
    <w:rsid w:val="00EB1316"/>
    <w:rsid w:val="00EB3FC2"/>
    <w:rsid w:val="00EB4B39"/>
    <w:rsid w:val="00EC3403"/>
    <w:rsid w:val="00EC3769"/>
    <w:rsid w:val="00EC457A"/>
    <w:rsid w:val="00EC560D"/>
    <w:rsid w:val="00EC60E2"/>
    <w:rsid w:val="00EC7B1C"/>
    <w:rsid w:val="00EC7D06"/>
    <w:rsid w:val="00ED17A0"/>
    <w:rsid w:val="00ED2EC6"/>
    <w:rsid w:val="00ED44C6"/>
    <w:rsid w:val="00ED492C"/>
    <w:rsid w:val="00ED4DB1"/>
    <w:rsid w:val="00ED5939"/>
    <w:rsid w:val="00ED63D8"/>
    <w:rsid w:val="00ED6EB0"/>
    <w:rsid w:val="00ED7350"/>
    <w:rsid w:val="00EE1F6D"/>
    <w:rsid w:val="00EE2B6F"/>
    <w:rsid w:val="00EE4B7D"/>
    <w:rsid w:val="00EE52BA"/>
    <w:rsid w:val="00EE52D0"/>
    <w:rsid w:val="00EF0F73"/>
    <w:rsid w:val="00EF208B"/>
    <w:rsid w:val="00EF280C"/>
    <w:rsid w:val="00EF2C0A"/>
    <w:rsid w:val="00EF4961"/>
    <w:rsid w:val="00EF51D2"/>
    <w:rsid w:val="00EF5D33"/>
    <w:rsid w:val="00F00148"/>
    <w:rsid w:val="00F03C5F"/>
    <w:rsid w:val="00F06FF7"/>
    <w:rsid w:val="00F070A9"/>
    <w:rsid w:val="00F10082"/>
    <w:rsid w:val="00F1052C"/>
    <w:rsid w:val="00F1161D"/>
    <w:rsid w:val="00F12144"/>
    <w:rsid w:val="00F1374A"/>
    <w:rsid w:val="00F1762E"/>
    <w:rsid w:val="00F203A4"/>
    <w:rsid w:val="00F2223A"/>
    <w:rsid w:val="00F23676"/>
    <w:rsid w:val="00F24B63"/>
    <w:rsid w:val="00F31816"/>
    <w:rsid w:val="00F33959"/>
    <w:rsid w:val="00F33DCE"/>
    <w:rsid w:val="00F43DC8"/>
    <w:rsid w:val="00F44CC8"/>
    <w:rsid w:val="00F44DD2"/>
    <w:rsid w:val="00F458DD"/>
    <w:rsid w:val="00F55180"/>
    <w:rsid w:val="00F62269"/>
    <w:rsid w:val="00F62B4E"/>
    <w:rsid w:val="00F63C22"/>
    <w:rsid w:val="00F642D7"/>
    <w:rsid w:val="00F64447"/>
    <w:rsid w:val="00F65B9E"/>
    <w:rsid w:val="00F72B43"/>
    <w:rsid w:val="00F74D4A"/>
    <w:rsid w:val="00F75AA3"/>
    <w:rsid w:val="00F806B5"/>
    <w:rsid w:val="00F915E0"/>
    <w:rsid w:val="00F958E2"/>
    <w:rsid w:val="00F95BB0"/>
    <w:rsid w:val="00F96C4F"/>
    <w:rsid w:val="00FA275F"/>
    <w:rsid w:val="00FA2AF9"/>
    <w:rsid w:val="00FA701B"/>
    <w:rsid w:val="00FA7674"/>
    <w:rsid w:val="00FA7E1E"/>
    <w:rsid w:val="00FB0940"/>
    <w:rsid w:val="00FB3088"/>
    <w:rsid w:val="00FB3AF9"/>
    <w:rsid w:val="00FB4025"/>
    <w:rsid w:val="00FB655C"/>
    <w:rsid w:val="00FB6B14"/>
    <w:rsid w:val="00FB6BA5"/>
    <w:rsid w:val="00FC2302"/>
    <w:rsid w:val="00FC41E6"/>
    <w:rsid w:val="00FD70F4"/>
    <w:rsid w:val="00FD78B3"/>
    <w:rsid w:val="00FE072B"/>
    <w:rsid w:val="00FE12C5"/>
    <w:rsid w:val="00FE1C17"/>
    <w:rsid w:val="00FE2597"/>
    <w:rsid w:val="00FE39BF"/>
    <w:rsid w:val="00FE4ED7"/>
    <w:rsid w:val="00FE5325"/>
    <w:rsid w:val="00FE6B89"/>
    <w:rsid w:val="00FE6FCA"/>
    <w:rsid w:val="00FF4C3C"/>
    <w:rsid w:val="00FF4EEA"/>
    <w:rsid w:val="00FF712C"/>
    <w:rsid w:val="00FF7C1B"/>
    <w:rsid w:val="0DB25145"/>
    <w:rsid w:val="13550878"/>
    <w:rsid w:val="148535B0"/>
    <w:rsid w:val="1661146C"/>
    <w:rsid w:val="19F82C1F"/>
    <w:rsid w:val="1D2761F9"/>
    <w:rsid w:val="1D3D23F4"/>
    <w:rsid w:val="1E046334"/>
    <w:rsid w:val="23014CBD"/>
    <w:rsid w:val="2A771AE5"/>
    <w:rsid w:val="2B726367"/>
    <w:rsid w:val="2BA3160E"/>
    <w:rsid w:val="2BB75515"/>
    <w:rsid w:val="2D5E39C8"/>
    <w:rsid w:val="2EE05675"/>
    <w:rsid w:val="31FE1220"/>
    <w:rsid w:val="32541E63"/>
    <w:rsid w:val="3A49704D"/>
    <w:rsid w:val="3D8F0A27"/>
    <w:rsid w:val="3DF94300"/>
    <w:rsid w:val="3FF40F91"/>
    <w:rsid w:val="43FC7392"/>
    <w:rsid w:val="44893CAC"/>
    <w:rsid w:val="45833EAD"/>
    <w:rsid w:val="476A7F08"/>
    <w:rsid w:val="48F23FEB"/>
    <w:rsid w:val="4C6F3897"/>
    <w:rsid w:val="4F1D7B32"/>
    <w:rsid w:val="4F524EE0"/>
    <w:rsid w:val="4F603308"/>
    <w:rsid w:val="4F7D2B28"/>
    <w:rsid w:val="52BC244B"/>
    <w:rsid w:val="569E0F98"/>
    <w:rsid w:val="56A160B4"/>
    <w:rsid w:val="5A746CFE"/>
    <w:rsid w:val="5FE04A2D"/>
    <w:rsid w:val="610A19F2"/>
    <w:rsid w:val="6497379B"/>
    <w:rsid w:val="6524374F"/>
    <w:rsid w:val="66A564C6"/>
    <w:rsid w:val="67BB067A"/>
    <w:rsid w:val="6AE021C4"/>
    <w:rsid w:val="6CF043B7"/>
    <w:rsid w:val="708B79FF"/>
    <w:rsid w:val="71E300A6"/>
    <w:rsid w:val="71EB7B65"/>
    <w:rsid w:val="7275500B"/>
    <w:rsid w:val="78304CDA"/>
    <w:rsid w:val="7A144E54"/>
    <w:rsid w:val="7AEB0B27"/>
    <w:rsid w:val="7B794B96"/>
    <w:rsid w:val="7CDA2079"/>
    <w:rsid w:val="7D5913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unhideWhenUsed="0" w:uiPriority="0" w:semiHidden="0" w:name="Normal"/>
    <w:lsdException w:unhideWhenUsed="0" w:uiPriority="1"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uiPriority="9" w:name="heading 6"/>
    <w:lsdException w:qFormat="1" w:uiPriority="9" w:name="heading 7"/>
    <w:lsdException w:qFormat="1" w:uiPriority="9" w:name="heading 8"/>
    <w:lsdException w:qFormat="1" w:uiPriority="9" w:name="heading 9"/>
    <w:lsdException w:qFormat="1" w:uiPriority="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nhideWhenUsed="0" w:uiPriority="0" w:semiHidden="0" w:name="annotation text"/>
    <w:lsdException w:qFormat="1" w:uiPriority="0" w:semiHidden="0" w:name="header"/>
    <w:lsdException w:qFormat="1" w:uiPriority="0" w:semiHidden="0" w:name="footer"/>
    <w:lsdException w:uiPriority="99" w:name="index heading"/>
    <w:lsdException w:qFormat="1" w:uiPriority="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0" w:name="page number"/>
    <w:lsdException w:uiPriority="99" w:name="endnote reference"/>
    <w:lsdException w:uiPriority="99" w:name="endnote text"/>
    <w:lsdException w:uiPriority="99" w:name="table of authorities"/>
    <w:lsdException w:qFormat="1" w:uiPriority="0" w:name="macro"/>
    <w:lsdException w:uiPriority="99" w:name="toa heading"/>
    <w:lsdException w:uiPriority="99" w:name="List"/>
    <w:lsdException w:uiPriority="99" w:name="List Bullet"/>
    <w:lsdException w:uiPriority="99" w:name="List Number"/>
    <w:lsdException w:qFormat="1" w:uiPriority="0" w:name="List 2"/>
    <w:lsdException w:uiPriority="99" w:name="List 3"/>
    <w:lsdException w:uiPriority="99" w:name="List 4"/>
    <w:lsdException w:uiPriority="99" w:name="List 5"/>
    <w:lsdException w:qFormat="1" w:uiPriority="0"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qFormat="1" w:unhideWhenUsed="0" w:uiPriority="0" w:semiHidden="0" w:name="Body Text"/>
    <w:lsdException w:qFormat="1" w:uiPriority="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0" w:name="Date"/>
    <w:lsdException w:uiPriority="99" w:name="Body Text First Indent"/>
    <w:lsdException w:qFormat="1" w:uiPriority="99" w:name="Body Text First Indent 2"/>
    <w:lsdException w:uiPriority="99" w:name="Note Heading"/>
    <w:lsdException w:qFormat="1" w:unhideWhenUsed="0" w:uiPriority="0" w:semiHidden="0" w:name="Body Text 2"/>
    <w:lsdException w:qFormat="1" w:uiPriority="0" w:name="Body Text 3"/>
    <w:lsdException w:qFormat="1" w:unhideWhenUsed="0" w:uiPriority="0" w:semiHidden="0" w:name="Body Text Indent 2"/>
    <w:lsdException w:qFormat="1" w:uiPriority="0" w:semiHidden="0" w:name="Body Text Indent 3"/>
    <w:lsdException w:qFormat="1" w:unhideWhenUsed="0" w:uiPriority="0" w:semiHidden="0" w:name="Block Text"/>
    <w:lsdException w:qFormat="1" w:uiPriority="99" w:name="Hyperlink"/>
    <w:lsdException w:uiPriority="99" w:name="FollowedHyperlink"/>
    <w:lsdException w:qFormat="1" w:unhideWhenUsed="0" w:uiPriority="22" w:semiHidden="0" w:name="Strong"/>
    <w:lsdException w:unhideWhenUsed="0" w:uiPriority="0" w:semiHidden="0" w:name="Emphasis"/>
    <w:lsdException w:qFormat="1" w:uiPriority="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iPriority w:val="0"/>
    <w:pPr>
      <w:widowControl w:val="0"/>
      <w:jc w:val="both"/>
    </w:pPr>
    <w:rPr>
      <w:rFonts w:ascii="宋体" w:hAnsi="宋体" w:eastAsia="宋体" w:cs="Times New Roman"/>
      <w:kern w:val="36"/>
      <w:sz w:val="24"/>
      <w:lang w:val="en-US" w:eastAsia="zh-CN" w:bidi="ar-SA"/>
    </w:rPr>
  </w:style>
  <w:style w:type="paragraph" w:styleId="3">
    <w:name w:val="heading 1"/>
    <w:basedOn w:val="1"/>
    <w:next w:val="1"/>
    <w:link w:val="34"/>
    <w:uiPriority w:val="1"/>
    <w:pPr>
      <w:keepNext/>
      <w:keepLines/>
      <w:spacing w:before="340" w:after="330" w:line="578" w:lineRule="auto"/>
      <w:outlineLvl w:val="0"/>
    </w:pPr>
    <w:rPr>
      <w:b/>
      <w:bCs/>
      <w:kern w:val="44"/>
      <w:sz w:val="44"/>
      <w:szCs w:val="44"/>
    </w:rPr>
  </w:style>
  <w:style w:type="paragraph" w:styleId="4">
    <w:name w:val="heading 2"/>
    <w:basedOn w:val="3"/>
    <w:next w:val="1"/>
    <w:link w:val="35"/>
    <w:qFormat/>
    <w:uiPriority w:val="0"/>
    <w:pPr>
      <w:spacing w:before="260" w:after="260" w:line="415" w:lineRule="auto"/>
      <w:outlineLvl w:val="1"/>
    </w:pPr>
    <w:rPr>
      <w:rFonts w:ascii="Arial" w:hAnsi="Arial" w:eastAsia="黑体"/>
      <w:sz w:val="32"/>
      <w:szCs w:val="32"/>
    </w:rPr>
  </w:style>
  <w:style w:type="paragraph" w:styleId="5">
    <w:name w:val="heading 3"/>
    <w:basedOn w:val="1"/>
    <w:next w:val="1"/>
    <w:link w:val="36"/>
    <w:qFormat/>
    <w:uiPriority w:val="0"/>
    <w:pPr>
      <w:keepNext/>
      <w:keepLines/>
      <w:spacing w:before="260" w:after="260" w:line="415" w:lineRule="auto"/>
      <w:outlineLvl w:val="2"/>
    </w:pPr>
    <w:rPr>
      <w:rFonts w:ascii="Times New Roman" w:hAnsi="Times New Roman"/>
      <w:b/>
      <w:bCs/>
      <w:kern w:val="2"/>
      <w:sz w:val="32"/>
      <w:szCs w:val="32"/>
    </w:rPr>
  </w:style>
  <w:style w:type="paragraph" w:styleId="6">
    <w:name w:val="heading 4"/>
    <w:basedOn w:val="1"/>
    <w:next w:val="1"/>
    <w:link w:val="37"/>
    <w:qFormat/>
    <w:uiPriority w:val="0"/>
    <w:pPr>
      <w:keepNext/>
      <w:keepLines/>
      <w:spacing w:before="280" w:after="290" w:line="376" w:lineRule="auto"/>
      <w:ind w:left="810" w:hanging="864"/>
      <w:outlineLvl w:val="3"/>
    </w:pPr>
    <w:rPr>
      <w:rFonts w:ascii="Arial" w:hAnsi="Arial" w:eastAsia="黑体"/>
      <w:b/>
      <w:bCs/>
      <w:sz w:val="28"/>
      <w:szCs w:val="28"/>
    </w:rPr>
  </w:style>
  <w:style w:type="paragraph" w:styleId="7">
    <w:name w:val="heading 5"/>
    <w:basedOn w:val="1"/>
    <w:next w:val="1"/>
    <w:link w:val="38"/>
    <w:qFormat/>
    <w:uiPriority w:val="0"/>
    <w:pPr>
      <w:keepNext/>
      <w:keepLines/>
      <w:spacing w:before="280" w:after="290" w:line="376" w:lineRule="auto"/>
      <w:ind w:left="954" w:hanging="1008"/>
      <w:outlineLvl w:val="4"/>
    </w:pPr>
    <w:rPr>
      <w:b/>
      <w:bCs/>
      <w:sz w:val="28"/>
      <w:szCs w:val="28"/>
    </w:rPr>
  </w:style>
  <w:style w:type="character" w:default="1" w:styleId="27">
    <w:name w:val="Default Paragraph Font"/>
    <w:semiHidden/>
    <w:unhideWhenUsed/>
    <w:uiPriority w:val="1"/>
  </w:style>
  <w:style w:type="table" w:default="1" w:styleId="30">
    <w:name w:val="Normal Table"/>
    <w:semiHidden/>
    <w:unhideWhenUsed/>
    <w:qFormat/>
    <w:uiPriority w:val="99"/>
    <w:tblPr>
      <w:tblLayout w:type="fixed"/>
      <w:tblCellMar>
        <w:top w:w="0" w:type="dxa"/>
        <w:left w:w="108" w:type="dxa"/>
        <w:bottom w:w="0" w:type="dxa"/>
        <w:right w:w="108" w:type="dxa"/>
      </w:tblCellMar>
    </w:tblPr>
  </w:style>
  <w:style w:type="paragraph" w:styleId="2">
    <w:name w:val="Block Text"/>
    <w:basedOn w:val="1"/>
    <w:qFormat/>
    <w:uiPriority w:val="0"/>
    <w:pPr>
      <w:spacing w:line="460" w:lineRule="atLeast"/>
      <w:ind w:left="108" w:right="170" w:firstLine="499"/>
    </w:pPr>
  </w:style>
  <w:style w:type="paragraph" w:styleId="8">
    <w:name w:val="Normal Indent"/>
    <w:basedOn w:val="1"/>
    <w:next w:val="6"/>
    <w:link w:val="52"/>
    <w:qFormat/>
    <w:uiPriority w:val="0"/>
    <w:pPr>
      <w:spacing w:line="440" w:lineRule="exact"/>
      <w:ind w:firstLine="420" w:firstLineChars="200"/>
    </w:pPr>
    <w:rPr>
      <w:rFonts w:asciiTheme="minorHAnsi" w:hAnsiTheme="minorHAnsi" w:cstheme="minorBidi"/>
      <w:kern w:val="2"/>
      <w:szCs w:val="24"/>
    </w:rPr>
  </w:style>
  <w:style w:type="paragraph" w:styleId="9">
    <w:name w:val="annotation text"/>
    <w:basedOn w:val="1"/>
    <w:qFormat/>
    <w:uiPriority w:val="0"/>
    <w:pPr>
      <w:jc w:val="left"/>
    </w:pPr>
  </w:style>
  <w:style w:type="paragraph" w:styleId="10">
    <w:name w:val="Body Text"/>
    <w:basedOn w:val="1"/>
    <w:link w:val="51"/>
    <w:qFormat/>
    <w:uiPriority w:val="0"/>
    <w:pPr>
      <w:spacing w:line="440" w:lineRule="exact"/>
    </w:pPr>
    <w:rPr>
      <w:rFonts w:ascii="Times New Roman" w:hAnsi="Times New Roman"/>
      <w:kern w:val="2"/>
      <w:sz w:val="28"/>
    </w:rPr>
  </w:style>
  <w:style w:type="paragraph" w:styleId="11">
    <w:name w:val="Body Text Indent"/>
    <w:basedOn w:val="1"/>
    <w:next w:val="12"/>
    <w:link w:val="60"/>
    <w:semiHidden/>
    <w:unhideWhenUsed/>
    <w:qFormat/>
    <w:uiPriority w:val="0"/>
    <w:pPr>
      <w:spacing w:after="120"/>
      <w:ind w:left="420" w:leftChars="200"/>
    </w:pPr>
  </w:style>
  <w:style w:type="paragraph" w:customStyle="1" w:styleId="12">
    <w:name w:val="样式 正文文本缩进 + 行距: 1.5 倍行距"/>
    <w:basedOn w:val="11"/>
    <w:qFormat/>
    <w:uiPriority w:val="0"/>
    <w:pPr>
      <w:spacing w:line="360" w:lineRule="auto"/>
      <w:ind w:left="90" w:leftChars="32" w:firstLine="560" w:firstLineChars="200"/>
    </w:pPr>
    <w:rPr>
      <w:rFonts w:cs="宋体"/>
    </w:rPr>
  </w:style>
  <w:style w:type="paragraph" w:styleId="13">
    <w:name w:val="List 2"/>
    <w:basedOn w:val="1"/>
    <w:semiHidden/>
    <w:unhideWhenUsed/>
    <w:qFormat/>
    <w:uiPriority w:val="0"/>
    <w:pPr>
      <w:ind w:left="100" w:leftChars="200" w:hanging="200" w:hangingChars="200"/>
      <w:contextualSpacing/>
    </w:pPr>
  </w:style>
  <w:style w:type="paragraph" w:styleId="14">
    <w:name w:val="Plain Text"/>
    <w:basedOn w:val="1"/>
    <w:link w:val="47"/>
    <w:qFormat/>
    <w:uiPriority w:val="0"/>
    <w:rPr>
      <w:rFonts w:hAnsi="Courier New"/>
      <w:kern w:val="2"/>
      <w:sz w:val="30"/>
    </w:rPr>
  </w:style>
  <w:style w:type="paragraph" w:styleId="15">
    <w:name w:val="Body Text Indent 2"/>
    <w:basedOn w:val="1"/>
    <w:link w:val="46"/>
    <w:qFormat/>
    <w:uiPriority w:val="0"/>
    <w:pPr>
      <w:spacing w:after="120" w:line="480" w:lineRule="auto"/>
      <w:ind w:left="420" w:leftChars="200"/>
    </w:pPr>
  </w:style>
  <w:style w:type="paragraph" w:styleId="16">
    <w:name w:val="Balloon Text"/>
    <w:basedOn w:val="1"/>
    <w:link w:val="48"/>
    <w:semiHidden/>
    <w:unhideWhenUsed/>
    <w:qFormat/>
    <w:uiPriority w:val="0"/>
    <w:rPr>
      <w:sz w:val="18"/>
      <w:szCs w:val="18"/>
    </w:rPr>
  </w:style>
  <w:style w:type="paragraph" w:styleId="17">
    <w:name w:val="footer"/>
    <w:basedOn w:val="1"/>
    <w:link w:val="43"/>
    <w:unhideWhenUsed/>
    <w:qFormat/>
    <w:uiPriority w:val="0"/>
    <w:pPr>
      <w:tabs>
        <w:tab w:val="center" w:pos="4153"/>
        <w:tab w:val="right" w:pos="8306"/>
      </w:tabs>
      <w:snapToGrid w:val="0"/>
      <w:jc w:val="left"/>
    </w:pPr>
    <w:rPr>
      <w:sz w:val="18"/>
      <w:szCs w:val="18"/>
    </w:rPr>
  </w:style>
  <w:style w:type="paragraph" w:styleId="18">
    <w:name w:val="Body Text First Indent 2"/>
    <w:basedOn w:val="11"/>
    <w:next w:val="19"/>
    <w:link w:val="61"/>
    <w:semiHidden/>
    <w:unhideWhenUsed/>
    <w:qFormat/>
    <w:uiPriority w:val="99"/>
    <w:pPr>
      <w:ind w:firstLine="420" w:firstLineChars="200"/>
    </w:pPr>
  </w:style>
  <w:style w:type="paragraph" w:customStyle="1" w:styleId="19">
    <w:name w:val="Default"/>
    <w:next w:val="20"/>
    <w:qFormat/>
    <w:uiPriority w:val="0"/>
    <w:pPr>
      <w:widowControl w:val="0"/>
      <w:autoSpaceDE w:val="0"/>
      <w:autoSpaceDN w:val="0"/>
      <w:adjustRightInd w:val="0"/>
    </w:pPr>
    <w:rPr>
      <w:rFonts w:ascii="宋体" w:eastAsia="宋体" w:cs="宋体" w:hAnsiTheme="minorHAnsi"/>
      <w:color w:val="000000"/>
      <w:sz w:val="24"/>
      <w:szCs w:val="24"/>
      <w:lang w:val="en-US" w:eastAsia="zh-CN" w:bidi="ar-SA"/>
    </w:rPr>
  </w:style>
  <w:style w:type="paragraph" w:customStyle="1" w:styleId="20">
    <w:name w:val="样式35"/>
    <w:basedOn w:val="1"/>
    <w:next w:val="1"/>
    <w:qFormat/>
    <w:uiPriority w:val="0"/>
    <w:pPr>
      <w:spacing w:line="312" w:lineRule="auto"/>
      <w:ind w:firstLine="567"/>
    </w:pPr>
    <w:rPr>
      <w:sz w:val="28"/>
    </w:rPr>
  </w:style>
  <w:style w:type="paragraph" w:styleId="21">
    <w:name w:val="header"/>
    <w:basedOn w:val="1"/>
    <w:link w:val="42"/>
    <w:unhideWhenUsed/>
    <w:qFormat/>
    <w:uiPriority w:val="0"/>
    <w:pPr>
      <w:pBdr>
        <w:bottom w:val="single" w:color="auto" w:sz="6" w:space="1"/>
      </w:pBdr>
      <w:tabs>
        <w:tab w:val="center" w:pos="4153"/>
        <w:tab w:val="right" w:pos="8306"/>
      </w:tabs>
      <w:snapToGrid w:val="0"/>
      <w:jc w:val="center"/>
    </w:pPr>
    <w:rPr>
      <w:sz w:val="18"/>
      <w:szCs w:val="18"/>
    </w:rPr>
  </w:style>
  <w:style w:type="paragraph" w:styleId="22">
    <w:name w:val="Subtitle"/>
    <w:basedOn w:val="1"/>
    <w:next w:val="1"/>
    <w:link w:val="39"/>
    <w:qFormat/>
    <w:uiPriority w:val="11"/>
    <w:pPr>
      <w:jc w:val="center"/>
      <w:outlineLvl w:val="1"/>
    </w:pPr>
    <w:rPr>
      <w:rFonts w:ascii="Times New Roman" w:hAnsi="Times New Roman"/>
      <w:bCs/>
      <w:kern w:val="28"/>
      <w:sz w:val="21"/>
      <w:szCs w:val="32"/>
    </w:rPr>
  </w:style>
  <w:style w:type="paragraph" w:styleId="23">
    <w:name w:val="Body Text Indent 3"/>
    <w:basedOn w:val="1"/>
    <w:link w:val="49"/>
    <w:unhideWhenUsed/>
    <w:qFormat/>
    <w:uiPriority w:val="0"/>
    <w:pPr>
      <w:spacing w:after="120"/>
      <w:ind w:left="420" w:leftChars="200"/>
    </w:pPr>
    <w:rPr>
      <w:sz w:val="16"/>
      <w:szCs w:val="16"/>
    </w:rPr>
  </w:style>
  <w:style w:type="paragraph" w:styleId="24">
    <w:name w:val="Body Text 2"/>
    <w:basedOn w:val="1"/>
    <w:link w:val="50"/>
    <w:qFormat/>
    <w:uiPriority w:val="0"/>
    <w:pPr>
      <w:spacing w:after="120" w:line="480" w:lineRule="auto"/>
    </w:pPr>
  </w:style>
  <w:style w:type="paragraph" w:styleId="25">
    <w:name w:val="Normal (Web)"/>
    <w:basedOn w:val="1"/>
    <w:qFormat/>
    <w:uiPriority w:val="99"/>
    <w:pPr>
      <w:widowControl/>
      <w:spacing w:before="100" w:beforeAutospacing="1" w:after="100" w:afterAutospacing="1"/>
      <w:jc w:val="left"/>
    </w:pPr>
    <w:rPr>
      <w:rFonts w:hint="eastAsia"/>
      <w:kern w:val="0"/>
    </w:rPr>
  </w:style>
  <w:style w:type="paragraph" w:styleId="26">
    <w:name w:val="Title"/>
    <w:next w:val="1"/>
    <w:link w:val="33"/>
    <w:qFormat/>
    <w:uiPriority w:val="0"/>
    <w:pPr>
      <w:jc w:val="center"/>
    </w:pPr>
    <w:rPr>
      <w:rFonts w:ascii="Times New Roman" w:hAnsi="Times New Roman" w:eastAsia="黑体" w:cs="Times New Roman"/>
      <w:bCs/>
      <w:kern w:val="2"/>
      <w:sz w:val="24"/>
      <w:szCs w:val="32"/>
      <w:lang w:val="en-US" w:eastAsia="zh-CN" w:bidi="ar-SA"/>
    </w:rPr>
  </w:style>
  <w:style w:type="character" w:styleId="28">
    <w:name w:val="Strong"/>
    <w:qFormat/>
    <w:uiPriority w:val="22"/>
  </w:style>
  <w:style w:type="character" w:styleId="29">
    <w:name w:val="Hyperlink"/>
    <w:basedOn w:val="27"/>
    <w:semiHidden/>
    <w:unhideWhenUsed/>
    <w:qFormat/>
    <w:uiPriority w:val="99"/>
    <w:rPr>
      <w:color w:val="0000FF"/>
      <w:u w:val="single"/>
    </w:rPr>
  </w:style>
  <w:style w:type="table" w:styleId="31">
    <w:name w:val="Table Grid"/>
    <w:basedOn w:val="3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32">
    <w:name w:val="本文正文"/>
    <w:basedOn w:val="1"/>
    <w:qFormat/>
    <w:uiPriority w:val="0"/>
    <w:pPr>
      <w:spacing w:line="360" w:lineRule="auto"/>
      <w:ind w:firstLine="200" w:firstLineChars="200"/>
    </w:pPr>
    <w:rPr>
      <w:rFonts w:ascii="Times New Roman" w:hAnsi="Times New Roman"/>
      <w:color w:val="000000"/>
      <w:kern w:val="0"/>
      <w:szCs w:val="24"/>
    </w:rPr>
  </w:style>
  <w:style w:type="character" w:customStyle="1" w:styleId="33">
    <w:name w:val="标题 Char"/>
    <w:basedOn w:val="27"/>
    <w:link w:val="26"/>
    <w:qFormat/>
    <w:uiPriority w:val="0"/>
    <w:rPr>
      <w:rFonts w:ascii="Times New Roman" w:hAnsi="Times New Roman" w:eastAsia="黑体" w:cs="Times New Roman"/>
      <w:bCs/>
      <w:sz w:val="24"/>
      <w:szCs w:val="32"/>
    </w:rPr>
  </w:style>
  <w:style w:type="character" w:customStyle="1" w:styleId="34">
    <w:name w:val="标题 1 Char1"/>
    <w:basedOn w:val="27"/>
    <w:link w:val="3"/>
    <w:qFormat/>
    <w:uiPriority w:val="0"/>
    <w:rPr>
      <w:rFonts w:ascii="宋体" w:hAnsi="宋体" w:eastAsia="宋体" w:cs="Times New Roman"/>
      <w:b/>
      <w:bCs/>
      <w:kern w:val="44"/>
      <w:sz w:val="44"/>
      <w:szCs w:val="44"/>
    </w:rPr>
  </w:style>
  <w:style w:type="character" w:customStyle="1" w:styleId="35">
    <w:name w:val="标题 2 Char"/>
    <w:basedOn w:val="27"/>
    <w:link w:val="4"/>
    <w:qFormat/>
    <w:uiPriority w:val="0"/>
    <w:rPr>
      <w:rFonts w:ascii="Arial" w:hAnsi="Arial" w:eastAsia="黑体" w:cs="Times New Roman"/>
      <w:b/>
      <w:bCs/>
      <w:kern w:val="36"/>
      <w:sz w:val="32"/>
      <w:szCs w:val="32"/>
    </w:rPr>
  </w:style>
  <w:style w:type="character" w:customStyle="1" w:styleId="36">
    <w:name w:val="标题 3 Char"/>
    <w:basedOn w:val="27"/>
    <w:link w:val="5"/>
    <w:qFormat/>
    <w:uiPriority w:val="0"/>
    <w:rPr>
      <w:rFonts w:ascii="Times New Roman" w:hAnsi="Times New Roman" w:eastAsia="宋体" w:cs="Times New Roman"/>
      <w:b/>
      <w:bCs/>
      <w:sz w:val="32"/>
      <w:szCs w:val="32"/>
    </w:rPr>
  </w:style>
  <w:style w:type="character" w:customStyle="1" w:styleId="37">
    <w:name w:val="标题 4 Char"/>
    <w:basedOn w:val="27"/>
    <w:link w:val="6"/>
    <w:qFormat/>
    <w:uiPriority w:val="0"/>
    <w:rPr>
      <w:rFonts w:ascii="Arial" w:hAnsi="Arial" w:eastAsia="黑体" w:cs="Times New Roman"/>
      <w:b/>
      <w:bCs/>
      <w:kern w:val="36"/>
      <w:sz w:val="28"/>
      <w:szCs w:val="28"/>
    </w:rPr>
  </w:style>
  <w:style w:type="character" w:customStyle="1" w:styleId="38">
    <w:name w:val="标题 5 Char"/>
    <w:basedOn w:val="27"/>
    <w:link w:val="7"/>
    <w:qFormat/>
    <w:uiPriority w:val="0"/>
    <w:rPr>
      <w:rFonts w:ascii="宋体" w:hAnsi="宋体" w:eastAsia="宋体" w:cs="Times New Roman"/>
      <w:b/>
      <w:bCs/>
      <w:kern w:val="36"/>
      <w:sz w:val="28"/>
      <w:szCs w:val="28"/>
    </w:rPr>
  </w:style>
  <w:style w:type="character" w:customStyle="1" w:styleId="39">
    <w:name w:val="副标题 Char"/>
    <w:basedOn w:val="27"/>
    <w:link w:val="22"/>
    <w:qFormat/>
    <w:uiPriority w:val="11"/>
    <w:rPr>
      <w:rFonts w:ascii="Times New Roman" w:hAnsi="Times New Roman" w:eastAsia="宋体" w:cs="Times New Roman"/>
      <w:bCs/>
      <w:kern w:val="28"/>
      <w:szCs w:val="32"/>
    </w:rPr>
  </w:style>
  <w:style w:type="character" w:customStyle="1" w:styleId="40">
    <w:name w:val="小标签 Char"/>
    <w:link w:val="41"/>
    <w:qFormat/>
    <w:uiPriority w:val="0"/>
    <w:rPr>
      <w:rFonts w:ascii="Times New Roman" w:hAnsi="Times New Roman" w:eastAsia="黑体" w:cs="Times New Roman"/>
      <w:bCs/>
      <w:sz w:val="24"/>
      <w:szCs w:val="32"/>
    </w:rPr>
  </w:style>
  <w:style w:type="paragraph" w:customStyle="1" w:styleId="41">
    <w:name w:val="小标签"/>
    <w:basedOn w:val="26"/>
    <w:link w:val="40"/>
    <w:qFormat/>
    <w:uiPriority w:val="0"/>
    <w:pPr>
      <w:spacing w:line="360" w:lineRule="auto"/>
      <w:jc w:val="left"/>
    </w:pPr>
  </w:style>
  <w:style w:type="character" w:customStyle="1" w:styleId="42">
    <w:name w:val="页眉 Char"/>
    <w:basedOn w:val="27"/>
    <w:link w:val="21"/>
    <w:qFormat/>
    <w:uiPriority w:val="0"/>
    <w:rPr>
      <w:rFonts w:ascii="宋体" w:hAnsi="宋体" w:eastAsia="宋体" w:cs="Times New Roman"/>
      <w:kern w:val="36"/>
      <w:sz w:val="18"/>
      <w:szCs w:val="18"/>
    </w:rPr>
  </w:style>
  <w:style w:type="character" w:customStyle="1" w:styleId="43">
    <w:name w:val="页脚 Char"/>
    <w:basedOn w:val="27"/>
    <w:link w:val="17"/>
    <w:qFormat/>
    <w:uiPriority w:val="0"/>
    <w:rPr>
      <w:rFonts w:ascii="宋体" w:hAnsi="宋体" w:eastAsia="宋体" w:cs="Times New Roman"/>
      <w:kern w:val="36"/>
      <w:sz w:val="18"/>
      <w:szCs w:val="18"/>
    </w:rPr>
  </w:style>
  <w:style w:type="paragraph" w:customStyle="1" w:styleId="44">
    <w:name w:val="li_正文"/>
    <w:basedOn w:val="1"/>
    <w:qFormat/>
    <w:uiPriority w:val="0"/>
    <w:pPr>
      <w:ind w:firstLine="200" w:firstLineChars="200"/>
      <w:jc w:val="left"/>
    </w:pPr>
    <w:rPr>
      <w:sz w:val="28"/>
      <w:szCs w:val="28"/>
    </w:rPr>
  </w:style>
  <w:style w:type="paragraph" w:styleId="45">
    <w:name w:val="No Spacing"/>
    <w:next w:val="1"/>
    <w:qFormat/>
    <w:uiPriority w:val="1"/>
    <w:pPr>
      <w:widowControl w:val="0"/>
      <w:jc w:val="center"/>
    </w:pPr>
    <w:rPr>
      <w:rFonts w:ascii="Times New Roman" w:hAnsi="Times New Roman" w:eastAsia="宋体" w:cs="Times New Roman"/>
      <w:kern w:val="36"/>
      <w:sz w:val="21"/>
      <w:lang w:val="en-US" w:eastAsia="zh-CN" w:bidi="ar-SA"/>
    </w:rPr>
  </w:style>
  <w:style w:type="character" w:customStyle="1" w:styleId="46">
    <w:name w:val="正文文本缩进 2 Char"/>
    <w:basedOn w:val="27"/>
    <w:link w:val="15"/>
    <w:qFormat/>
    <w:uiPriority w:val="0"/>
    <w:rPr>
      <w:rFonts w:ascii="宋体" w:hAnsi="宋体" w:eastAsia="宋体" w:cs="Times New Roman"/>
      <w:kern w:val="36"/>
      <w:sz w:val="24"/>
      <w:szCs w:val="20"/>
    </w:rPr>
  </w:style>
  <w:style w:type="character" w:customStyle="1" w:styleId="47">
    <w:name w:val="纯文本 Char"/>
    <w:basedOn w:val="27"/>
    <w:link w:val="14"/>
    <w:qFormat/>
    <w:uiPriority w:val="0"/>
    <w:rPr>
      <w:rFonts w:ascii="宋体" w:hAnsi="Courier New" w:eastAsia="宋体" w:cs="Times New Roman"/>
      <w:sz w:val="30"/>
      <w:szCs w:val="20"/>
    </w:rPr>
  </w:style>
  <w:style w:type="character" w:customStyle="1" w:styleId="48">
    <w:name w:val="批注框文本 Char"/>
    <w:basedOn w:val="27"/>
    <w:link w:val="16"/>
    <w:semiHidden/>
    <w:qFormat/>
    <w:uiPriority w:val="0"/>
    <w:rPr>
      <w:rFonts w:ascii="宋体" w:hAnsi="宋体" w:eastAsia="宋体" w:cs="Times New Roman"/>
      <w:kern w:val="36"/>
      <w:sz w:val="18"/>
      <w:szCs w:val="18"/>
    </w:rPr>
  </w:style>
  <w:style w:type="character" w:customStyle="1" w:styleId="49">
    <w:name w:val="正文文本缩进 3 Char"/>
    <w:basedOn w:val="27"/>
    <w:link w:val="23"/>
    <w:qFormat/>
    <w:uiPriority w:val="0"/>
    <w:rPr>
      <w:rFonts w:ascii="宋体" w:hAnsi="宋体" w:eastAsia="宋体" w:cs="Times New Roman"/>
      <w:kern w:val="36"/>
      <w:sz w:val="16"/>
      <w:szCs w:val="16"/>
    </w:rPr>
  </w:style>
  <w:style w:type="character" w:customStyle="1" w:styleId="50">
    <w:name w:val="正文文本 2 Char"/>
    <w:basedOn w:val="27"/>
    <w:link w:val="24"/>
    <w:qFormat/>
    <w:uiPriority w:val="0"/>
    <w:rPr>
      <w:rFonts w:ascii="宋体" w:hAnsi="宋体" w:eastAsia="宋体" w:cs="Times New Roman"/>
      <w:kern w:val="36"/>
      <w:sz w:val="24"/>
      <w:szCs w:val="20"/>
    </w:rPr>
  </w:style>
  <w:style w:type="character" w:customStyle="1" w:styleId="51">
    <w:name w:val="正文文本 Char"/>
    <w:basedOn w:val="27"/>
    <w:link w:val="10"/>
    <w:qFormat/>
    <w:uiPriority w:val="0"/>
    <w:rPr>
      <w:rFonts w:ascii="Times New Roman" w:hAnsi="Times New Roman" w:eastAsia="宋体" w:cs="Times New Roman"/>
      <w:sz w:val="28"/>
      <w:szCs w:val="20"/>
    </w:rPr>
  </w:style>
  <w:style w:type="character" w:customStyle="1" w:styleId="52">
    <w:name w:val="正文缩进 Char"/>
    <w:link w:val="8"/>
    <w:qFormat/>
    <w:uiPriority w:val="0"/>
    <w:rPr>
      <w:rFonts w:eastAsia="宋体"/>
      <w:sz w:val="24"/>
      <w:szCs w:val="24"/>
    </w:rPr>
  </w:style>
  <w:style w:type="paragraph" w:customStyle="1" w:styleId="53">
    <w:name w:val="1正文"/>
    <w:basedOn w:val="1"/>
    <w:qFormat/>
    <w:uiPriority w:val="0"/>
    <w:pPr>
      <w:widowControl/>
      <w:spacing w:line="360" w:lineRule="auto"/>
      <w:ind w:firstLine="200" w:firstLineChars="200"/>
    </w:pPr>
    <w:rPr>
      <w:rFonts w:ascii="Times New Roman" w:hAnsi="Times New Roman"/>
      <w:kern w:val="0"/>
    </w:rPr>
  </w:style>
  <w:style w:type="character" w:customStyle="1" w:styleId="54">
    <w:name w:val="NormalCharacter"/>
    <w:semiHidden/>
    <w:qFormat/>
    <w:uiPriority w:val="0"/>
  </w:style>
  <w:style w:type="paragraph" w:customStyle="1" w:styleId="55">
    <w:name w:val="BodyText"/>
    <w:basedOn w:val="1"/>
    <w:qFormat/>
    <w:uiPriority w:val="0"/>
    <w:pPr>
      <w:widowControl/>
      <w:spacing w:line="440" w:lineRule="exact"/>
    </w:pPr>
    <w:rPr>
      <w:rFonts w:ascii="Times New Roman" w:hAnsi="Times New Roman"/>
      <w:color w:val="000000"/>
      <w:kern w:val="2"/>
      <w:sz w:val="28"/>
    </w:rPr>
  </w:style>
  <w:style w:type="paragraph" w:customStyle="1" w:styleId="56">
    <w:name w:val="Table Paragraph"/>
    <w:basedOn w:val="1"/>
    <w:qFormat/>
    <w:uiPriority w:val="1"/>
    <w:pPr>
      <w:jc w:val="center"/>
    </w:pPr>
    <w:rPr>
      <w:rFonts w:cs="宋体"/>
      <w:kern w:val="2"/>
      <w:sz w:val="21"/>
      <w:szCs w:val="24"/>
    </w:rPr>
  </w:style>
  <w:style w:type="paragraph" w:customStyle="1" w:styleId="57">
    <w:name w:val="加黑体"/>
    <w:basedOn w:val="41"/>
    <w:link w:val="58"/>
    <w:qFormat/>
    <w:uiPriority w:val="0"/>
  </w:style>
  <w:style w:type="character" w:customStyle="1" w:styleId="58">
    <w:name w:val="加黑体 字符"/>
    <w:basedOn w:val="40"/>
    <w:link w:val="57"/>
    <w:qFormat/>
    <w:uiPriority w:val="0"/>
    <w:rPr>
      <w:rFonts w:ascii="Times New Roman" w:hAnsi="Times New Roman" w:eastAsia="黑体" w:cs="Times New Roman"/>
      <w:sz w:val="24"/>
      <w:szCs w:val="32"/>
    </w:rPr>
  </w:style>
  <w:style w:type="paragraph" w:customStyle="1" w:styleId="59">
    <w:name w:val="默认段落字体 Para Char Char Char Char"/>
    <w:basedOn w:val="1"/>
    <w:qFormat/>
    <w:uiPriority w:val="0"/>
    <w:rPr>
      <w:rFonts w:ascii="Times New Roman" w:hAnsi="Times New Roman"/>
      <w:kern w:val="2"/>
      <w:szCs w:val="24"/>
    </w:rPr>
  </w:style>
  <w:style w:type="character" w:customStyle="1" w:styleId="60">
    <w:name w:val="正文文本缩进 Char"/>
    <w:basedOn w:val="27"/>
    <w:link w:val="11"/>
    <w:semiHidden/>
    <w:qFormat/>
    <w:uiPriority w:val="0"/>
    <w:rPr>
      <w:rFonts w:ascii="宋体" w:hAnsi="宋体" w:eastAsia="宋体" w:cs="Times New Roman"/>
      <w:kern w:val="36"/>
      <w:sz w:val="24"/>
      <w:szCs w:val="20"/>
    </w:rPr>
  </w:style>
  <w:style w:type="character" w:customStyle="1" w:styleId="61">
    <w:name w:val="正文首行缩进 2 Char"/>
    <w:basedOn w:val="60"/>
    <w:link w:val="18"/>
    <w:semiHidden/>
    <w:qFormat/>
    <w:uiPriority w:val="99"/>
    <w:rPr>
      <w:rFonts w:ascii="宋体" w:hAnsi="宋体" w:eastAsia="宋体" w:cs="Times New Roman"/>
      <w:kern w:val="36"/>
      <w:sz w:val="24"/>
      <w:szCs w:val="20"/>
    </w:rPr>
  </w:style>
  <w:style w:type="paragraph" w:customStyle="1" w:styleId="62">
    <w:name w:val="报告表正文"/>
    <w:basedOn w:val="1"/>
    <w:qFormat/>
    <w:uiPriority w:val="0"/>
    <w:pPr>
      <w:adjustRightInd w:val="0"/>
      <w:spacing w:line="312" w:lineRule="auto"/>
      <w:ind w:left="113" w:right="113" w:firstLine="482"/>
      <w:jc w:val="left"/>
      <w:textAlignment w:val="baseline"/>
    </w:pPr>
    <w:rPr>
      <w:rFonts w:ascii="Times New Roman" w:hAnsi="Times New Roman"/>
      <w:kern w:val="0"/>
    </w:rPr>
  </w:style>
  <w:style w:type="character" w:customStyle="1" w:styleId="63">
    <w:name w:val="标题 3 Char2"/>
    <w:qFormat/>
    <w:uiPriority w:val="0"/>
    <w:rPr>
      <w:rFonts w:eastAsia="宋体"/>
      <w:b/>
      <w:bCs/>
      <w:kern w:val="2"/>
      <w:sz w:val="32"/>
      <w:szCs w:val="32"/>
      <w:lang w:val="en-US" w:eastAsia="zh-CN" w:bidi="ar-SA"/>
    </w:rPr>
  </w:style>
  <w:style w:type="character" w:customStyle="1" w:styleId="64">
    <w:name w:val="标题 1 Char"/>
    <w:qFormat/>
    <w:uiPriority w:val="0"/>
    <w:rPr>
      <w:rFonts w:ascii="宋体" w:hAnsi="宋体"/>
      <w:b/>
      <w:bCs/>
      <w:kern w:val="44"/>
      <w:sz w:val="44"/>
      <w:szCs w:val="44"/>
    </w:rPr>
  </w:style>
  <w:style w:type="paragraph" w:styleId="65">
    <w:name w:val="List Paragraph"/>
    <w:basedOn w:val="1"/>
    <w:qFormat/>
    <w:uiPriority w:val="99"/>
    <w:pPr>
      <w:ind w:firstLine="420" w:firstLineChars="200"/>
    </w:pPr>
  </w:style>
  <w:style w:type="paragraph" w:customStyle="1" w:styleId="66">
    <w:name w:val="样式13"/>
    <w:basedOn w:val="1"/>
    <w:qFormat/>
    <w:uiPriority w:val="0"/>
    <w:pPr>
      <w:spacing w:line="400" w:lineRule="exact"/>
      <w:ind w:firstLine="200" w:firstLineChars="200"/>
      <w:jc w:val="left"/>
    </w:pPr>
    <w:rPr>
      <w:rFonts w:ascii="Times New Roman" w:hAnsi="Times New Roman" w:eastAsia="方正报宋简体"/>
      <w:bCs/>
      <w:color w:val="000000"/>
      <w:spacing w:val="20"/>
      <w:kern w:val="2"/>
    </w:rPr>
  </w:style>
  <w:style w:type="paragraph" w:customStyle="1" w:styleId="67">
    <w:name w:val="Default1"/>
    <w:qFormat/>
    <w:uiPriority w:val="99"/>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68">
    <w:name w:val="文字"/>
    <w:basedOn w:val="1"/>
    <w:qFormat/>
    <w:uiPriority w:val="99"/>
    <w:pPr>
      <w:spacing w:line="360" w:lineRule="auto"/>
      <w:ind w:firstLine="200" w:firstLineChars="200"/>
    </w:pPr>
    <w:rPr>
      <w:rFonts w:ascii="Calibri" w:hAnsi="Calibri"/>
    </w:rPr>
  </w:style>
  <w:style w:type="paragraph" w:customStyle="1" w:styleId="69">
    <w:name w:val="正文 首行缩进:  2 字符"/>
    <w:basedOn w:val="1"/>
    <w:qFormat/>
    <w:uiPriority w:val="0"/>
    <w:pPr>
      <w:adjustRightInd w:val="0"/>
      <w:snapToGrid w:val="0"/>
      <w:spacing w:line="500" w:lineRule="exact"/>
      <w:ind w:firstLine="200" w:firstLineChars="200"/>
      <w:jc w:val="left"/>
    </w:pPr>
    <w:rPr>
      <w:rFonts w:cs="宋体"/>
    </w:rPr>
  </w:style>
  <w:style w:type="paragraph" w:customStyle="1" w:styleId="70">
    <w:name w:val="环科院正文"/>
    <w:basedOn w:val="1"/>
    <w:qFormat/>
    <w:uiPriority w:val="0"/>
    <w:pPr>
      <w:spacing w:line="360" w:lineRule="auto"/>
      <w:ind w:firstLine="480" w:firstLineChars="200"/>
    </w:pPr>
    <w:rPr>
      <w:szCs w:val="24"/>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header" Target="header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2.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jpeg"/><Relationship Id="rId14" Type="http://schemas.openxmlformats.org/officeDocument/2006/relationships/image" Target="media/image6.jpeg"/><Relationship Id="rId13" Type="http://schemas.openxmlformats.org/officeDocument/2006/relationships/image" Target="media/image5.jpeg"/><Relationship Id="rId12" Type="http://schemas.openxmlformats.org/officeDocument/2006/relationships/image" Target="media/image4.jpe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noFill/>
        <a:ln>
          <a:solidFill>
            <a:srgbClr val="002060"/>
          </a:solidFill>
        </a:ln>
      </a:spPr>
      <a:bodyPr rot="0" spcFirstLastPara="0" vertOverflow="overflow" horzOverflow="overflow" vert="horz" wrap="square" lIns="91440" tIns="45720" rIns="91440" bIns="45720" numCol="1" spcCol="0" rtlCol="0" fromWordArt="0" anchor="ctr" anchorCtr="0" forceAA="0" compatLnSpc="1">
        <a:noAutofit/>
      </a:bodyPr>
      <a:lstStyle/>
      <a:style>
        <a:lnRef idx="2">
          <a:schemeClr val="accent1">
            <a:shade val="50000"/>
          </a:schemeClr>
        </a:lnRef>
        <a:fillRef idx="1">
          <a:schemeClr val="accent1"/>
        </a:fillRef>
        <a:effectRef idx="0">
          <a:schemeClr val="accent1"/>
        </a:effectRef>
        <a:fontRef idx="minor">
          <a:schemeClr val="lt1"/>
        </a:fontRef>
      </a:style>
    </a:sp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F590D37-F788-4FD2-ACC2-339FCF9D45A2}">
  <ds:schemaRefs/>
</ds:datastoreItem>
</file>

<file path=docProps/app.xml><?xml version="1.0" encoding="utf-8"?>
<Properties xmlns="http://schemas.openxmlformats.org/officeDocument/2006/extended-properties" xmlns:vt="http://schemas.openxmlformats.org/officeDocument/2006/docPropsVTypes">
  <Template>Normal</Template>
  <Pages>1</Pages>
  <Words>6258</Words>
  <Characters>35674</Characters>
  <Lines>297</Lines>
  <Paragraphs>83</Paragraphs>
  <TotalTime>50</TotalTime>
  <ScaleCrop>false</ScaleCrop>
  <LinksUpToDate>false</LinksUpToDate>
  <CharactersWithSpaces>41849</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2018-11-01T01:59:00Z</dcterms:created>
  <dc:creator>admin</dc:creator>
  <cp:lastModifiedBy>free-universe</cp:lastModifiedBy>
  <cp:lastPrinted>2020-11-18T02:03:00Z</cp:lastPrinted>
  <dcterms:modified xsi:type="dcterms:W3CDTF">2023-06-05T08:09:05Z</dcterms:modified>
  <cp:revision>274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ies>
</file>