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jc w:val="center"/>
        <w:rPr>
          <w:rFonts w:ascii="方正小标宋简体" w:hAnsi="方正小标宋简体" w:eastAsia="方正小标宋简体" w:cs="方正小标宋简体"/>
          <w:b/>
          <w:bCs/>
        </w:rPr>
      </w:pPr>
      <w:r>
        <w:rPr>
          <w:rFonts w:hint="eastAsia" w:ascii="方正小标宋简体" w:hAnsi="方正小标宋简体" w:eastAsia="方正小标宋简体" w:cs="方正小标宋简体"/>
          <w:b/>
          <w:bCs/>
          <w:sz w:val="36"/>
          <w:szCs w:val="36"/>
          <w:lang w:eastAsia="zh-CN"/>
        </w:rPr>
        <w:t>固废专项检查情况记录</w:t>
      </w:r>
      <w:r>
        <w:rPr>
          <w:rFonts w:hint="eastAsia" w:ascii="方正小标宋简体" w:hAnsi="方正小标宋简体" w:eastAsia="方正小标宋简体" w:cs="方正小标宋简体"/>
          <w:b/>
          <w:bCs/>
          <w:sz w:val="36"/>
          <w:szCs w:val="36"/>
        </w:rPr>
        <w:t>表</w:t>
      </w:r>
    </w:p>
    <w:tbl>
      <w:tblPr>
        <w:tblStyle w:val="4"/>
        <w:tblW w:w="135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2"/>
        <w:gridCol w:w="1376"/>
        <w:gridCol w:w="2458"/>
        <w:gridCol w:w="1208"/>
        <w:gridCol w:w="1141"/>
        <w:gridCol w:w="767"/>
        <w:gridCol w:w="4855"/>
        <w:gridCol w:w="11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532" w:type="dxa"/>
            <w:shd w:val="clear" w:color="auto" w:fill="auto"/>
            <w:vAlign w:val="center"/>
          </w:tcPr>
          <w:p>
            <w:pPr>
              <w:jc w:val="center"/>
              <w:rPr>
                <w:rFonts w:ascii="仿宋_GB2312" w:hAnsi="Calibri" w:eastAsia="仿宋_GB2312"/>
                <w:szCs w:val="21"/>
              </w:rPr>
            </w:pPr>
            <w:r>
              <w:rPr>
                <w:rFonts w:hint="eastAsia" w:ascii="仿宋_GB2312" w:hAnsi="Calibri" w:eastAsia="仿宋_GB2312"/>
                <w:szCs w:val="21"/>
              </w:rPr>
              <w:t>序号</w:t>
            </w:r>
          </w:p>
        </w:tc>
        <w:tc>
          <w:tcPr>
            <w:tcW w:w="1376" w:type="dxa"/>
            <w:shd w:val="clear" w:color="auto" w:fill="auto"/>
            <w:vAlign w:val="center"/>
          </w:tcPr>
          <w:p>
            <w:pPr>
              <w:jc w:val="center"/>
              <w:rPr>
                <w:rFonts w:ascii="仿宋_GB2312" w:hAnsi="Calibri" w:eastAsia="仿宋_GB2312"/>
                <w:szCs w:val="21"/>
              </w:rPr>
            </w:pPr>
            <w:r>
              <w:rPr>
                <w:rFonts w:hint="eastAsia" w:ascii="仿宋_GB2312" w:hAnsi="Calibri" w:eastAsia="仿宋_GB2312"/>
                <w:szCs w:val="21"/>
              </w:rPr>
              <w:t>执法时间</w:t>
            </w:r>
          </w:p>
        </w:tc>
        <w:tc>
          <w:tcPr>
            <w:tcW w:w="2458" w:type="dxa"/>
            <w:shd w:val="clear" w:color="auto" w:fill="auto"/>
            <w:vAlign w:val="center"/>
          </w:tcPr>
          <w:p>
            <w:pPr>
              <w:jc w:val="center"/>
              <w:rPr>
                <w:rFonts w:ascii="仿宋_GB2312" w:hAnsi="Calibri" w:eastAsia="仿宋_GB2312"/>
                <w:szCs w:val="21"/>
              </w:rPr>
            </w:pPr>
            <w:r>
              <w:rPr>
                <w:rFonts w:hint="eastAsia" w:ascii="仿宋_GB2312" w:hAnsi="Calibri" w:eastAsia="仿宋_GB2312"/>
                <w:szCs w:val="21"/>
              </w:rPr>
              <w:t>排污单位名称</w:t>
            </w:r>
          </w:p>
        </w:tc>
        <w:tc>
          <w:tcPr>
            <w:tcW w:w="1208" w:type="dxa"/>
            <w:shd w:val="clear" w:color="auto" w:fill="auto"/>
            <w:vAlign w:val="center"/>
          </w:tcPr>
          <w:p>
            <w:pPr>
              <w:jc w:val="center"/>
              <w:rPr>
                <w:rFonts w:ascii="仿宋_GB2312" w:hAnsi="Calibri" w:eastAsia="仿宋_GB2312"/>
                <w:szCs w:val="21"/>
              </w:rPr>
            </w:pPr>
            <w:r>
              <w:rPr>
                <w:rFonts w:hint="eastAsia" w:ascii="仿宋_GB2312" w:hAnsi="Calibri" w:eastAsia="仿宋_GB2312"/>
                <w:szCs w:val="21"/>
              </w:rPr>
              <w:t>县(市、区</w:t>
            </w:r>
            <w:r>
              <w:rPr>
                <w:rFonts w:ascii="仿宋_GB2312" w:hAnsi="Calibri" w:eastAsia="仿宋_GB2312"/>
                <w:szCs w:val="21"/>
              </w:rPr>
              <w:t>)</w:t>
            </w:r>
          </w:p>
        </w:tc>
        <w:tc>
          <w:tcPr>
            <w:tcW w:w="1141" w:type="dxa"/>
            <w:shd w:val="clear" w:color="auto" w:fill="auto"/>
            <w:vAlign w:val="center"/>
          </w:tcPr>
          <w:p>
            <w:pPr>
              <w:jc w:val="center"/>
              <w:rPr>
                <w:rFonts w:ascii="仿宋_GB2312" w:hAnsi="Calibri" w:eastAsia="仿宋_GB2312"/>
                <w:szCs w:val="21"/>
              </w:rPr>
            </w:pPr>
            <w:r>
              <w:rPr>
                <w:rFonts w:hint="eastAsia" w:ascii="仿宋_GB2312" w:hAnsi="Calibri" w:eastAsia="仿宋_GB2312"/>
                <w:szCs w:val="21"/>
              </w:rPr>
              <w:t>案件来源</w:t>
            </w:r>
          </w:p>
        </w:tc>
        <w:tc>
          <w:tcPr>
            <w:tcW w:w="767" w:type="dxa"/>
            <w:shd w:val="clear" w:color="auto" w:fill="auto"/>
            <w:vAlign w:val="center"/>
          </w:tcPr>
          <w:p>
            <w:pPr>
              <w:jc w:val="center"/>
              <w:rPr>
                <w:rFonts w:ascii="仿宋_GB2312" w:hAnsi="Calibri" w:eastAsia="仿宋_GB2312"/>
                <w:szCs w:val="21"/>
              </w:rPr>
            </w:pPr>
            <w:r>
              <w:rPr>
                <w:rFonts w:hint="eastAsia" w:ascii="仿宋_GB2312" w:hAnsi="Calibri" w:eastAsia="仿宋_GB2312"/>
                <w:szCs w:val="21"/>
              </w:rPr>
              <w:t>是否发现问题</w:t>
            </w:r>
          </w:p>
        </w:tc>
        <w:tc>
          <w:tcPr>
            <w:tcW w:w="4855" w:type="dxa"/>
            <w:shd w:val="clear" w:color="auto" w:fill="auto"/>
            <w:vAlign w:val="center"/>
          </w:tcPr>
          <w:p>
            <w:pPr>
              <w:jc w:val="center"/>
              <w:rPr>
                <w:rFonts w:ascii="仿宋_GB2312" w:hAnsi="Calibri" w:eastAsia="仿宋_GB2312"/>
                <w:szCs w:val="21"/>
              </w:rPr>
            </w:pPr>
            <w:r>
              <w:rPr>
                <w:rFonts w:hint="eastAsia" w:ascii="仿宋_GB2312" w:hAnsi="Calibri" w:eastAsia="仿宋_GB2312"/>
                <w:szCs w:val="21"/>
              </w:rPr>
              <w:t>现场检查结论</w:t>
            </w:r>
          </w:p>
        </w:tc>
        <w:tc>
          <w:tcPr>
            <w:tcW w:w="1187" w:type="dxa"/>
            <w:shd w:val="clear" w:color="auto" w:fill="auto"/>
            <w:vAlign w:val="center"/>
          </w:tcPr>
          <w:p>
            <w:pPr>
              <w:jc w:val="center"/>
              <w:rPr>
                <w:rFonts w:ascii="仿宋_GB2312" w:hAnsi="Calibri" w:eastAsia="仿宋_GB2312"/>
                <w:szCs w:val="21"/>
              </w:rPr>
            </w:pPr>
            <w:r>
              <w:rPr>
                <w:rFonts w:hint="eastAsia" w:ascii="仿宋_GB2312" w:hAnsi="Calibri" w:eastAsia="仿宋_GB2312"/>
                <w:szCs w:val="21"/>
              </w:rPr>
              <w:t>违法行为处理建议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val="en-US" w:eastAsia="zh-CN"/>
              </w:rPr>
              <w:t>1</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2020-09-08</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青岛泉恩威海经开区拓易环保暂存点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该暂存点现位于环翠区羊亭镇，截至目前暂未开展过废旧铅蓄电池的收集工作。</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val="en-US" w:eastAsia="zh-CN"/>
              </w:rPr>
              <w:t>2</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2020-09-07</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威海市远鹏物资再生有限公司临港志远暂存点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临港区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该企业被纳入省铅蓄电池暂存点后一直未开相关工作，现场无负责人，未发现环境违法行为。</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val="en-US" w:eastAsia="zh-CN"/>
              </w:rPr>
              <w:t>3</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2020-09-07</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威海安吉金阳光汽车销售服务有限公司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临港区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威海安吉金阳光服务销售有限公司不是实际的具体危废企业，而是众多汽车销售租赁公司，该公司租赁场地给其他汽车品牌。</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val="en-US" w:eastAsia="zh-CN"/>
              </w:rPr>
              <w:t>4</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2020-09-07</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威海奥东金属结构制造有限公</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临港区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该企业2019年建厂，2020年疫情影响，人员不足，各项制度不全，2020年暂时未转移，档案材料不全，危废库管理不规范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val="en-US" w:eastAsia="zh-CN"/>
              </w:rPr>
              <w:t>5</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2020-09-07</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威海先优纸业有限公司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环翠区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危废库管理不规范，台账不规范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val="en-US" w:eastAsia="zh-CN"/>
              </w:rPr>
              <w:t>6</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2020-09-04</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威海阿科帝斯电子有限公司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高区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经现场检查，未发现环境违法行为。</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val="en-US" w:eastAsia="zh-CN"/>
              </w:rPr>
              <w:t>7</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2020-09-04</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威海海鑫新材料有限公司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环翠区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危废库管理不规范，危废容器小标识不全</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val="en-US" w:eastAsia="zh-CN"/>
              </w:rPr>
              <w:t>8</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2020-09-04</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威海盛煌橡胶工业股份有限公司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南海新区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危废库管理不规范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val="en-US" w:eastAsia="zh-CN"/>
              </w:rPr>
              <w:t>9</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2020-09-04</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三角轮胎股份有限公司威海华阳橡胶科技分公司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南海新区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危废台账管理不规范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10</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2020-09-04</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威海金光包装印刷材料有限公司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环翠区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危废库管理不规范，门口标识内容填写不全，分类标志不全，台账不规范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11</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2020-09-04</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烟台郎牌蓄电池威海蔚耀暂存点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经现场检查该暂存点未开展废铅蓄电池收集，贮存。</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12</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2020-09-04</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青岛泉恩环文登区成铭电瓶经销部暂存点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文登区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检查时企业长期停产。该企业自纳入铅蓄电池生产企业集中收集和跨区域转运制度试点范围的废铅蓄电池暂存点企业后，尚未开展相应收集转运工作，现场未找到相关负责人，未发现环境违法行为。</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13</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2020-09-04</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风帆威海银翼贸易有限公司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经现场检查发现，未张贴危险废物标识，门口标识错误。</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交经区分局依法处理。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14</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山东东顺环保科技有限公司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南海新区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现场检查未发现环境违法行为。该企业收集处置其他企业产生的危废，受市场影响交大，无法预估年产量，所填报危险废物种类、数量为2020年1-8月份所产生的次生废物。</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15</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威海普瑞斯渔具有限公司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环翠区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危废库门外标识不规范，台账管理不规范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16</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保利澳瑞凯（威海）爆破器材有限公司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经现场检查发现，未开展2020年危废应急演练，未开展2020年危废业务培训。</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17</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威海怡和专用设备制造有限公司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环翠区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危废库缺失标识，台账管理不规范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18</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史丹利（文登）工具有限责任公司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文登区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现场检查时该企业正常生产，危废管理档案资料齐全，未发现环境违法行为。</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19</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山东万图高分子材料股份有限公司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文登区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现场检查该企业正常生产，废试剂瓶因产量问题储存超一年，已报文登分局备案，未发现环境违法行为。</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20</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博优技术纺织品（威海）有限公司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经现场检查发现，2020年未开展应急演练，未开展危险废物业务培训，缺失2016年危险废物转移联单。</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21</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文登威力工具集团有限公司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文登区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现场检查时该企业正在生产，存在问题：1.排污许可证未按要求上传第一、二季度执行报告，2.危废库标记不规范。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22</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威海市环保科技服务有限公司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环翠区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监察结论:现场检查时，企业正常生产。该企业于2020年纳入土壤污染重点监管单位，已按规定签订土壤污染防治责任书，自行监测方案正在编制修订，隐患排查制度已建立。存在问题：1.隐患排查工作暂未按要求开展；2.危险废物管理不规范；3.废气排放口未设置标识牌。5.2020年人员培训暂未开展</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23</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威海万思特机械有限公司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南海新区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现场检查发现危废库管理不规范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24</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威海森润蓄电池文登暂存点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文登区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现场检查时，该企业长期停产，未发现环境违法行为。</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25</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威海市环保科技服务有限公司经区转运站</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现场检查发现，部分危险废物容器的包装物未设置识别标识，危险废物贮存场所存在漏雨，不同种类危险废物存放间隔不明显，2020年未开展应急演练，危险废物2020年延长贮存申请未批复，危险废物经营记录薄仅保留有2015到2019年且危险废物去向未写。</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交经区分局督促整改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26</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烟台郎牌蓄电池有限公司文登电瓶世界暂存点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文登区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现场检查时该暂存点属于废旧电池收集点，不需要转移联单，未发现环境违法行为。</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27</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滕州市沃宏金属文登区暂存点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文登区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现场检查时该暂存点库存已转移，属于废旧电池收集点，不需要转移联单，未发现环境违法行为。</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28</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文登鑫盛暂存点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文登区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现场检查时，该企业库存废旧电池已转运，该企业为全省铅蓄电池集中收集站，不需要转移联单，相关材料齐全，未发现环境违法行为。</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29</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2020-09-03</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威海海林工艺品有限公司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环翠区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危废库内危废分类标识不规范 危废库门外危废标识不规范，颜色不对 危废库防漏设施不规范，顶棚漏雨漏水现象</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30</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特来蓓丝特印染（乳山）有限公司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现场检查发现危废库管理不规范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31</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山东鑫弘重工有限公司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现场检查时该企业正在生产，存在以下问题1：2020年暂未开展危险废物应急演练，2：危废库张贴标识不规范。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交荣成分局督促整改。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32</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威海祥光机械产业有限公司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经现场检查发现，危废库内储存其他非危险废物，不同废物间无明显管道，该企业正在试生产未验收，未开展2020年应急演练，未开展危险废物培训。</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经区分局督促该企业加快验收，对危险废物的进行规范化管理。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33</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乳山双连电镀有限公司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危废库管理不规范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34</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山东德林钢绳有限公司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现场检查时该企业正在生产，存在以下问题：危废管理计划未报备，危废管理标识不规范，污染防治管理规范未明确责任人。</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交荣成分局督促整改。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35</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威海首屋尔电子有限公司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未发现环境违法行为。</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36</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乳山市宏远机床制造有限公司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现场检查未发现环境违法行为</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37</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威海路泽汽车销售服务有限公司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临港区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危废库存在危废缺小标识问题，责任制度未张贴上墙</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38</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荣成富源小堀电光有限公司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现场检查时该企业正在生产，存在以下问题：2020年危险废物管理计划未备案。</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交企业立行立改。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39</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乳山市富地渔具有限公司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现场检查未发现环境违法行为</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40</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荣成信诚电子有限公司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现场检查时该企业正在生产，发现以下问题：1.2020年度应急演练未开展；2.2019年无演练后的总结材料，3.危废库无围堰，4.污染防治责任信息未张贴。</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交企业立行立改。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41</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威海恒德丰田汽车销售服务有限公司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临港区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该企业有2个危废库，西库房缺少责任制度，东库房顶棚未完全封闭。</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42</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威海环保科技高区王家庄暂存点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高区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未发现环境违法行为</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43</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荣成大成光学有限公司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现场检查时，该企业正在生产，发现以下问题：1.2020年度应急预案和培训未开展。2.2020年度危废管理计划未备案。</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交企业立行立改。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44</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山东玉龙车辆股份有限公司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危废管理台账记录不规范，危废年产生量较少，已签订危废处置合同，尚未转运。</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45</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威海市报废汽车回收拆解有限公司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临港区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危废库部分危废未粘贴标识</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46</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2020-09-02</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威海汉城成镐电子有限公司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高区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经现场检查发现，2020年未开展危险废物相关培训。</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交企业立行立改。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47</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威海韩孚生化药业有限公司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危废台账记录不规范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48</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山东华菱电子股份有限公司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高区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经现场现场发现，不同废物间没有明显的间隔，2020年未开展危险废物相关培训。</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49</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乳山市双丰机床制造有限公司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危废库管理不规范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50</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威海新兴迪基塔尔电子有限公司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高区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未发现环境违法行为</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51</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荣成市荣佳动力有限公司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现场检查时，企业正常生产。存在问题：1.废机油、废活性炭等未按规定纳入危险废物管理计划；2.废机油、废活性炭等未按照规定申报登记；3.未按照要求开展2019年和2020年危险废物应急演练和应急培训。</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交荣成分局依法查处。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52</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荣成市涵玉市场管理服务有限公司崖头暂存点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现场检查时，该企业正在建设，尚未营业，环评文件已审批，未发现环境违法行为。</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53</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威海中威橡胶有限公司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高区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经现场检查发现，未开展2020年应急演练； 有应急演预案未向环保部门备案。</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54</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天能电池乳山市福瑞迪暂存点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该贮存点已设立，但尚未开展电池回收业务</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55</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临沂春凯废旧物资回收有限公司荣成云田收购站暂存点</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荣成市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现场检查，该企业为废旧电池暂存点，存在以下问题1：危废库标识不规范，2：个别资料软件不在经营场所内。</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交荣成分局督办。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56</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威海伯特利萨克迪汽车安全系统有限公司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乳山市</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危废库管理不规范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57</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威海金威化学工业有限责任公司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临港区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污染治理设施正常运行，未发现违法行为</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58</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威海万丰镁业科技发展有限公司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高区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否</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未发现环境违法行为。</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59</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汇钜工业（威海）有限公司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临港区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是</w:t>
            </w:r>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企业正常生产，危废台账不够规范</w:t>
            </w:r>
          </w:p>
        </w:tc>
        <w:tc>
          <w:tcPr>
            <w:tcW w:w="1187"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需要进一步规范危废台账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2" w:type="dxa"/>
            <w:shd w:val="clear" w:color="auto" w:fill="auto"/>
            <w:vAlign w:val="center"/>
          </w:tcPr>
          <w:p>
            <w:pPr>
              <w:rPr>
                <w:rFonts w:hint="default" w:ascii="仿宋_GB2312" w:hAnsi="Calibri" w:eastAsia="仿宋_GB2312"/>
                <w:szCs w:val="21"/>
                <w:lang w:val="en-US" w:eastAsia="zh-CN"/>
              </w:rPr>
            </w:pPr>
            <w:r>
              <w:rPr>
                <w:rFonts w:hint="eastAsia" w:ascii="仿宋_GB2312" w:hAnsi="Calibri" w:eastAsia="仿宋_GB2312"/>
                <w:szCs w:val="21"/>
                <w:lang w:val="en-US" w:eastAsia="zh-CN"/>
              </w:rPr>
              <w:t>60</w:t>
            </w:r>
          </w:p>
        </w:tc>
        <w:tc>
          <w:tcPr>
            <w:tcW w:w="1376" w:type="dxa"/>
            <w:shd w:val="clear" w:color="auto" w:fill="auto"/>
            <w:vAlign w:val="center"/>
          </w:tcPr>
          <w:p>
            <w:pPr>
              <w:rPr>
                <w:rFonts w:ascii="仿宋_GB2312" w:hAnsi="Calibri" w:eastAsia="仿宋_GB2312"/>
                <w:szCs w:val="21"/>
              </w:rPr>
            </w:pPr>
            <w:r>
              <w:rPr>
                <w:rFonts w:hint="eastAsia" w:ascii="仿宋_GB2312" w:hAnsi="Calibri" w:eastAsia="仿宋_GB2312"/>
                <w:szCs w:val="21"/>
              </w:rPr>
              <w:t>2020-09-01</w:t>
            </w:r>
          </w:p>
        </w:tc>
        <w:tc>
          <w:tcPr>
            <w:tcW w:w="245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威海光威复合材料股份有限公司</w:t>
            </w:r>
          </w:p>
        </w:tc>
        <w:tc>
          <w:tcPr>
            <w:tcW w:w="1208" w:type="dxa"/>
            <w:shd w:val="clear" w:color="auto" w:fill="auto"/>
            <w:vAlign w:val="center"/>
          </w:tcPr>
          <w:p>
            <w:pPr>
              <w:rPr>
                <w:rFonts w:ascii="仿宋_GB2312" w:hAnsi="Calibri" w:eastAsia="仿宋_GB2312"/>
                <w:szCs w:val="21"/>
              </w:rPr>
            </w:pPr>
            <w:r>
              <w:rPr>
                <w:rFonts w:hint="eastAsia" w:ascii="仿宋_GB2312" w:hAnsi="Calibri" w:eastAsia="仿宋_GB2312"/>
                <w:szCs w:val="21"/>
              </w:rPr>
              <w:t>高区</w:t>
            </w:r>
          </w:p>
        </w:tc>
        <w:tc>
          <w:tcPr>
            <w:tcW w:w="1141" w:type="dxa"/>
            <w:shd w:val="clear" w:color="auto" w:fill="auto"/>
            <w:vAlign w:val="center"/>
          </w:tcPr>
          <w:p>
            <w:pPr>
              <w:rPr>
                <w:rFonts w:ascii="仿宋_GB2312" w:hAnsi="Calibri" w:eastAsia="仿宋_GB2312"/>
                <w:szCs w:val="21"/>
              </w:rPr>
            </w:pPr>
            <w:r>
              <w:rPr>
                <w:rFonts w:hint="eastAsia" w:ascii="仿宋_GB2312" w:hAnsi="Calibri" w:eastAsia="仿宋_GB2312"/>
                <w:szCs w:val="21"/>
              </w:rPr>
              <w:t>固废专项</w:t>
            </w:r>
          </w:p>
        </w:tc>
        <w:tc>
          <w:tcPr>
            <w:tcW w:w="76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是</w:t>
            </w:r>
            <w:bookmarkStart w:id="0" w:name="_GoBack"/>
            <w:bookmarkEnd w:id="0"/>
          </w:p>
        </w:tc>
        <w:tc>
          <w:tcPr>
            <w:tcW w:w="4855" w:type="dxa"/>
            <w:shd w:val="clear" w:color="auto" w:fill="auto"/>
            <w:vAlign w:val="center"/>
          </w:tcPr>
          <w:p>
            <w:pPr>
              <w:rPr>
                <w:rFonts w:ascii="仿宋_GB2312" w:hAnsi="Calibri" w:eastAsia="仿宋_GB2312"/>
                <w:szCs w:val="21"/>
              </w:rPr>
            </w:pPr>
            <w:r>
              <w:rPr>
                <w:rFonts w:hint="eastAsia" w:ascii="仿宋_GB2312" w:hAnsi="Calibri" w:eastAsia="仿宋_GB2312"/>
                <w:szCs w:val="21"/>
              </w:rPr>
              <w:t>现场检查发现该企业未开展2019,2020年应急演练。</w:t>
            </w:r>
          </w:p>
        </w:tc>
        <w:tc>
          <w:tcPr>
            <w:tcW w:w="1187" w:type="dxa"/>
            <w:shd w:val="clear" w:color="auto" w:fill="auto"/>
            <w:vAlign w:val="center"/>
          </w:tcPr>
          <w:p>
            <w:pPr>
              <w:rPr>
                <w:rFonts w:hint="eastAsia" w:ascii="仿宋_GB2312" w:hAnsi="Calibri" w:eastAsia="仿宋_GB2312"/>
                <w:szCs w:val="21"/>
                <w:lang w:eastAsia="zh-CN"/>
              </w:rPr>
            </w:pPr>
            <w:r>
              <w:rPr>
                <w:rFonts w:hint="eastAsia" w:ascii="仿宋_GB2312" w:hAnsi="Calibri" w:eastAsia="仿宋_GB2312"/>
                <w:szCs w:val="21"/>
                <w:lang w:eastAsia="zh-CN"/>
              </w:rPr>
              <w:t>立即整改</w:t>
            </w:r>
          </w:p>
        </w:tc>
      </w:tr>
    </w:tbl>
    <w:p>
      <w:pPr>
        <w:jc w:val="center"/>
      </w:pPr>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042B4"/>
    <w:rsid w:val="000115A8"/>
    <w:rsid w:val="00092596"/>
    <w:rsid w:val="00190DE1"/>
    <w:rsid w:val="002042B4"/>
    <w:rsid w:val="00216008"/>
    <w:rsid w:val="00216069"/>
    <w:rsid w:val="0029155A"/>
    <w:rsid w:val="004B0873"/>
    <w:rsid w:val="004B1177"/>
    <w:rsid w:val="0055457F"/>
    <w:rsid w:val="00646B32"/>
    <w:rsid w:val="007F45A0"/>
    <w:rsid w:val="007F52DE"/>
    <w:rsid w:val="008D08EC"/>
    <w:rsid w:val="008F7A9F"/>
    <w:rsid w:val="00907353"/>
    <w:rsid w:val="00A466CB"/>
    <w:rsid w:val="00AC38DE"/>
    <w:rsid w:val="00B40C00"/>
    <w:rsid w:val="00B77C05"/>
    <w:rsid w:val="00B94007"/>
    <w:rsid w:val="00B9787F"/>
    <w:rsid w:val="00BB746F"/>
    <w:rsid w:val="00C20FF5"/>
    <w:rsid w:val="00C75368"/>
    <w:rsid w:val="00C84813"/>
    <w:rsid w:val="00CA3733"/>
    <w:rsid w:val="00D709A1"/>
    <w:rsid w:val="00E3087B"/>
    <w:rsid w:val="00E53FE6"/>
    <w:rsid w:val="00EA3829"/>
    <w:rsid w:val="00F30EAF"/>
    <w:rsid w:val="00F5617D"/>
    <w:rsid w:val="00FF17E8"/>
    <w:rsid w:val="01A727A1"/>
    <w:rsid w:val="030273C3"/>
    <w:rsid w:val="0DF17D60"/>
    <w:rsid w:val="0E8920DA"/>
    <w:rsid w:val="11A43B34"/>
    <w:rsid w:val="26E03C2E"/>
    <w:rsid w:val="34C25160"/>
    <w:rsid w:val="4A283E47"/>
    <w:rsid w:val="4E061A1E"/>
  </w:rsids>
  <m:mathPr>
    <m:mathFont m:val="Cambria Math"/>
    <m:brkBin m:val="before"/>
    <m:brkBinSub m:val="--"/>
    <m:smallFrac m:val="0"/>
    <m:dispDef/>
    <m:lMargin m:val="0"/>
    <m:rMargin m:val="0"/>
    <m:defJc m:val="centerGroup"/>
    <m:wrapIndent m:val="1440"/>
    <m:intLim m:val="subSup"/>
    <m:naryLim m:val="undOvr"/>
  </m:mathPr>
  <w:attachedSchema w:val="http://schemas.microsoft.com/office/drawing/2014/chartex"/>
  <w:attachedSchema w:val="http://schemas.microsoft.com/office/drawing/2015/9/8/chartex"/>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等线" w:hAnsi="等线" w:eastAsia="等线"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link w:val="3"/>
    <w:qFormat/>
    <w:uiPriority w:val="0"/>
    <w:rPr>
      <w:sz w:val="18"/>
      <w:szCs w:val="18"/>
    </w:rPr>
  </w:style>
  <w:style w:type="character" w:customStyle="1" w:styleId="8">
    <w:name w:val="页脚 Char"/>
    <w:link w:val="2"/>
    <w:qFormat/>
    <w:uiPriority w:val="0"/>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2137</Words>
  <Characters>12187</Characters>
  <Lines>101</Lines>
  <Paragraphs>28</Paragraphs>
  <TotalTime>5</TotalTime>
  <ScaleCrop>false</ScaleCrop>
  <LinksUpToDate>false</LinksUpToDate>
  <CharactersWithSpaces>14296</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2020-10-10T07:23:00Z</dcterms:created>
  <cp:lastPrinted>2020-10-12T00:33:06Z</cp:lastPrinted>
  <dcterms:modified xsi:type="dcterms:W3CDTF">2020-10-12T06:41:13Z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